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56"/>
          <w:szCs w:val="72"/>
        </w:rPr>
      </w:pPr>
      <w:r>
        <w:pict>
          <v:group id="_x0000_s1040" o:spid="_x0000_s1040" o:spt="203" style="position:absolute;left:0pt;margin-left:-157.35pt;margin-top:-4.25pt;height:85.2pt;width:798.05pt;z-index:-251656192;mso-width-relative:page;mso-height-relative:page;" coordorigin="13622,-66719" coordsize="12005,1704056">
            <o:lock v:ext="edit" aspectratio="f"/>
            <v:rect id="矩形 5" o:spid="_x0000_s1041" o:spt="1" style="position:absolute;left:13622;top:283;height:6170;width:12005;v-text-anchor:middle;" fillcolor="#FDBC11" filled="t" stroked="f" coordsize="21600,21600">
              <v:path/>
              <v:fill on="t" color2="#FFFFFF" focussize="0,0"/>
              <v:stroke on="f" weight="1pt"/>
              <v:imagedata o:title=""/>
              <o:lock v:ext="edit" aspectratio="f"/>
            </v:rect>
            <v:shape id="_x0000_s1042" o:spid="_x0000_s1042" o:spt="202" type="#_x0000_t202" style="position:absolute;left:17229;top:-66719;height:1704056;width:8083;" filled="f" stroked="f" coordsize="21600,21600">
              <v:path/>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w:t>
                    </w:r>
                  </w:p>
                  <w:p/>
                </w:txbxContent>
              </v:textbox>
            </v:shape>
          </v:group>
        </w:pict>
      </w:r>
      <w:r>
        <w:pict>
          <v:shape id="椭圆 8" o:spid="_x0000_s103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59264;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group id="_x0000_s1037" o:spid="_x0000_s1037" o:spt="203" style="position:absolute;left:0pt;margin-left:1.25pt;margin-top:821.7pt;height:21.45pt;width:595.25pt;z-index:251659264;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rect id="矩形 11" o:spid="_x0000_s1043" o:spt="1" style="position:absolute;left:0pt;margin-left:184.75pt;margin-top:286.6pt;height:31.25pt;width:339.6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Pr>
        <w:rPr>
          <w:rFonts w:ascii="黑体" w:hAnsi="Times New Roman" w:eastAsia="黑体"/>
          <w:sz w:val="48"/>
          <w:szCs w:val="48"/>
        </w:rPr>
      </w:pPr>
      <w:r>
        <w:pict>
          <v:shape id="椭圆 9" o:spid="_x0000_s1036" o:spt="3" type="#_x0000_t3" style="position:absolute;left:0pt;margin-left:166.45pt;margin-top:179.45pt;height:104.2pt;width:103.45pt;z-index:251659264;v-text-anchor:middle;mso-width-relative:page;mso-height-relative:page;" fillcolor="#1F2959" filled="t" stroked="f" coordsize="21600,21600">
            <v:path/>
            <v:fill on="t" color2="#FFFFFF" focussize="0,0"/>
            <v:stroke on="f" weight="1pt"/>
            <v:imagedata o:title=""/>
            <o:lock v:ext="edit" aspectratio="f"/>
            <v:textbox>
              <w:txbxContent>
                <w:p>
                  <w:pPr>
                    <w:rPr>
                      <w:rFonts w:hint="default" w:eastAsia="等线"/>
                      <w:sz w:val="52"/>
                      <w:szCs w:val="52"/>
                      <w:lang w:val="en-US" w:eastAsia="zh-CN"/>
                    </w:rPr>
                  </w:pPr>
                  <w:r>
                    <w:rPr>
                      <w:rFonts w:hint="eastAsia"/>
                      <w:sz w:val="52"/>
                      <w:szCs w:val="52"/>
                      <w:lang w:val="en-US" w:eastAsia="zh-CN"/>
                    </w:rPr>
                    <w:t>2019</w:t>
                  </w:r>
                </w:p>
              </w:txbxContent>
            </v:textbox>
          </v:shape>
        </w:pict>
      </w:r>
      <w:r>
        <w:pict>
          <v:shape id="文本框 10" o:spid="_x0000_s1033" o:spt="202" type="#_x0000_t202" style="position:absolute;left:0pt;margin-left:18.5pt;margin-top:574.15pt;height:38.4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jc w:val="center"/>
        <w:rPr>
          <w:rFonts w:hint="eastAsia" w:ascii="黑体" w:hAnsi="黑体" w:eastAsia="黑体" w:cs="黑体"/>
          <w:b/>
          <w:bCs/>
          <w:sz w:val="52"/>
          <w:szCs w:val="52"/>
        </w:rPr>
      </w:pPr>
      <w:r>
        <w:rPr>
          <w:rFonts w:ascii="黑体" w:hAnsi="黑体" w:eastAsia="黑体" w:cs="黑体"/>
          <w:b/>
          <w:bCs/>
          <w:sz w:val="52"/>
          <w:szCs w:val="52"/>
        </w:rPr>
        <w:t>2019</w:t>
      </w:r>
      <w:r>
        <w:rPr>
          <w:rFonts w:hint="eastAsia" w:ascii="黑体" w:hAnsi="黑体" w:eastAsia="黑体" w:cs="黑体"/>
          <w:b/>
          <w:bCs/>
          <w:sz w:val="52"/>
          <w:szCs w:val="52"/>
        </w:rPr>
        <w:t>年度保定市满城区医疗保障局</w:t>
      </w:r>
    </w:p>
    <w:p>
      <w:pPr>
        <w:jc w:val="center"/>
        <w:rPr>
          <w:rFonts w:ascii="黑体" w:hAnsi="黑体" w:eastAsia="黑体" w:cs="黑体"/>
          <w:b/>
          <w:bCs/>
          <w:sz w:val="52"/>
          <w:szCs w:val="52"/>
        </w:rPr>
      </w:pPr>
      <w:r>
        <w:rPr>
          <w:rFonts w:hint="eastAsia" w:ascii="黑体" w:hAnsi="黑体" w:eastAsia="黑体" w:cs="黑体"/>
          <w:b/>
          <w:bCs/>
          <w:sz w:val="52"/>
          <w:szCs w:val="52"/>
        </w:rPr>
        <w:t>决算公开</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sectPr>
          <w:headerReference r:id="rId4" w:type="first"/>
          <w:headerReference r:id="rId3"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tabs>
          <w:tab w:val="left" w:pos="2728"/>
        </w:tabs>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6" w:type="first"/>
          <w:footerReference r:id="rId8" w:type="first"/>
          <w:headerReference r:id="rId5" w:type="default"/>
          <w:footerReference r:id="rId7"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4"/>
        <w:widowControl/>
        <w:spacing w:line="52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根据保定市满城区人民政府办公室《关于印发保定市满城区医疗保障局职能配置、内设机构和人员编制规定的通知》（满办字[2019] 5号），现将我局部门概况说明如下：</w:t>
      </w:r>
    </w:p>
    <w:p>
      <w:pPr>
        <w:snapToGrid w:val="0"/>
        <w:spacing w:line="4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(一)拟定全区城镇职工和城乡居民医疗保险、生育保险、医疗救助等医疗保障制度、规划和标准，并组织实施。会同有关部门拟定区直离休人员医疗保障政策、国家公务员医疗补助办法。</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（二）拟定完善全区医疗保障基金监督管理工作，建立健全医疗保障基金安全防控机制，组织建设智能监控平台，推进医疗保障基金支付改革，并组织实施。</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（三）组织制定全区城镇职工、城乡居民参保筹资和保障待遇政策，统筹城乡医疗保障政策标准，建立健全与筹资水平相适应的待遇调整机制。拟定长期护理保险制度方案及政策标准并组织实施。</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（四）贯彻落实并组织实施全省统一的药品、医用耗材、医疗服务项目、医疗服务设施等医保目录和支付标准，建立动态调整机制，贯彻落实医保目录准入谈判规则并组织实施。</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贯彻落实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（六）制度全区药品、医用耗材的招标采购政策并监督实施，指导药品、医用耗材招标采购平台建设。</w:t>
      </w:r>
    </w:p>
    <w:p>
      <w:pPr>
        <w:snapToGrid w:val="0"/>
        <w:spacing w:line="4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七）制定全区定点医药机构协议和支付管理办法并组织实施。建立健全医疗保障信用评价体系和信息披露制度，监督管理定点医药机构的医疗服务行为、医疗费用和医药价格，依法查处医疗保障领域违法违规行为。</w:t>
      </w:r>
    </w:p>
    <w:p>
      <w:pPr>
        <w:snapToGrid w:val="0"/>
        <w:spacing w:line="4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（八）负责医疗保障经办管理、公共服务体系和信息化建设。贯彻落实异地就医管理和费用结算政策。建立健全医疗保障关系转移接续制度并实施。</w:t>
      </w:r>
    </w:p>
    <w:p>
      <w:pPr>
        <w:snapToGrid w:val="0"/>
        <w:spacing w:line="4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（九）完成区委、区政府交办的其他任务。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lang w:val="en-US" w:eastAsia="zh-CN"/>
        </w:rPr>
        <w:t>2</w:t>
      </w:r>
      <w:r>
        <w:rPr>
          <w:rFonts w:hint="eastAsia" w:ascii="仿宋_GB2312" w:hAnsi="Calibri" w:eastAsia="仿宋_GB2312" w:cs="ArialUnicodeMS"/>
          <w:kern w:val="0"/>
          <w:sz w:val="32"/>
          <w:szCs w:val="32"/>
        </w:rPr>
        <w:t>个，具体情况如下：</w:t>
      </w:r>
    </w:p>
    <w:p>
      <w:pPr>
        <w:spacing w:line="580" w:lineRule="exact"/>
        <w:ind w:firstLine="640" w:firstLineChars="200"/>
        <w:rPr>
          <w:rFonts w:ascii="仿宋_GB2312" w:hAnsi="Calibri" w:eastAsia="仿宋_GB2312" w:cs="ArialUnicodeMS"/>
          <w:kern w:val="0"/>
          <w:sz w:val="32"/>
          <w:szCs w:val="32"/>
        </w:rPr>
      </w:pP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保定市满城区医疗保障局</w:t>
            </w:r>
          </w:p>
        </w:tc>
        <w:tc>
          <w:tcPr>
            <w:tcW w:w="244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行政单位</w:t>
            </w:r>
          </w:p>
        </w:tc>
        <w:tc>
          <w:tcPr>
            <w:tcW w:w="266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保定市满城区医疗保险服务中心</w:t>
            </w:r>
          </w:p>
        </w:tc>
        <w:tc>
          <w:tcPr>
            <w:tcW w:w="244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财政补助事业单位</w:t>
            </w:r>
          </w:p>
        </w:tc>
        <w:tc>
          <w:tcPr>
            <w:tcW w:w="266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财政性资金基本保证</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年度收入总计599.23万元。与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年度决算相比，收入增加599.23万元，增长100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，主要原因是本单位为2019年</w:t>
      </w:r>
      <w:r>
        <w:rPr>
          <w:rFonts w:ascii="仿宋_GB2312" w:hAnsi="Times New Roman" w:eastAsia="仿宋_GB2312" w:cs="DengXian-Regular"/>
          <w:sz w:val="32"/>
          <w:szCs w:val="32"/>
        </w:rPr>
        <w:t>新成立单位</w:t>
      </w:r>
      <w:r>
        <w:rPr>
          <w:rFonts w:hint="eastAsia" w:ascii="仿宋_GB2312" w:hAnsi="Times New Roman" w:eastAsia="仿宋_GB2312" w:cs="DengXian-Regular"/>
          <w:sz w:val="32"/>
          <w:szCs w:val="32"/>
        </w:rPr>
        <w:t>，2018年没有决算。支出总计599.23万元。与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年度决算相比，支出增加599.23万元，增长100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，主要原因是本单位为2019年</w:t>
      </w:r>
      <w:r>
        <w:rPr>
          <w:rFonts w:ascii="仿宋_GB2312" w:hAnsi="Times New Roman" w:eastAsia="仿宋_GB2312" w:cs="DengXian-Regular"/>
          <w:sz w:val="32"/>
          <w:szCs w:val="32"/>
        </w:rPr>
        <w:t>新成立单位</w:t>
      </w:r>
      <w:r>
        <w:rPr>
          <w:rFonts w:hint="eastAsia" w:ascii="仿宋_GB2312" w:hAnsi="Times New Roman" w:eastAsia="仿宋_GB2312" w:cs="DengXian-Regular"/>
          <w:sz w:val="32"/>
          <w:szCs w:val="32"/>
        </w:rPr>
        <w:t>，2018年没有决算。</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年度本年收入合计599.23万元，其中：财政拨款收入599.23万元，占100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年度本年支出合计599.23万元，其中：基本支出23.55万元，占3.9</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；项目支出575.68万元，占96.1</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年度形成的财政拨款收支均为一般公共预算财政拨款，其中本年收入599.23万元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年度增加599.23万元，增长100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，主要是本单位为2019年</w:t>
      </w:r>
      <w:r>
        <w:rPr>
          <w:rFonts w:ascii="仿宋_GB2312" w:hAnsi="Times New Roman" w:eastAsia="仿宋_GB2312" w:cs="DengXian-Regular"/>
          <w:sz w:val="32"/>
          <w:szCs w:val="32"/>
        </w:rPr>
        <w:t>新成立单位</w:t>
      </w:r>
      <w:r>
        <w:rPr>
          <w:rFonts w:hint="eastAsia" w:ascii="仿宋_GB2312" w:hAnsi="Times New Roman" w:eastAsia="仿宋_GB2312" w:cs="DengXian-Regular"/>
          <w:sz w:val="32"/>
          <w:szCs w:val="32"/>
        </w:rPr>
        <w:t>，2018年没有决算；本年支出599.23万元，增加599.23万元，增长100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，主要是本单位为2019年</w:t>
      </w:r>
      <w:r>
        <w:rPr>
          <w:rFonts w:ascii="仿宋_GB2312" w:hAnsi="Times New Roman" w:eastAsia="仿宋_GB2312" w:cs="DengXian-Regular"/>
          <w:sz w:val="32"/>
          <w:szCs w:val="32"/>
        </w:rPr>
        <w:t>新成立单位</w:t>
      </w:r>
      <w:r>
        <w:rPr>
          <w:rFonts w:hint="eastAsia" w:ascii="仿宋_GB2312" w:hAnsi="Times New Roman" w:eastAsia="仿宋_GB2312" w:cs="DengXian-Regular"/>
          <w:sz w:val="32"/>
          <w:szCs w:val="32"/>
        </w:rPr>
        <w:t>，2018年没有决算。</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snapToGrid w:val="0"/>
        <w:spacing w:line="400" w:lineRule="exact"/>
        <w:ind w:firstLine="640" w:firstLineChars="200"/>
        <w:rPr>
          <w:rFonts w:ascii="仿宋_GB2312" w:eastAsia="仿宋_GB2312"/>
          <w:sz w:val="32"/>
          <w:szCs w:val="32"/>
        </w:rPr>
      </w:pPr>
      <w:r>
        <w:rPr>
          <w:rFonts w:hint="eastAsia" w:ascii="仿宋_GB2312" w:eastAsia="仿宋_GB2312"/>
          <w:sz w:val="32"/>
          <w:szCs w:val="32"/>
        </w:rPr>
        <w:t>医疗保障局为2019年新成立单位。未做2019年预算。</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年度财政拨款支出599.23万元，主要用于以下方面</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社会保障和就业支出16.75万元，占2.8</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，；卫生健康支出582.49万元，占97.2</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 xml:space="preserve"> </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年度财政拨款基本支出23.55万元，其中：人员经费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16.1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7.45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年度“三公”经费支出共计14.98万元，完成预算的97.96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较预算减少0.22万元，降低2.04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ascii="仿宋_GB2312" w:hAnsi="Times New Roman" w:eastAsia="仿宋_GB2312" w:cs="DengXian-Regular"/>
          <w:sz w:val="32"/>
          <w:szCs w:val="32"/>
        </w:rPr>
        <w:t>新购入车辆耗损小</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维修次数少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lang w:val="en-US" w:eastAsia="zh-CN"/>
        </w:rPr>
        <w:t>二</w:t>
      </w: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rPr>
        <w:t>公务用车购置及运行维护费支出14.98万元。</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年度公务用车购置量1辆，发生“公务用车购置”经费支出12.7万元。</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年度单位公务用车保有量3辆，经费支出2.28万元公车运行维护费支出较预算减少0.22万元，降低8.8</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ascii="仿宋_GB2312" w:hAnsi="Times New Roman" w:eastAsia="仿宋_GB2312" w:cs="DengXian-Regular"/>
          <w:sz w:val="32"/>
          <w:szCs w:val="32"/>
        </w:rPr>
        <w:t>新购入车辆耗损小</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维修次数少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精神和厉行节约要求从严控制“三公”经费开支。</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年度一般公共预算项目支出全面开展绩效自评，共有7个项目，共涉及资金599.23万元。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本部门在今年部门决算公开中按时完成绩效目标，及时拨付，基金配套及时，经费及时到位，保证了机关正常运行。</w:t>
      </w:r>
    </w:p>
    <w:p>
      <w:p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adjustRightInd w:val="0"/>
        <w:snapToGrid w:val="0"/>
        <w:spacing w:line="580" w:lineRule="exact"/>
        <w:ind w:firstLine="470" w:firstLineChars="147"/>
        <w:jc w:val="left"/>
        <w:rPr>
          <w:rFonts w:ascii="仿宋_GB2312" w:hAnsi="仿宋" w:eastAsia="仿宋_GB2312"/>
          <w:sz w:val="32"/>
          <w:szCs w:val="32"/>
        </w:rPr>
      </w:pPr>
      <w:r>
        <w:rPr>
          <w:rFonts w:hint="eastAsia" w:ascii="仿宋_GB2312" w:hAnsi="仿宋" w:eastAsia="仿宋_GB2312"/>
          <w:sz w:val="32"/>
          <w:szCs w:val="32"/>
        </w:rPr>
        <w:t>无财政评价项目绩效</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年度机关运行经费支出25</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年度机关运行经费支出25</w:t>
      </w:r>
      <w:r>
        <w:rPr>
          <w:rFonts w:hint="eastAsia" w:ascii="仿宋_GB2312" w:eastAsia="仿宋_GB2312" w:cs="DengXian-Regular"/>
          <w:sz w:val="32"/>
          <w:szCs w:val="32"/>
          <w:lang w:val="en-US" w:eastAsia="zh-CN"/>
        </w:rPr>
        <w:t>.00</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本部门为新成立单位故无法与上年决算比对。</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日，本部门共有车辆3辆，比上年增加3辆，主要是本单位为2019年</w:t>
      </w:r>
      <w:r>
        <w:rPr>
          <w:rFonts w:ascii="仿宋_GB2312" w:hAnsi="Times New Roman" w:eastAsia="仿宋_GB2312" w:cs="DengXian-Regular"/>
          <w:sz w:val="32"/>
          <w:szCs w:val="32"/>
        </w:rPr>
        <w:t>新成立单位</w:t>
      </w:r>
      <w:r>
        <w:rPr>
          <w:rFonts w:hint="eastAsia" w:ascii="仿宋_GB2312" w:hAnsi="Times New Roman" w:eastAsia="仿宋_GB2312" w:cs="DengXian-Regular"/>
          <w:sz w:val="32"/>
          <w:szCs w:val="32"/>
        </w:rPr>
        <w:t>，上年度没有数据。其中，其他用车3辆，其他用车主要是</w:t>
      </w:r>
      <w:r>
        <w:rPr>
          <w:rFonts w:ascii="仿宋_GB2312" w:hAnsi="Times New Roman" w:eastAsia="仿宋_GB2312" w:cs="DengXian-Regular"/>
          <w:sz w:val="32"/>
          <w:szCs w:val="32"/>
        </w:rPr>
        <w:t>行政事业单位用车</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套，主要是本单位为2019年</w:t>
      </w:r>
      <w:r>
        <w:rPr>
          <w:rFonts w:ascii="仿宋_GB2312" w:hAnsi="Times New Roman" w:eastAsia="仿宋_GB2312" w:cs="DengXian-Regular"/>
          <w:sz w:val="32"/>
          <w:szCs w:val="32"/>
        </w:rPr>
        <w:t>新成立单位</w:t>
      </w:r>
      <w:r>
        <w:rPr>
          <w:rFonts w:hint="eastAsia" w:ascii="仿宋_GB2312" w:hAnsi="Times New Roman" w:eastAsia="仿宋_GB2312" w:cs="DengXian-Regular"/>
          <w:sz w:val="32"/>
          <w:szCs w:val="32"/>
        </w:rPr>
        <w:t>，上年度没有数据</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套，主要是本单位为2019年</w:t>
      </w:r>
      <w:r>
        <w:rPr>
          <w:rFonts w:ascii="仿宋_GB2312" w:hAnsi="Times New Roman" w:eastAsia="仿宋_GB2312" w:cs="DengXian-Regular"/>
          <w:sz w:val="32"/>
          <w:szCs w:val="32"/>
        </w:rPr>
        <w:t>新成立单位</w:t>
      </w:r>
      <w:r>
        <w:rPr>
          <w:rFonts w:hint="eastAsia" w:ascii="仿宋_GB2312" w:hAnsi="Times New Roman" w:eastAsia="仿宋_GB2312" w:cs="DengXian-Regular"/>
          <w:sz w:val="32"/>
          <w:szCs w:val="32"/>
        </w:rPr>
        <w:t>，上年度没有数据。</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年度政府性基金预算财政拨款无收支及结转结余情况，故政府性基金预算财政拨款表以空表列示。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年度国有资本经营预算财政拨款无支出情况，故国有资本经营预算财政拨款支出决算表以空表列示。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9"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w:t>
      </w:r>
      <w:bookmarkStart w:id="0" w:name="_GoBack"/>
      <w:bookmarkEnd w:id="0"/>
      <w:r>
        <w:rPr>
          <w:rFonts w:hint="eastAsia" w:ascii="仿宋_GB2312" w:hAnsi="宋体" w:eastAsia="仿宋_GB2312"/>
          <w:color w:val="000000"/>
          <w:kern w:val="0"/>
          <w:sz w:val="32"/>
          <w:szCs w:val="32"/>
        </w:rPr>
        <w:t>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0"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465"/>
        <w:gridCol w:w="266"/>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7"/>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部门：保定市满城区医疗保障局</w:t>
            </w: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599.23</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16.75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582.49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599.23</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599.23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599.23</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599.23</w:t>
            </w:r>
          </w:p>
        </w:tc>
      </w:tr>
      <w:tr>
        <w:tblPrEx>
          <w:tblCellMar>
            <w:top w:w="0" w:type="dxa"/>
            <w:left w:w="0" w:type="dxa"/>
            <w:bottom w:w="0" w:type="dxa"/>
            <w:right w:w="0" w:type="dxa"/>
          </w:tblCellMar>
        </w:tblPrEx>
        <w:trPr>
          <w:trHeight w:val="213" w:hRule="atLeast"/>
          <w:jc w:val="center"/>
        </w:trPr>
        <w:tc>
          <w:tcPr>
            <w:tcW w:w="9517" w:type="dxa"/>
            <w:gridSpan w:val="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11543" w:type="dxa"/>
        <w:jc w:val="center"/>
        <w:tblLayout w:type="autofit"/>
        <w:tblCellMar>
          <w:top w:w="0" w:type="dxa"/>
          <w:left w:w="0" w:type="dxa"/>
          <w:bottom w:w="0" w:type="dxa"/>
          <w:right w:w="0" w:type="dxa"/>
        </w:tblCellMar>
      </w:tblPr>
      <w:tblGrid>
        <w:gridCol w:w="11543"/>
      </w:tblGrid>
      <w:tr>
        <w:trPr>
          <w:trHeight w:val="670" w:hRule="atLeast"/>
          <w:jc w:val="center"/>
        </w:trPr>
        <w:tc>
          <w:tcPr>
            <w:tcW w:w="11543" w:type="dxa"/>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kern w:val="0"/>
                <w:sz w:val="32"/>
                <w:szCs w:val="32"/>
              </w:rPr>
            </w:pPr>
            <w:r>
              <w:rPr>
                <w:rFonts w:hint="eastAsia" w:ascii="黑体" w:hAnsi="宋体" w:eastAsia="黑体" w:cs="黑体"/>
                <w:color w:val="000000"/>
                <w:kern w:val="0"/>
                <w:sz w:val="32"/>
                <w:szCs w:val="32"/>
              </w:rPr>
              <w:t>收入决算表</w:t>
            </w:r>
          </w:p>
          <w:tbl>
            <w:tblPr>
              <w:tblStyle w:val="6"/>
              <w:tblW w:w="11100" w:type="dxa"/>
              <w:tblInd w:w="0" w:type="dxa"/>
              <w:tblLayout w:type="autofit"/>
              <w:tblCellMar>
                <w:top w:w="0" w:type="dxa"/>
                <w:left w:w="108" w:type="dxa"/>
                <w:bottom w:w="0" w:type="dxa"/>
                <w:right w:w="108" w:type="dxa"/>
              </w:tblCellMar>
            </w:tblPr>
            <w:tblGrid>
              <w:gridCol w:w="340"/>
              <w:gridCol w:w="340"/>
              <w:gridCol w:w="340"/>
              <w:gridCol w:w="2380"/>
              <w:gridCol w:w="1800"/>
              <w:gridCol w:w="1800"/>
              <w:gridCol w:w="820"/>
              <w:gridCol w:w="820"/>
              <w:gridCol w:w="820"/>
              <w:gridCol w:w="820"/>
              <w:gridCol w:w="820"/>
            </w:tblGrid>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3400"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部门：保定市满城区医疗保障局</w:t>
                  </w:r>
                </w:p>
              </w:tc>
              <w:tc>
                <w:tcPr>
                  <w:tcW w:w="1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460"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40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82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82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82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102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380"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340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8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8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8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8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trPr>
              <w:tc>
                <w:tcPr>
                  <w:tcW w:w="340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599.23</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599.23</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16.75</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16.75</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555"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机关事业单位基本养老保险缴费支出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2089901</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582.49</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582.49</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600"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21012</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财政对基本医疗保险基金的补助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555"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2101202</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财政对城乡居民基本医疗保险基金的补助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75"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医疗救助</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2101301</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城乡医疗救助</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医疗保障管理事务</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26.79</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26.79</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2101501</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行政运行</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2.50</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2101502</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一般行政管理事务</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14.98</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14.98</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2101506</w:t>
                  </w:r>
                </w:p>
              </w:tc>
              <w:tc>
                <w:tcPr>
                  <w:tcW w:w="23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医疗保障经办事务</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9.31</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9.31</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402" w:hRule="atLeast"/>
              </w:trPr>
              <w:tc>
                <w:tcPr>
                  <w:tcW w:w="11100" w:type="dxa"/>
                  <w:gridSpan w:val="11"/>
                  <w:tcBorders>
                    <w:top w:val="single" w:color="000000" w:sz="4" w:space="0"/>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pPr>
              <w:widowControl/>
              <w:jc w:val="center"/>
              <w:textAlignment w:val="bottom"/>
              <w:rPr>
                <w:rFonts w:ascii="黑体" w:hAnsi="宋体" w:eastAsia="黑体" w:cs="黑体"/>
                <w:color w:val="000000"/>
                <w:sz w:val="32"/>
                <w:szCs w:val="32"/>
              </w:rPr>
            </w:pPr>
          </w:p>
        </w:tc>
      </w:tr>
    </w:tbl>
    <w:p>
      <w:r>
        <w:br w:type="page"/>
      </w:r>
    </w:p>
    <w:tbl>
      <w:tblPr>
        <w:tblStyle w:val="6"/>
        <w:tblW w:w="9680" w:type="dxa"/>
        <w:jc w:val="center"/>
        <w:tblLayout w:type="fixed"/>
        <w:tblCellMar>
          <w:top w:w="0" w:type="dxa"/>
          <w:left w:w="0" w:type="dxa"/>
          <w:bottom w:w="0" w:type="dxa"/>
          <w:right w:w="0" w:type="dxa"/>
        </w:tblCellMar>
      </w:tblPr>
      <w:tblGrid>
        <w:gridCol w:w="9680"/>
      </w:tblGrid>
      <w:tr>
        <w:tblPrEx>
          <w:tblCellMar>
            <w:top w:w="0" w:type="dxa"/>
            <w:left w:w="0" w:type="dxa"/>
            <w:bottom w:w="0" w:type="dxa"/>
            <w:right w:w="0" w:type="dxa"/>
          </w:tblCellMar>
        </w:tblPrEx>
        <w:trPr>
          <w:trHeight w:val="612" w:hRule="atLeast"/>
          <w:jc w:val="center"/>
        </w:trPr>
        <w:tc>
          <w:tcPr>
            <w:tcW w:w="9680" w:type="dxa"/>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支出决算表</w:t>
            </w:r>
          </w:p>
          <w:tbl>
            <w:tblPr>
              <w:tblStyle w:val="6"/>
              <w:tblW w:w="9708" w:type="dxa"/>
              <w:tblInd w:w="0" w:type="dxa"/>
              <w:tblLayout w:type="fixed"/>
              <w:tblCellMar>
                <w:top w:w="0" w:type="dxa"/>
                <w:left w:w="108" w:type="dxa"/>
                <w:bottom w:w="0" w:type="dxa"/>
                <w:right w:w="108" w:type="dxa"/>
              </w:tblCellMar>
            </w:tblPr>
            <w:tblGrid>
              <w:gridCol w:w="340"/>
              <w:gridCol w:w="340"/>
              <w:gridCol w:w="176"/>
              <w:gridCol w:w="164"/>
              <w:gridCol w:w="2246"/>
              <w:gridCol w:w="1134"/>
              <w:gridCol w:w="1134"/>
              <w:gridCol w:w="992"/>
              <w:gridCol w:w="851"/>
              <w:gridCol w:w="819"/>
              <w:gridCol w:w="31"/>
              <w:gridCol w:w="205"/>
              <w:gridCol w:w="929"/>
              <w:gridCol w:w="347"/>
            </w:tblGrid>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9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7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76" w:type="dxa"/>
                  <w:gridSpan w:val="2"/>
                  <w:tcBorders>
                    <w:top w:val="nil"/>
                    <w:left w:val="nil"/>
                    <w:bottom w:val="nil"/>
                    <w:right w:val="nil"/>
                  </w:tcBorders>
                  <w:shd w:val="clear" w:color="auto" w:fill="auto"/>
                  <w:noWrap/>
                  <w:vAlign w:val="bottom"/>
                </w:tcPr>
                <w:p>
                  <w:pPr>
                    <w:widowControl/>
                    <w:ind w:right="200"/>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CellMar>
                  <w:top w:w="0" w:type="dxa"/>
                  <w:left w:w="108" w:type="dxa"/>
                  <w:bottom w:w="0" w:type="dxa"/>
                  <w:right w:w="108" w:type="dxa"/>
                </w:tblCellMar>
              </w:tblPrEx>
              <w:trPr>
                <w:gridAfter w:val="1"/>
                <w:wAfter w:w="347" w:type="dxa"/>
                <w:trHeight w:val="255" w:hRule="atLeast"/>
              </w:trPr>
              <w:tc>
                <w:tcPr>
                  <w:tcW w:w="3266"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部门：保定市满城区医疗保障局</w:t>
                  </w:r>
                </w:p>
              </w:tc>
              <w:tc>
                <w:tcPr>
                  <w:tcW w:w="113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9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35" w:type="dxa"/>
                  <w:gridSpan w:val="5"/>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1"/>
                <w:wAfter w:w="347" w:type="dxa"/>
                <w:trHeight w:val="308" w:hRule="atLeast"/>
              </w:trPr>
              <w:tc>
                <w:tcPr>
                  <w:tcW w:w="3266"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13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13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992"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85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85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134"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gridAfter w:val="1"/>
                <w:wAfter w:w="347" w:type="dxa"/>
                <w:trHeight w:val="312" w:hRule="atLeast"/>
              </w:trPr>
              <w:tc>
                <w:tcPr>
                  <w:tcW w:w="85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410"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12" w:hRule="atLeast"/>
              </w:trPr>
              <w:tc>
                <w:tcPr>
                  <w:tcW w:w="85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1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12" w:hRule="atLeast"/>
              </w:trPr>
              <w:tc>
                <w:tcPr>
                  <w:tcW w:w="85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1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3266"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13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3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9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8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5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134"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gridAfter w:val="1"/>
                <w:wAfter w:w="347" w:type="dxa"/>
                <w:trHeight w:val="308" w:hRule="atLeast"/>
              </w:trPr>
              <w:tc>
                <w:tcPr>
                  <w:tcW w:w="3266"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599.23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23.56</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575.68</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16.75</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463"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其他社会保障和就业支出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2089901</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其他社会保障和就业支出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582.49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11.81</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570.68</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21012</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财政对基本医疗保险基金的补助</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2101202</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财政对城乡居民基本医疗保险基金的补助</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医疗救助</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2101301</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城乡医疗救助</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医疗保障管理事务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26.79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11.81</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14.98</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2101501</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2101502</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14.98</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85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2101506</w:t>
                  </w:r>
                </w:p>
              </w:tc>
              <w:tc>
                <w:tcPr>
                  <w:tcW w:w="2410"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医疗保障经办事务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9.31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9.31</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347" w:type="dxa"/>
                <w:trHeight w:val="308" w:hRule="atLeast"/>
              </w:trPr>
              <w:tc>
                <w:tcPr>
                  <w:tcW w:w="9361" w:type="dxa"/>
                  <w:gridSpan w:val="13"/>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pPr>
              <w:widowControl/>
              <w:textAlignment w:val="center"/>
              <w:rPr>
                <w:rFonts w:ascii="黑体" w:hAnsi="宋体" w:eastAsia="黑体" w:cs="黑体"/>
                <w:color w:val="000000"/>
                <w:sz w:val="32"/>
                <w:szCs w:val="32"/>
              </w:rPr>
            </w:pPr>
          </w:p>
        </w:tc>
      </w:tr>
    </w:tbl>
    <w:p/>
    <w:p/>
    <w:p/>
    <w:p/>
    <w:p/>
    <w:tbl>
      <w:tblPr>
        <w:tblStyle w:val="6"/>
        <w:tblW w:w="9520" w:type="dxa"/>
        <w:jc w:val="center"/>
        <w:tblLayout w:type="fixed"/>
        <w:tblCellMar>
          <w:top w:w="0" w:type="dxa"/>
          <w:left w:w="0" w:type="dxa"/>
          <w:bottom w:w="0" w:type="dxa"/>
          <w:right w:w="0" w:type="dxa"/>
        </w:tblCellMar>
      </w:tblPr>
      <w:tblGrid>
        <w:gridCol w:w="2918"/>
        <w:gridCol w:w="283"/>
        <w:gridCol w:w="808"/>
        <w:gridCol w:w="2736"/>
        <w:gridCol w:w="425"/>
        <w:gridCol w:w="706"/>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1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5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18"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Arial"/>
                <w:color w:val="000000"/>
                <w:kern w:val="0"/>
                <w:sz w:val="20"/>
                <w:szCs w:val="20"/>
              </w:rPr>
              <w:t>保定市满城区医疗保障局</w:t>
            </w:r>
          </w:p>
        </w:tc>
        <w:tc>
          <w:tcPr>
            <w:tcW w:w="2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5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1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2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0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73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584" w:hRule="atLeast"/>
          <w:jc w:val="center"/>
        </w:trPr>
        <w:tc>
          <w:tcPr>
            <w:tcW w:w="291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0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3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599.23</w:t>
            </w: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88"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16.75</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16.75</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582.49</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582.49</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599.23</w:t>
            </w: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599.23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599.23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2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599.23</w:t>
            </w:r>
          </w:p>
        </w:tc>
        <w:tc>
          <w:tcPr>
            <w:tcW w:w="27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299.23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599.23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9990"/>
      </w:tblGrid>
      <w:tr>
        <w:tblPrEx>
          <w:tblCellMar>
            <w:top w:w="0" w:type="dxa"/>
            <w:left w:w="0" w:type="dxa"/>
            <w:bottom w:w="0" w:type="dxa"/>
            <w:right w:w="0" w:type="dxa"/>
          </w:tblCellMar>
        </w:tblPrEx>
        <w:trPr>
          <w:trHeight w:val="600" w:hRule="atLeast"/>
          <w:jc w:val="center"/>
        </w:trPr>
        <w:tc>
          <w:tcPr>
            <w:tcW w:w="9990" w:type="dxa"/>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一般公共预算财政拨款支出决算表</w:t>
            </w:r>
          </w:p>
          <w:tbl>
            <w:tblPr>
              <w:tblStyle w:val="6"/>
              <w:tblW w:w="9942" w:type="dxa"/>
              <w:tblInd w:w="0" w:type="dxa"/>
              <w:tblLayout w:type="autofit"/>
              <w:tblCellMar>
                <w:top w:w="0" w:type="dxa"/>
                <w:left w:w="108" w:type="dxa"/>
                <w:bottom w:w="0" w:type="dxa"/>
                <w:right w:w="108" w:type="dxa"/>
              </w:tblCellMar>
            </w:tblPr>
            <w:tblGrid>
              <w:gridCol w:w="328"/>
              <w:gridCol w:w="329"/>
              <w:gridCol w:w="329"/>
              <w:gridCol w:w="4136"/>
              <w:gridCol w:w="969"/>
              <w:gridCol w:w="732"/>
              <w:gridCol w:w="548"/>
              <w:gridCol w:w="870"/>
              <w:gridCol w:w="1701"/>
            </w:tblGrid>
            <w:tr>
              <w:tblPrEx>
                <w:tblCellMar>
                  <w:top w:w="0" w:type="dxa"/>
                  <w:left w:w="108" w:type="dxa"/>
                  <w:bottom w:w="0" w:type="dxa"/>
                  <w:right w:w="108" w:type="dxa"/>
                </w:tblCellMar>
              </w:tblPrEx>
              <w:trPr>
                <w:trHeight w:val="255" w:hRule="atLeast"/>
              </w:trPr>
              <w:tc>
                <w:tcPr>
                  <w:tcW w:w="32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2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2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1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6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71"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5122"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部门：保定市满城区医疗保障局</w:t>
                  </w:r>
                </w:p>
              </w:tc>
              <w:tc>
                <w:tcPr>
                  <w:tcW w:w="96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51" w:type="dxa"/>
                  <w:gridSpan w:val="4"/>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12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820"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41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701"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418"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70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1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0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1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0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1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0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1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0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5122"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701"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418"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70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5122"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599.23</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23.56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575.68</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16.75</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其他社会保障和就业支出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2089901</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其他社会保障和就业支出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582.49</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570.68</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21012</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财政对基本医疗保险基金的补助</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2101202</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财政对城乡居民基本医疗保险基金的补助</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医疗救助</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2101301</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城乡医疗救助</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55.69</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医疗保障管理事务</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26.79</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14.98</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2101501</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2101502</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14.98</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14.98</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2101506</w:t>
                  </w:r>
                </w:p>
              </w:tc>
              <w:tc>
                <w:tcPr>
                  <w:tcW w:w="41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医疗保障经办事务</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9.31</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9.31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9942" w:type="dxa"/>
                  <w:gridSpan w:val="9"/>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bl>
          <w:p>
            <w:pPr>
              <w:widowControl/>
              <w:jc w:val="center"/>
              <w:textAlignment w:val="center"/>
              <w:rPr>
                <w:rFonts w:ascii="黑体" w:hAnsi="宋体" w:eastAsia="黑体" w:cs="黑体"/>
                <w:color w:val="000000"/>
                <w:sz w:val="32"/>
                <w:szCs w:val="3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Arial"/>
                <w:color w:val="000000"/>
                <w:kern w:val="0"/>
                <w:sz w:val="20"/>
                <w:szCs w:val="20"/>
              </w:rPr>
              <w:t>保定市满城区医疗保障局</w:t>
            </w: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16.06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4.31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rPr>
              <w:t>5</w:t>
            </w:r>
            <w:r>
              <w:rPr>
                <w:rFonts w:hint="eastAsia" w:ascii="宋体" w:hAnsi="宋体" w:eastAsia="宋体" w:cs="宋体"/>
                <w:color w:val="000000"/>
                <w:sz w:val="20"/>
                <w:szCs w:val="20"/>
                <w:lang w:val="en-US" w:eastAsia="zh-CN"/>
              </w:rPr>
              <w:t>.00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11.75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2.5</w:t>
            </w:r>
            <w:r>
              <w:rPr>
                <w:rFonts w:hint="eastAsia" w:ascii="宋体" w:hAnsi="宋体" w:eastAsia="宋体" w:cs="宋体"/>
                <w:color w:val="000000"/>
                <w:sz w:val="20"/>
                <w:szCs w:val="20"/>
                <w:lang w:val="en-US" w:eastAsia="zh-CN"/>
              </w:rPr>
              <w:t>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16.06</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7.5</w:t>
            </w:r>
            <w:r>
              <w:rPr>
                <w:rFonts w:hint="eastAsia" w:ascii="宋体" w:hAnsi="宋体" w:eastAsia="宋体" w:cs="宋体"/>
                <w:color w:val="000000"/>
                <w:sz w:val="20"/>
                <w:szCs w:val="20"/>
                <w:lang w:val="en-US" w:eastAsia="zh-CN"/>
              </w:rPr>
              <w:t>0</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2230"/>
        <w:gridCol w:w="1435"/>
        <w:gridCol w:w="1435"/>
        <w:gridCol w:w="1281"/>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8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Arial"/>
                <w:color w:val="000000"/>
                <w:kern w:val="0"/>
                <w:sz w:val="20"/>
                <w:szCs w:val="20"/>
              </w:rPr>
              <w:t>保定市满城区医疗保障局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8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230"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151"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4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28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2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4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4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28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15.2</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15.2</w:t>
            </w:r>
            <w:r>
              <w:rPr>
                <w:rFonts w:hint="eastAsia" w:ascii="宋体" w:hAnsi="宋体" w:eastAsia="宋体" w:cs="宋体"/>
                <w:color w:val="000000"/>
                <w:sz w:val="22"/>
                <w:lang w:val="en-US" w:eastAsia="zh-CN"/>
              </w:rPr>
              <w:t>0</w:t>
            </w:r>
          </w:p>
        </w:tc>
        <w:tc>
          <w:tcPr>
            <w:tcW w:w="14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12.7</w:t>
            </w:r>
            <w:r>
              <w:rPr>
                <w:rFonts w:hint="eastAsia" w:ascii="宋体" w:hAnsi="宋体" w:eastAsia="宋体" w:cs="宋体"/>
                <w:color w:val="000000"/>
                <w:sz w:val="22"/>
                <w:lang w:val="en-US" w:eastAsia="zh-CN"/>
              </w:rPr>
              <w:t>0</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2.5</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230"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151"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4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28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22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4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4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28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14.98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14.98</w:t>
            </w:r>
          </w:p>
        </w:tc>
        <w:tc>
          <w:tcPr>
            <w:tcW w:w="143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12.7</w:t>
            </w:r>
            <w:r>
              <w:rPr>
                <w:rFonts w:hint="eastAsia" w:ascii="宋体" w:hAnsi="宋体" w:eastAsia="宋体" w:cs="宋体"/>
                <w:color w:val="000000"/>
                <w:sz w:val="22"/>
                <w:lang w:val="en-US" w:eastAsia="zh-CN"/>
              </w:rPr>
              <w:t>0</w:t>
            </w:r>
          </w:p>
        </w:tc>
        <w:tc>
          <w:tcPr>
            <w:tcW w:w="1281"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2.28</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2830"/>
        <w:gridCol w:w="36"/>
        <w:gridCol w:w="36"/>
        <w:gridCol w:w="910"/>
        <w:gridCol w:w="950"/>
        <w:gridCol w:w="950"/>
        <w:gridCol w:w="950"/>
        <w:gridCol w:w="950"/>
        <w:gridCol w:w="950"/>
        <w:gridCol w:w="9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Arial"/>
                <w:color w:val="000000"/>
                <w:kern w:val="0"/>
                <w:sz w:val="20"/>
                <w:szCs w:val="20"/>
              </w:rPr>
              <w:t>保定市满城区医疗保障局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35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1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22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注：本表反映部门本年度政府性基金预算财政拨款收入、支出及结转和结余情况。本部门本年度无收支及结转结余情况，按要求以空表列示。</w:t>
      </w:r>
      <w:r>
        <w:br w:type="page"/>
      </w:r>
    </w:p>
    <w:tbl>
      <w:tblPr>
        <w:tblStyle w:val="6"/>
        <w:tblW w:w="9915" w:type="dxa"/>
        <w:jc w:val="center"/>
        <w:tblLayout w:type="autofit"/>
        <w:tblCellMar>
          <w:top w:w="0" w:type="dxa"/>
          <w:left w:w="0" w:type="dxa"/>
          <w:bottom w:w="0" w:type="dxa"/>
          <w:right w:w="0" w:type="dxa"/>
        </w:tblCellMar>
      </w:tblPr>
      <w:tblGrid>
        <w:gridCol w:w="3713"/>
        <w:gridCol w:w="47"/>
        <w:gridCol w:w="47"/>
        <w:gridCol w:w="3103"/>
        <w:gridCol w:w="617"/>
        <w:gridCol w:w="1194"/>
        <w:gridCol w:w="1194"/>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Arial"/>
                <w:color w:val="000000"/>
                <w:kern w:val="0"/>
                <w:sz w:val="20"/>
                <w:szCs w:val="20"/>
              </w:rPr>
              <w:t>保定市满城区医疗保障局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注：本表反映部门本年度国有资本经营预算财政拨款支出情况。本部门本年度无相关支出情况，按要求以空表列示。</w:t>
      </w:r>
      <w:r>
        <w:br w:type="page"/>
      </w:r>
    </w:p>
    <w:p>
      <w:r>
        <w:pict>
          <v:rect id="_x0000_s1105" o:spid="_x0000_s1105" o:spt="1" style="position:absolute;left:0pt;margin-left:-70.5pt;margin-top:-85.25pt;height:841.15pt;width:595.1pt;z-index:251659264;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思源黑体 HW Bold">
    <w:altName w:val="宋体"/>
    <w:panose1 w:val="00000000000000000000"/>
    <w:charset w:val="86"/>
    <w:family w:val="swiss"/>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5363C"/>
    <w:rsid w:val="0007063E"/>
    <w:rsid w:val="00071ADD"/>
    <w:rsid w:val="00073392"/>
    <w:rsid w:val="00073F4E"/>
    <w:rsid w:val="00085C13"/>
    <w:rsid w:val="00086C89"/>
    <w:rsid w:val="000A39FB"/>
    <w:rsid w:val="00117746"/>
    <w:rsid w:val="00125A04"/>
    <w:rsid w:val="00163F95"/>
    <w:rsid w:val="00180A9A"/>
    <w:rsid w:val="001829C0"/>
    <w:rsid w:val="00184809"/>
    <w:rsid w:val="00185966"/>
    <w:rsid w:val="0019063E"/>
    <w:rsid w:val="00192112"/>
    <w:rsid w:val="001B0127"/>
    <w:rsid w:val="001C12D5"/>
    <w:rsid w:val="001C69F7"/>
    <w:rsid w:val="001E45D3"/>
    <w:rsid w:val="00253595"/>
    <w:rsid w:val="002650EC"/>
    <w:rsid w:val="00271BCE"/>
    <w:rsid w:val="002A6C46"/>
    <w:rsid w:val="002C19B5"/>
    <w:rsid w:val="002D077C"/>
    <w:rsid w:val="00314566"/>
    <w:rsid w:val="00343042"/>
    <w:rsid w:val="00371224"/>
    <w:rsid w:val="0038437A"/>
    <w:rsid w:val="003A4EE8"/>
    <w:rsid w:val="00404B57"/>
    <w:rsid w:val="004115B2"/>
    <w:rsid w:val="00442CC2"/>
    <w:rsid w:val="00446244"/>
    <w:rsid w:val="00466F3F"/>
    <w:rsid w:val="00473C20"/>
    <w:rsid w:val="00475CAD"/>
    <w:rsid w:val="00490F96"/>
    <w:rsid w:val="004B5294"/>
    <w:rsid w:val="004C185F"/>
    <w:rsid w:val="004D61CB"/>
    <w:rsid w:val="004F4BB7"/>
    <w:rsid w:val="005011D6"/>
    <w:rsid w:val="00503F2E"/>
    <w:rsid w:val="005046C9"/>
    <w:rsid w:val="00510B19"/>
    <w:rsid w:val="00552226"/>
    <w:rsid w:val="00566120"/>
    <w:rsid w:val="00582E6D"/>
    <w:rsid w:val="005954D5"/>
    <w:rsid w:val="005A53FA"/>
    <w:rsid w:val="005A57BF"/>
    <w:rsid w:val="005D1293"/>
    <w:rsid w:val="00601265"/>
    <w:rsid w:val="0060593C"/>
    <w:rsid w:val="00644D5F"/>
    <w:rsid w:val="006727AD"/>
    <w:rsid w:val="00691425"/>
    <w:rsid w:val="006A516E"/>
    <w:rsid w:val="006B0830"/>
    <w:rsid w:val="006F30A8"/>
    <w:rsid w:val="00701C1A"/>
    <w:rsid w:val="00712402"/>
    <w:rsid w:val="00714A0A"/>
    <w:rsid w:val="00716E2B"/>
    <w:rsid w:val="0072015C"/>
    <w:rsid w:val="007228F4"/>
    <w:rsid w:val="007520B5"/>
    <w:rsid w:val="00770F18"/>
    <w:rsid w:val="00773B74"/>
    <w:rsid w:val="00781FF5"/>
    <w:rsid w:val="0078290C"/>
    <w:rsid w:val="007953E4"/>
    <w:rsid w:val="007C06CA"/>
    <w:rsid w:val="0080378E"/>
    <w:rsid w:val="008163FB"/>
    <w:rsid w:val="0082605B"/>
    <w:rsid w:val="00855C36"/>
    <w:rsid w:val="00857DBE"/>
    <w:rsid w:val="008701BC"/>
    <w:rsid w:val="008733DB"/>
    <w:rsid w:val="00883D92"/>
    <w:rsid w:val="00893F40"/>
    <w:rsid w:val="008A21E4"/>
    <w:rsid w:val="008A5362"/>
    <w:rsid w:val="008D3E50"/>
    <w:rsid w:val="008F21F1"/>
    <w:rsid w:val="008F221B"/>
    <w:rsid w:val="008F5A2D"/>
    <w:rsid w:val="00921602"/>
    <w:rsid w:val="009369EF"/>
    <w:rsid w:val="00957EA1"/>
    <w:rsid w:val="00966E5B"/>
    <w:rsid w:val="00967DAD"/>
    <w:rsid w:val="00992DCE"/>
    <w:rsid w:val="009A09AE"/>
    <w:rsid w:val="009B4EF0"/>
    <w:rsid w:val="009C4CB0"/>
    <w:rsid w:val="009D271F"/>
    <w:rsid w:val="009D6EA1"/>
    <w:rsid w:val="00A250E3"/>
    <w:rsid w:val="00A4337A"/>
    <w:rsid w:val="00A5366B"/>
    <w:rsid w:val="00A61F37"/>
    <w:rsid w:val="00A755B2"/>
    <w:rsid w:val="00A929C2"/>
    <w:rsid w:val="00AA0E78"/>
    <w:rsid w:val="00AD097F"/>
    <w:rsid w:val="00B0550A"/>
    <w:rsid w:val="00B80A7E"/>
    <w:rsid w:val="00B844F4"/>
    <w:rsid w:val="00BA06A1"/>
    <w:rsid w:val="00BA770A"/>
    <w:rsid w:val="00BB1D52"/>
    <w:rsid w:val="00BC0626"/>
    <w:rsid w:val="00BE0007"/>
    <w:rsid w:val="00BE20E6"/>
    <w:rsid w:val="00BE503C"/>
    <w:rsid w:val="00BF4D15"/>
    <w:rsid w:val="00C054DE"/>
    <w:rsid w:val="00C54C6C"/>
    <w:rsid w:val="00C679A9"/>
    <w:rsid w:val="00C747A0"/>
    <w:rsid w:val="00C7541C"/>
    <w:rsid w:val="00C975E9"/>
    <w:rsid w:val="00CA0449"/>
    <w:rsid w:val="00CA22A6"/>
    <w:rsid w:val="00CC0FAA"/>
    <w:rsid w:val="00CC1BA9"/>
    <w:rsid w:val="00CD0736"/>
    <w:rsid w:val="00CD35D8"/>
    <w:rsid w:val="00D03311"/>
    <w:rsid w:val="00D1570F"/>
    <w:rsid w:val="00D32830"/>
    <w:rsid w:val="00D70AB5"/>
    <w:rsid w:val="00D86932"/>
    <w:rsid w:val="00D96DE2"/>
    <w:rsid w:val="00DA61A3"/>
    <w:rsid w:val="00DB7153"/>
    <w:rsid w:val="00DB7F05"/>
    <w:rsid w:val="00DD164F"/>
    <w:rsid w:val="00DE0DE7"/>
    <w:rsid w:val="00E028C3"/>
    <w:rsid w:val="00E138ED"/>
    <w:rsid w:val="00E14F77"/>
    <w:rsid w:val="00E3076B"/>
    <w:rsid w:val="00E36978"/>
    <w:rsid w:val="00E64ADA"/>
    <w:rsid w:val="00E82A1E"/>
    <w:rsid w:val="00E90CB7"/>
    <w:rsid w:val="00EB715B"/>
    <w:rsid w:val="00EC06F4"/>
    <w:rsid w:val="00EC0EA5"/>
    <w:rsid w:val="00EE4E36"/>
    <w:rsid w:val="00EF6F09"/>
    <w:rsid w:val="00F32841"/>
    <w:rsid w:val="00F46C23"/>
    <w:rsid w:val="00F665F4"/>
    <w:rsid w:val="00F67620"/>
    <w:rsid w:val="00FB1D00"/>
    <w:rsid w:val="00FD225F"/>
    <w:rsid w:val="00FD3E72"/>
    <w:rsid w:val="00FD7A03"/>
    <w:rsid w:val="00FF43A4"/>
    <w:rsid w:val="1D47770C"/>
    <w:rsid w:val="279E770F"/>
    <w:rsid w:val="31C2036A"/>
    <w:rsid w:val="320D02A5"/>
    <w:rsid w:val="348E566F"/>
    <w:rsid w:val="3A226944"/>
    <w:rsid w:val="3AEE6A48"/>
    <w:rsid w:val="3C1620AA"/>
    <w:rsid w:val="3D8F080F"/>
    <w:rsid w:val="3F66316F"/>
    <w:rsid w:val="44CE1FA4"/>
    <w:rsid w:val="487F73ED"/>
    <w:rsid w:val="4A347EAE"/>
    <w:rsid w:val="51275D65"/>
    <w:rsid w:val="52600405"/>
    <w:rsid w:val="529B4319"/>
    <w:rsid w:val="57773DD6"/>
    <w:rsid w:val="578B79AB"/>
    <w:rsid w:val="5CCD3FD5"/>
    <w:rsid w:val="61FA5F9D"/>
    <w:rsid w:val="64CD6910"/>
    <w:rsid w:val="65C25C43"/>
    <w:rsid w:val="6789158D"/>
    <w:rsid w:val="67D81BA4"/>
    <w:rsid w:val="69921C7B"/>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4">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41"/>
    <customShpInfo spid="_x0000_s1042"/>
    <customShpInfo spid="_x0000_s1040"/>
    <customShpInfo spid="_x0000_s1034"/>
    <customShpInfo spid="_x0000_s1035"/>
    <customShpInfo spid="_x0000_s1038"/>
    <customShpInfo spid="_x0000_s1039"/>
    <customShpInfo spid="_x0000_s1037"/>
    <customShpInfo spid="_x0000_s1043"/>
    <customShpInfo spid="_x0000_s1036"/>
    <customShpInfo spid="_x0000_s1033"/>
    <customShpInfo spid="_x0000_s1053"/>
    <customShpInfo spid="_x0000_s1061"/>
    <customShpInfo spid="_x0000_s1062"/>
    <customShpInfo spid="_x0000_s1088"/>
    <customShpInfo spid="_x0000_s1089"/>
    <customShpInfo spid="_x0000_s110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A0210-1397-434E-A679-0BC96A7578A8}">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26</Pages>
  <Words>1555</Words>
  <Characters>8868</Characters>
  <Lines>73</Lines>
  <Paragraphs>20</Paragraphs>
  <TotalTime>4</TotalTime>
  <ScaleCrop>false</ScaleCrop>
  <LinksUpToDate>false</LinksUpToDate>
  <CharactersWithSpaces>10403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NTKO</cp:lastModifiedBy>
  <cp:lastPrinted>2021-05-08T07:59:00Z</cp:lastPrinted>
  <dcterms:modified xsi:type="dcterms:W3CDTF">2023-06-09T01:00:18Z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53A4CAB1E56247668DB6561D269DB6F3</vt:lpwstr>
  </property>
</Properties>
</file>