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drawing>
          <wp:anchor distT="0" distB="0" distL="114300" distR="114300" simplePos="0" relativeHeight="251659264" behindDoc="1" locked="0" layoutInCell="1" allowOverlap="1">
            <wp:simplePos x="0" y="0"/>
            <wp:positionH relativeFrom="column">
              <wp:posOffset>-962660</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2092325</wp:posOffset>
            </wp:positionH>
            <wp:positionV relativeFrom="paragraph">
              <wp:posOffset>7769860</wp:posOffset>
            </wp:positionV>
            <wp:extent cx="1724025" cy="628650"/>
            <wp:effectExtent l="0" t="0" r="952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1724025" cy="628650"/>
                    </a:xfrm>
                    <a:prstGeom prst="rect">
                      <a:avLst/>
                    </a:prstGeom>
                    <a:noFill/>
                    <a:ln>
                      <a:noFill/>
                    </a:ln>
                  </pic:spPr>
                </pic:pic>
              </a:graphicData>
            </a:graphic>
          </wp:anchor>
        </w:drawing>
      </w:r>
      <w:r>
        <w:br w:type="page"/>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保定市满城区方顺桥镇人民</w:t>
      </w:r>
      <w:r>
        <w:rPr>
          <w:rFonts w:hint="eastAsia" w:ascii="黑体" w:hAnsi="黑体" w:eastAsia="黑体" w:cs="黑体"/>
          <w:sz w:val="52"/>
          <w:szCs w:val="52"/>
          <w:lang w:val="en-US" w:eastAsia="zh-CN"/>
        </w:rPr>
        <w:t>政</w:t>
      </w:r>
      <w:r>
        <w:rPr>
          <w:rFonts w:hint="eastAsia" w:ascii="黑体" w:hAnsi="黑体" w:eastAsia="黑体" w:cs="黑体"/>
          <w:sz w:val="52"/>
          <w:szCs w:val="52"/>
          <w:lang w:eastAsia="zh-CN"/>
        </w:rPr>
        <w:t>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（一）宣传贯彻执行党的路线方针政策和党中央、上级党组织及本乡党员代表大会</w:t>
      </w:r>
      <w:r>
        <w:rPr>
          <w:rFonts w:ascii="仿宋_GB2312" w:eastAsia="仿宋_GB2312" w:cs="Arial Black"/>
          <w:kern w:val="0"/>
          <w:sz w:val="32"/>
          <w:szCs w:val="32"/>
        </w:rPr>
        <w:t>(</w:t>
      </w:r>
      <w:r>
        <w:rPr>
          <w:rFonts w:hint="eastAsia" w:ascii="仿宋_GB2312" w:eastAsia="仿宋_GB2312" w:cs="Arial Black"/>
          <w:kern w:val="0"/>
          <w:sz w:val="32"/>
          <w:szCs w:val="32"/>
        </w:rPr>
        <w:t>党员大会</w:t>
      </w:r>
      <w:r>
        <w:rPr>
          <w:rFonts w:ascii="仿宋_GB2312" w:eastAsia="仿宋_GB2312" w:cs="Arial Black"/>
          <w:kern w:val="0"/>
          <w:sz w:val="32"/>
          <w:szCs w:val="32"/>
        </w:rPr>
        <w:t>)</w:t>
      </w:r>
      <w:r>
        <w:rPr>
          <w:rFonts w:hint="eastAsia" w:ascii="仿宋_GB2312" w:eastAsia="仿宋_GB2312" w:cs="Arial Black"/>
          <w:kern w:val="0"/>
          <w:sz w:val="32"/>
          <w:szCs w:val="32"/>
        </w:rPr>
        <w:t>的决议。贯彻执行法律、法规、规章和上级人民代表大会及其常务委员会决议及上级政府的决定、命令，执行本级人民代表大会的决议。</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（三）讨论和决定本乡经济建设、政治建设、文化建设、社会建设、生态文明建设和党的建设以及乡村振兴中的重大问题。</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600" w:lineRule="exact"/>
        <w:ind w:firstLine="640" w:firstLineChars="200"/>
        <w:jc w:val="left"/>
        <w:rPr>
          <w:rFonts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乡便民服务平台标准化建设，实行“一站式服务”“一枚印章管审批（服务）”，提升群众获得感和幸福感。</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（七）乡党委领导乡政权机关、群团组织和其他各类组织</w:t>
      </w:r>
      <w:r>
        <w:rPr>
          <w:rFonts w:ascii="仿宋_GB2312" w:eastAsia="仿宋_GB2312" w:cs="Arial Black"/>
          <w:kern w:val="0"/>
          <w:sz w:val="32"/>
          <w:szCs w:val="32"/>
        </w:rPr>
        <w:t>,</w:t>
      </w:r>
      <w:r>
        <w:rPr>
          <w:rFonts w:hint="eastAsia" w:ascii="仿宋_GB2312" w:eastAsia="仿宋_GB2312" w:cs="Arial Black"/>
          <w:kern w:val="0"/>
          <w:sz w:val="32"/>
          <w:szCs w:val="32"/>
        </w:rPr>
        <w:t>加强指导和规范，支持和保证这些机关和组织依照国家法律法规以及各自章程履行职责。坚持党管武装的根本原则和制度</w:t>
      </w:r>
      <w:r>
        <w:rPr>
          <w:rFonts w:ascii="仿宋_GB2312" w:eastAsia="仿宋_GB2312" w:cs="Arial Black"/>
          <w:kern w:val="0"/>
          <w:sz w:val="32"/>
          <w:szCs w:val="32"/>
        </w:rPr>
        <w:t>,</w:t>
      </w:r>
      <w:r>
        <w:rPr>
          <w:rFonts w:hint="eastAsia" w:ascii="仿宋_GB2312" w:eastAsia="仿宋_GB2312" w:cs="Arial Black"/>
          <w:kern w:val="0"/>
          <w:sz w:val="32"/>
          <w:szCs w:val="32"/>
        </w:rPr>
        <w:t>协调各方力量，对乡人民武装工作实行统一领导。</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（八）加强乡党委自身建设和村党组织建设，以及其他隶属乡党委的党组织建设，抓好发展党员工作，加强党员队伍建设。维护和执行党的纪律，监督党员干部和其他任何工作人员严格遵守国家法律法规。</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（九）按照干部管理权限，负责对干部的教育、培训、选拔、考核和监督工作。协助管理上级有关部门驻乡单位的干部。做好人才服务工作。</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（十）领导本乡的基层治理，加强社会主义民主法治建设和精神文明建设，加强社会治安综合治理</w:t>
      </w:r>
      <w:r>
        <w:rPr>
          <w:rFonts w:ascii="仿宋_GB2312" w:eastAsia="仿宋_GB2312" w:cs="Arial Black"/>
          <w:kern w:val="0"/>
          <w:sz w:val="32"/>
          <w:szCs w:val="32"/>
        </w:rPr>
        <w:t>,推行</w:t>
      </w:r>
      <w:r>
        <w:rPr>
          <w:rFonts w:hint="eastAsia" w:ascii="仿宋_GB2312" w:eastAsia="仿宋_GB2312" w:cs="Arial Black"/>
          <w:kern w:val="0"/>
          <w:sz w:val="32"/>
          <w:szCs w:val="32"/>
        </w:rPr>
        <w:t>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spacing w:line="60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ind w:firstLine="576"/>
        <w:rPr>
          <w:rFonts w:ascii="仿宋_GB2312" w:hAnsi="Calibri"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满城区方顺桥镇人民政府</w:t>
            </w:r>
          </w:p>
        </w:tc>
        <w:tc>
          <w:tcPr>
            <w:tcW w:w="2404"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行政</w:t>
            </w:r>
          </w:p>
        </w:tc>
        <w:tc>
          <w:tcPr>
            <w:tcW w:w="2622"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万元。与2019年度决算相比，收支各减少</w:t>
      </w:r>
      <w:r>
        <w:rPr>
          <w:rFonts w:hint="eastAsia" w:ascii="仿宋_GB2312" w:hAnsi="Times New Roman" w:eastAsia="仿宋_GB2312" w:cs="Wingdings"/>
          <w:sz w:val="32"/>
          <w:szCs w:val="32"/>
          <w:lang w:val="en-US" w:eastAsia="zh-CN"/>
        </w:rPr>
        <w:t>1453.97</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20.00</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2020年度京车造车项目征地补偿款减少</w:t>
      </w:r>
      <w:r>
        <w:rPr>
          <w:rFonts w:hint="eastAsia" w:ascii="仿宋_GB2312" w:hAnsi="Times New Roman" w:eastAsia="仿宋_GB2312" w:cs="Wingdings"/>
          <w:sz w:val="32"/>
          <w:szCs w:val="32"/>
        </w:rPr>
        <w:t>。</w:t>
      </w:r>
    </w:p>
    <w:p>
      <w:pPr>
        <w:tabs>
          <w:tab w:val="left" w:pos="5800"/>
        </w:tabs>
        <w:adjustRightInd w:val="0"/>
        <w:snapToGrid w:val="0"/>
        <w:spacing w:line="600" w:lineRule="exact"/>
        <w:ind w:firstLine="320" w:firstLineChars="100"/>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hint="eastAsia" w:ascii="黑体" w:hAnsi="Calibri" w:eastAsia="仿宋_GB2312" w:cs="Times New Roman"/>
          <w:sz w:val="32"/>
          <w:szCs w:val="32"/>
          <w:lang w:val="en-US" w:eastAsia="zh-CN"/>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其中：财政拨款收入</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万元，占100%；事业收入0万元，占0 %；经营收入0万元，占0 %；其他收入0万元，占0 %。</w:t>
      </w:r>
    </w:p>
    <w:p>
      <w:pPr>
        <w:snapToGrid w:val="0"/>
        <w:spacing w:line="600" w:lineRule="exact"/>
        <w:ind w:firstLine="320" w:firstLineChars="1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hint="eastAsia" w:ascii="黑体" w:hAnsi="Calibri" w:eastAsia="仿宋_GB2312" w:cs="Times New Roman"/>
          <w:b/>
          <w:bCs/>
          <w:sz w:val="32"/>
          <w:szCs w:val="32"/>
          <w:lang w:eastAsia="zh-CN"/>
        </w:rPr>
      </w:pPr>
      <w:r>
        <w:rPr>
          <w:rFonts w:hint="eastAsia" w:ascii="仿宋_GB2312" w:hAnsi="Times New Roman" w:eastAsia="仿宋_GB2312" w:cs="Wingdings"/>
          <w:sz w:val="32"/>
          <w:szCs w:val="32"/>
        </w:rPr>
        <w:t>本部门2020年度本年支出</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其中：基本支出</w:t>
      </w:r>
      <w:r>
        <w:rPr>
          <w:rFonts w:hint="eastAsia" w:ascii="仿宋_GB2312" w:hAnsi="Times New Roman" w:eastAsia="仿宋_GB2312" w:cs="Wingdings"/>
          <w:sz w:val="32"/>
          <w:szCs w:val="32"/>
          <w:lang w:val="en-US" w:eastAsia="zh-CN"/>
        </w:rPr>
        <w:t>1658.73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29.00</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4080.16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71.00</w:t>
      </w:r>
      <w:r>
        <w:rPr>
          <w:rFonts w:hint="eastAsia" w:ascii="仿宋_GB2312" w:hAnsi="Times New Roman" w:eastAsia="仿宋_GB2312" w:cs="Wingdings"/>
          <w:sz w:val="32"/>
          <w:szCs w:val="32"/>
        </w:rPr>
        <w:t>%；经营支出0万元，占0 %。</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万元,比2019年度减少</w:t>
      </w:r>
      <w:r>
        <w:rPr>
          <w:rFonts w:hint="eastAsia" w:ascii="仿宋_GB2312" w:hAnsi="Times New Roman" w:eastAsia="仿宋_GB2312" w:cs="Wingdings"/>
          <w:sz w:val="32"/>
          <w:szCs w:val="32"/>
          <w:lang w:val="en-US" w:eastAsia="zh-CN"/>
        </w:rPr>
        <w:t>1453.97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20.00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2020年度京车造车项目征地补偿款减少</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万元，减少</w:t>
      </w:r>
      <w:r>
        <w:rPr>
          <w:rFonts w:hint="eastAsia" w:ascii="仿宋_GB2312" w:hAnsi="Times New Roman" w:eastAsia="仿宋_GB2312" w:cs="Wingdings"/>
          <w:sz w:val="32"/>
          <w:szCs w:val="32"/>
          <w:lang w:val="en-US" w:eastAsia="zh-CN"/>
        </w:rPr>
        <w:t>1453.97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20.00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2019年度京车造车项目征地补偿款减少</w:t>
      </w:r>
      <w:r>
        <w:rPr>
          <w:rFonts w:hint="eastAsia" w:ascii="仿宋_GB2312" w:hAnsi="Times New Roman" w:eastAsia="仿宋_GB2312" w:cs="Wingdings"/>
          <w:sz w:val="32"/>
          <w:szCs w:val="32"/>
        </w:rPr>
        <w:t>。具体情况如下：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1738.89</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505.43</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在职人员工资福利的增长</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1738.89</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505.43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在职人员工资福利的增长</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4000.00</w:t>
      </w:r>
      <w:r>
        <w:rPr>
          <w:rFonts w:hint="eastAsia" w:ascii="仿宋_GB2312" w:hAnsi="Times New Roman" w:eastAsia="仿宋_GB2312" w:cs="Wingdings"/>
          <w:sz w:val="32"/>
          <w:szCs w:val="32"/>
        </w:rPr>
        <w:t>万元，比上年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1959.40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33.00</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降低了</w:t>
      </w:r>
      <w:r>
        <w:rPr>
          <w:rFonts w:hint="eastAsia" w:ascii="仿宋_GB2312" w:hAnsi="Times New Roman" w:eastAsia="仿宋_GB2312" w:cs="Wingdings"/>
          <w:sz w:val="32"/>
          <w:szCs w:val="32"/>
          <w:lang w:val="en-US" w:eastAsia="zh-CN"/>
        </w:rPr>
        <w:t>2020年度京车造车项目征地补偿款</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4000.00</w:t>
      </w:r>
      <w:r>
        <w:rPr>
          <w:rFonts w:hint="eastAsia" w:ascii="仿宋_GB2312" w:hAnsi="Times New Roman" w:eastAsia="仿宋_GB2312" w:cs="Wingdings"/>
          <w:sz w:val="32"/>
          <w:szCs w:val="32"/>
        </w:rPr>
        <w:t>万元，比上年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1959.40</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降低</w:t>
      </w:r>
      <w:r>
        <w:rPr>
          <w:rFonts w:hint="eastAsia" w:ascii="仿宋_GB2312" w:hAnsi="Times New Roman" w:eastAsia="仿宋_GB2312" w:cs="Wingdings"/>
          <w:sz w:val="32"/>
          <w:szCs w:val="32"/>
          <w:lang w:val="en-US" w:eastAsia="zh-CN"/>
        </w:rPr>
        <w:t>33.00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降低了</w:t>
      </w:r>
      <w:r>
        <w:rPr>
          <w:rFonts w:hint="eastAsia" w:ascii="仿宋_GB2312" w:hAnsi="Times New Roman" w:eastAsia="仿宋_GB2312" w:cs="Wingdings"/>
          <w:sz w:val="32"/>
          <w:szCs w:val="32"/>
          <w:lang w:val="en-US" w:eastAsia="zh-CN"/>
        </w:rPr>
        <w:t>2020年度京车造车项目征地补偿款</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1738.89</w:t>
      </w:r>
      <w:r>
        <w:rPr>
          <w:rFonts w:hint="eastAsia" w:ascii="仿宋_GB2312" w:hAnsi="Times New Roman" w:eastAsia="仿宋_GB2312" w:cs="Wingdings"/>
          <w:sz w:val="32"/>
          <w:szCs w:val="32"/>
        </w:rPr>
        <w:t>万元，比年初预算增加</w:t>
      </w:r>
      <w:r>
        <w:rPr>
          <w:rFonts w:hint="eastAsia" w:ascii="仿宋_GB2312" w:hAnsi="Times New Roman" w:eastAsia="仿宋_GB2312" w:cs="Wingdings"/>
          <w:sz w:val="32"/>
          <w:szCs w:val="32"/>
          <w:lang w:val="en-US" w:eastAsia="zh-CN"/>
        </w:rPr>
        <w:t>491.19</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eastAsia="zh-CN"/>
        </w:rPr>
        <w:t>在职人员工资福利的增长</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1738.89</w:t>
      </w:r>
      <w:r>
        <w:rPr>
          <w:rFonts w:hint="eastAsia" w:ascii="仿宋_GB2312" w:hAnsi="Times New Roman" w:eastAsia="仿宋_GB2312" w:cs="Wingdings"/>
          <w:sz w:val="32"/>
          <w:szCs w:val="32"/>
        </w:rPr>
        <w:t>万元，比年初预算增加</w:t>
      </w:r>
      <w:r>
        <w:rPr>
          <w:rFonts w:hint="eastAsia" w:ascii="仿宋_GB2312" w:hAnsi="Times New Roman" w:eastAsia="仿宋_GB2312" w:cs="Wingdings"/>
          <w:sz w:val="32"/>
          <w:szCs w:val="32"/>
          <w:lang w:val="en-US" w:eastAsia="zh-CN"/>
        </w:rPr>
        <w:t>491.19</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eastAsia="zh-CN"/>
        </w:rPr>
        <w:t>在职人员工资福利的增长</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5738.89</w:t>
      </w:r>
      <w:r>
        <w:rPr>
          <w:rFonts w:hint="eastAsia" w:ascii="仿宋_GB2312" w:hAnsi="Times New Roman" w:eastAsia="仿宋_GB2312" w:cs="Wingdings"/>
          <w:sz w:val="32"/>
          <w:szCs w:val="32"/>
        </w:rPr>
        <w:t>万元，主要用于以下方面：一般公共服务（类）支出</w:t>
      </w:r>
      <w:r>
        <w:rPr>
          <w:rFonts w:hint="eastAsia" w:ascii="仿宋_GB2312" w:hAnsi="Times New Roman" w:eastAsia="仿宋_GB2312" w:cs="Wingdings"/>
          <w:sz w:val="32"/>
          <w:szCs w:val="32"/>
          <w:lang w:val="en-US" w:eastAsia="zh-CN"/>
        </w:rPr>
        <w:t>773.09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13.00</w:t>
      </w:r>
      <w:r>
        <w:rPr>
          <w:rFonts w:hint="eastAsia" w:ascii="仿宋_GB2312" w:hAnsi="Times New Roman" w:eastAsia="仿宋_GB2312" w:cs="Wingdings"/>
          <w:sz w:val="32"/>
          <w:szCs w:val="32"/>
        </w:rPr>
        <w:t>%，；教育（类）支出</w:t>
      </w:r>
      <w:r>
        <w:rPr>
          <w:rFonts w:hint="eastAsia" w:ascii="仿宋_GB2312" w:hAnsi="Times New Roman" w:eastAsia="仿宋_GB2312" w:cs="Wingdings"/>
          <w:sz w:val="32"/>
          <w:szCs w:val="32"/>
          <w:lang w:val="en-US" w:eastAsia="zh-CN"/>
        </w:rPr>
        <w:t>5.5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0.10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文化旅游体育与传媒</w:t>
      </w:r>
      <w:r>
        <w:rPr>
          <w:rFonts w:hint="eastAsia" w:ascii="仿宋_GB2312" w:hAnsi="Times New Roman" w:eastAsia="仿宋_GB2312" w:cs="Wingdings"/>
          <w:sz w:val="32"/>
          <w:szCs w:val="32"/>
        </w:rPr>
        <w:t>（类）支出</w:t>
      </w:r>
      <w:r>
        <w:rPr>
          <w:rFonts w:hint="eastAsia" w:ascii="仿宋_GB2312" w:hAnsi="Times New Roman" w:eastAsia="仿宋_GB2312" w:cs="Wingdings"/>
          <w:sz w:val="32"/>
          <w:szCs w:val="32"/>
          <w:lang w:val="en-US" w:eastAsia="zh-CN"/>
        </w:rPr>
        <w:t>19.99</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0.30</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85.57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1.50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34.19万元，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0.60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;节能环保支出20.00万元，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0.30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城乡社区支出</w:t>
      </w:r>
      <w:r>
        <w:rPr>
          <w:rFonts w:hint="eastAsia" w:ascii="仿宋_GB2312" w:hAnsi="Times New Roman" w:eastAsia="仿宋_GB2312" w:cs="Wingdings"/>
          <w:sz w:val="32"/>
          <w:szCs w:val="32"/>
          <w:lang w:val="en-US" w:eastAsia="zh-CN"/>
        </w:rPr>
        <w:t>4000.00万元，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70.00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;农林水支出760.58万元，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13.00</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39.97</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0.70</w:t>
      </w:r>
      <w:r>
        <w:rPr>
          <w:rFonts w:hint="eastAsia" w:ascii="仿宋_GB2312" w:hAnsi="Times New Roman" w:eastAsia="仿宋_GB2312" w:cs="Wingdings"/>
          <w:sz w:val="32"/>
          <w:szCs w:val="32"/>
        </w:rPr>
        <w:t>%。</w:t>
      </w:r>
    </w:p>
    <w:p>
      <w:pPr>
        <w:adjustRightInd w:val="0"/>
        <w:snapToGrid w:val="0"/>
        <w:spacing w:line="600" w:lineRule="exact"/>
        <w:ind w:firstLine="321" w:firstLineChars="100"/>
        <w:rPr>
          <w:rFonts w:ascii="仿宋_GB2312" w:hAnsi="Times New Roman" w:eastAsia="仿宋_GB2312" w:cs="Wingdings"/>
          <w:sz w:val="32"/>
          <w:szCs w:val="32"/>
          <w:highlight w:val="yellow"/>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1658.73</w:t>
      </w:r>
      <w:r>
        <w:rPr>
          <w:rFonts w:hint="eastAsia" w:ascii="仿宋_GB2312" w:hAnsi="Times New Roman" w:eastAsia="仿宋_GB2312" w:cs="Wingdings"/>
          <w:sz w:val="32"/>
          <w:szCs w:val="32"/>
        </w:rPr>
        <w:t>万元，其中：人员经费</w:t>
      </w:r>
      <w:r>
        <w:rPr>
          <w:rFonts w:hint="eastAsia" w:ascii="仿宋_GB2312" w:hAnsi="Times New Roman" w:eastAsia="仿宋_GB2312" w:cs="Wingdings"/>
          <w:sz w:val="32"/>
          <w:szCs w:val="32"/>
          <w:lang w:val="en-US" w:eastAsia="zh-CN"/>
        </w:rPr>
        <w:t>1373.84</w:t>
      </w:r>
      <w:r>
        <w:rPr>
          <w:rFonts w:hint="eastAsia" w:ascii="仿宋_GB2312" w:hAnsi="Times New Roman" w:eastAsia="仿宋_GB2312" w:cs="Wingdings"/>
          <w:sz w:val="32"/>
          <w:szCs w:val="32"/>
        </w:rPr>
        <w:t>万元，主要包括基本工资、津贴补贴、</w:t>
      </w:r>
      <w:r>
        <w:rPr>
          <w:rFonts w:hint="eastAsia" w:ascii="仿宋_GB2312" w:hAnsi="Times New Roman" w:eastAsia="仿宋_GB2312" w:cs="Wingdings"/>
          <w:sz w:val="32"/>
          <w:szCs w:val="32"/>
          <w:lang w:eastAsia="zh-CN"/>
        </w:rPr>
        <w:t>奖金、</w:t>
      </w:r>
      <w:r>
        <w:rPr>
          <w:rFonts w:hint="eastAsia" w:ascii="仿宋_GB2312" w:hAnsi="Times New Roman" w:eastAsia="仿宋_GB2312" w:cs="Wingdings"/>
          <w:sz w:val="32"/>
          <w:szCs w:val="32"/>
        </w:rPr>
        <w:t>绩效工资、机关事业单位基本养老保险缴费、职业年金缴费、职工基本医疗保险缴费、</w:t>
      </w:r>
      <w:r>
        <w:rPr>
          <w:rFonts w:hint="eastAsia" w:ascii="仿宋_GB2312" w:hAnsi="Times New Roman" w:eastAsia="仿宋_GB2312" w:cs="Wingdings"/>
          <w:sz w:val="32"/>
          <w:szCs w:val="32"/>
          <w:lang w:eastAsia="zh-CN"/>
        </w:rPr>
        <w:t>其他社会保障缴费、</w:t>
      </w:r>
      <w:r>
        <w:rPr>
          <w:rFonts w:hint="eastAsia" w:ascii="仿宋_GB2312" w:hAnsi="Times New Roman" w:eastAsia="仿宋_GB2312" w:cs="Wingdings"/>
          <w:sz w:val="32"/>
          <w:szCs w:val="32"/>
        </w:rPr>
        <w:t>住房公积金、其他工资福利支出、退休费、抚恤金、生活补助、奖励金、</w:t>
      </w:r>
      <w:r>
        <w:rPr>
          <w:rFonts w:hint="eastAsia" w:ascii="仿宋_GB2312" w:hAnsi="Times New Roman" w:eastAsia="仿宋_GB2312" w:cs="Wingdings"/>
          <w:sz w:val="32"/>
          <w:szCs w:val="32"/>
          <w:lang w:eastAsia="zh-CN"/>
        </w:rPr>
        <w:t>个人农业生产补贴、</w:t>
      </w:r>
      <w:r>
        <w:rPr>
          <w:rFonts w:hint="eastAsia" w:ascii="仿宋_GB2312" w:hAnsi="Times New Roman" w:eastAsia="仿宋_GB2312" w:cs="Wingdings"/>
          <w:sz w:val="32"/>
          <w:szCs w:val="32"/>
        </w:rPr>
        <w:t xml:space="preserve">其他对个人和家庭的补助支出；公用经费 </w:t>
      </w:r>
      <w:r>
        <w:rPr>
          <w:rFonts w:hint="eastAsia" w:ascii="仿宋_GB2312" w:hAnsi="Times New Roman" w:eastAsia="仿宋_GB2312" w:cs="Wingdings"/>
          <w:sz w:val="32"/>
          <w:szCs w:val="32"/>
          <w:lang w:val="en-US" w:eastAsia="zh-CN"/>
        </w:rPr>
        <w:t>284.89</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印刷费、</w:t>
      </w:r>
      <w:r>
        <w:rPr>
          <w:rFonts w:hint="eastAsia" w:ascii="仿宋_GB2312" w:hAnsi="Times New Roman" w:eastAsia="仿宋_GB2312" w:cs="Wingdings"/>
          <w:sz w:val="32"/>
          <w:szCs w:val="32"/>
        </w:rPr>
        <w:t>水费、电费、邮电费、取暖费、差旅费、</w:t>
      </w:r>
      <w:r>
        <w:rPr>
          <w:rFonts w:hint="eastAsia" w:ascii="仿宋_GB2312" w:hAnsi="Times New Roman" w:eastAsia="仿宋_GB2312" w:cs="Wingdings"/>
          <w:sz w:val="32"/>
          <w:szCs w:val="32"/>
          <w:lang w:eastAsia="zh-CN"/>
        </w:rPr>
        <w:t>维修（护）费、</w:t>
      </w:r>
      <w:r>
        <w:rPr>
          <w:rFonts w:hint="eastAsia" w:ascii="仿宋_GB2312" w:hAnsi="Times New Roman" w:eastAsia="仿宋_GB2312" w:cs="Wingdings"/>
          <w:sz w:val="32"/>
          <w:szCs w:val="32"/>
        </w:rPr>
        <w:t>租赁费、专用材料费、劳务费、委托业务费、福利费、公务用车运行维护费、其他交通费用。</w:t>
      </w:r>
    </w:p>
    <w:p>
      <w:pPr>
        <w:keepNext/>
        <w:keepLines/>
        <w:snapToGrid w:val="0"/>
        <w:spacing w:line="600" w:lineRule="exact"/>
        <w:ind w:firstLine="640" w:firstLineChars="200"/>
        <w:outlineLvl w:val="1"/>
        <w:rPr>
          <w:rFonts w:ascii="仿宋_GB2312" w:hAnsi="Times New Roman" w:eastAsia="仿宋_GB2312" w:cs="Wingdings"/>
          <w:sz w:val="32"/>
          <w:szCs w:val="32"/>
          <w:highlight w:val="yellow"/>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7.05</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5.96 万</w:t>
      </w:r>
      <w:r>
        <w:rPr>
          <w:rFonts w:hint="eastAsia" w:ascii="仿宋_GB2312" w:hAnsi="Times New Roman" w:eastAsia="仿宋_GB2312" w:cs="Wingdings"/>
          <w:sz w:val="32"/>
          <w:szCs w:val="32"/>
        </w:rPr>
        <w:t>元，较预算减少</w:t>
      </w:r>
      <w:r>
        <w:rPr>
          <w:rFonts w:hint="eastAsia" w:ascii="仿宋_GB2312" w:hAnsi="Times New Roman" w:eastAsia="仿宋_GB2312" w:cs="Wingdings"/>
          <w:sz w:val="32"/>
          <w:szCs w:val="32"/>
          <w:lang w:val="en-US" w:eastAsia="zh-CN"/>
        </w:rPr>
        <w:t>1.09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15.00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增加0万元，增长0%,主要是无因公出国费用支出；较上年增加0万元，增长0%,主要是无因公出国费用支出。</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楷体_GB2312" w:hAnsi="Times New Roman" w:eastAsia="楷体_GB2312" w:cs="Mongolian Baiti"/>
          <w:b/>
          <w:bCs/>
          <w:sz w:val="32"/>
          <w:szCs w:val="32"/>
          <w:lang w:val="en-US" w:eastAsia="zh-CN"/>
        </w:rPr>
        <w:t>2.</w:t>
      </w:r>
      <w:r>
        <w:rPr>
          <w:rFonts w:hint="eastAsia" w:ascii="楷体_GB2312" w:hAnsi="Times New Roman" w:eastAsia="楷体_GB2312" w:cs="Mongolian Baiti"/>
          <w:b/>
          <w:bCs/>
          <w:sz w:val="32"/>
          <w:szCs w:val="32"/>
        </w:rPr>
        <w:t>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5.96</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85.00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1.09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较预算增加0万元，增长0%,主要是无购置公务用车；较上年增加0万元，增长0%,主要是未发生“公务用车购置”经费支出。</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,发生运行维护费支出5.96万元，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1.09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压缩支出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 xml:space="preserve"> 3.公务接待费。</w:t>
      </w:r>
      <w:r>
        <w:rPr>
          <w:rFonts w:hint="eastAsia" w:ascii="仿宋_GB2312" w:hAnsi="仿宋_GB2312" w:eastAsia="仿宋_GB2312" w:cs="仿宋_GB2312"/>
          <w:sz w:val="32"/>
          <w:szCs w:val="32"/>
        </w:rPr>
        <w:t>本部门2020年公务接待费支出0万元，完成预算的0%。发生</w:t>
      </w:r>
      <w:r>
        <w:rPr>
          <w:rFonts w:hint="eastAsia" w:ascii="仿宋_GB2312" w:hAnsi="Times New Roman" w:eastAsia="仿宋_GB2312" w:cs="Wingdings"/>
          <w:sz w:val="32"/>
          <w:szCs w:val="32"/>
        </w:rPr>
        <w:t>公务接待共0批次、0人次。公务接待费支出较预算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主要是因为履行</w:t>
      </w:r>
      <w:r>
        <w:rPr>
          <w:rFonts w:hint="eastAsia" w:ascii="仿宋_GB2312" w:hAnsi="Times New Roman" w:eastAsia="仿宋_GB2312" w:cs="Wingdings"/>
          <w:sz w:val="32"/>
          <w:szCs w:val="32"/>
          <w:lang w:eastAsia="zh-CN"/>
        </w:rPr>
        <w:t>中央八项规定</w:t>
      </w:r>
      <w:r>
        <w:rPr>
          <w:rFonts w:hint="eastAsia" w:ascii="仿宋_GB2312" w:hAnsi="Times New Roman" w:eastAsia="仿宋_GB2312" w:cs="Wingdings"/>
          <w:sz w:val="32"/>
          <w:szCs w:val="32"/>
        </w:rPr>
        <w:t>，厉行节约；较上年度减少0万元，降低0%,主要是因为履行</w:t>
      </w:r>
      <w:r>
        <w:rPr>
          <w:rFonts w:hint="eastAsia" w:ascii="仿宋_GB2312" w:hAnsi="Times New Roman" w:eastAsia="仿宋_GB2312" w:cs="Wingdings"/>
          <w:sz w:val="32"/>
          <w:szCs w:val="32"/>
          <w:lang w:eastAsia="zh-CN"/>
        </w:rPr>
        <w:t>中央八项规定</w:t>
      </w:r>
      <w:bookmarkStart w:id="0" w:name="_GoBack"/>
      <w:bookmarkEnd w:id="0"/>
      <w:r>
        <w:rPr>
          <w:rFonts w:hint="eastAsia" w:ascii="仿宋_GB2312" w:hAnsi="Times New Roman" w:eastAsia="仿宋_GB2312" w:cs="Wingdings"/>
          <w:sz w:val="32"/>
          <w:szCs w:val="32"/>
        </w:rPr>
        <w:t>，厉行节约。</w:t>
      </w:r>
    </w:p>
    <w:p>
      <w:pPr>
        <w:adjustRightInd w:val="0"/>
        <w:snapToGrid w:val="0"/>
        <w:spacing w:line="600" w:lineRule="exact"/>
        <w:ind w:firstLine="640" w:firstLineChars="200"/>
        <w:rPr>
          <w:rFonts w:ascii="仿宋_GB2312" w:hAnsi="Times New Roman" w:eastAsia="仿宋_GB2312" w:cs="Wingdings"/>
          <w:sz w:val="32"/>
          <w:szCs w:val="32"/>
          <w:highlight w:val="yellow"/>
        </w:rPr>
      </w:pP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80.16</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4000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（综）冀开等三家企业拆迁补偿款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“村级一事一议项目”</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80.16</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4000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eastAsia="zh-CN"/>
        </w:rPr>
        <w:t>（综）冀开等三家企业拆迁补偿款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村级一事一议项目</w:t>
      </w:r>
      <w:r>
        <w:rPr>
          <w:rFonts w:hint="eastAsia" w:ascii="仿宋_GB2312" w:hAnsi="仿宋_GB2312" w:eastAsia="仿宋_GB2312" w:cs="仿宋_GB2312"/>
          <w:sz w:val="32"/>
          <w:szCs w:val="32"/>
        </w:rPr>
        <w:t>”分别委托</w:t>
      </w:r>
      <w:r>
        <w:rPr>
          <w:rFonts w:hint="eastAsia" w:ascii="仿宋_GB2312" w:hAnsi="仿宋_GB2312" w:eastAsia="仿宋_GB2312" w:cs="仿宋_GB2312"/>
          <w:sz w:val="32"/>
          <w:szCs w:val="32"/>
          <w:lang w:val="en-US" w:eastAsia="zh-CN"/>
        </w:rPr>
        <w:t>单位内控</w:t>
      </w:r>
      <w:r>
        <w:rPr>
          <w:rFonts w:hint="eastAsia" w:ascii="仿宋_GB2312" w:hAnsi="仿宋_GB2312" w:eastAsia="仿宋_GB2312" w:cs="仿宋_GB2312"/>
          <w:sz w:val="32"/>
          <w:szCs w:val="32"/>
        </w:rPr>
        <w:t>机构开展绩效评价。从评价情况来看，本部门对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个项目均能按时、按质、按量对资金予以作用及发放到位。</w:t>
      </w:r>
    </w:p>
    <w:p>
      <w:pPr>
        <w:adjustRightInd w:val="0"/>
        <w:snapToGrid w:val="0"/>
        <w:spacing w:line="600" w:lineRule="exact"/>
        <w:ind w:firstLine="640" w:firstLineChars="200"/>
        <w:rPr>
          <w:rFonts w:ascii="仿宋_GB2312" w:hAnsi="仿宋_GB2312" w:eastAsia="仿宋_GB2312" w:cs="仿宋_GB2312"/>
          <w:sz w:val="32"/>
          <w:szCs w:val="32"/>
          <w:highlight w:val="yellow"/>
        </w:rPr>
      </w:pPr>
    </w:p>
    <w:p>
      <w:pPr>
        <w:numPr>
          <w:ilvl w:val="0"/>
          <w:numId w:val="3"/>
        </w:numPr>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部门决算中项目绩效自评结果。</w:t>
      </w:r>
    </w:p>
    <w:p>
      <w:pPr>
        <w:adjustRightInd w:val="0"/>
        <w:snapToGrid w:val="0"/>
        <w:spacing w:line="60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lang w:val="en-US" w:eastAsia="zh-CN"/>
        </w:rPr>
        <w:t xml:space="preserve">  </w:t>
      </w:r>
      <w:r>
        <w:rPr>
          <w:rFonts w:hint="eastAsia" w:ascii="仿宋_GB2312" w:hAnsi="仿宋_GB2312" w:eastAsia="仿宋_GB2312" w:cs="仿宋_GB2312"/>
          <w:sz w:val="32"/>
          <w:szCs w:val="32"/>
        </w:rPr>
        <w:t>本部门在今年部门决算公开中反映对“</w:t>
      </w:r>
      <w:r>
        <w:rPr>
          <w:rFonts w:hint="eastAsia" w:ascii="仿宋_GB2312" w:hAnsi="仿宋_GB2312" w:eastAsia="仿宋_GB2312" w:cs="仿宋_GB2312"/>
          <w:sz w:val="32"/>
          <w:szCs w:val="32"/>
          <w:lang w:eastAsia="zh-CN"/>
        </w:rPr>
        <w:t>（综）冀开等三家企业拆迁补偿资金项目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“村级一事一议项目”</w:t>
      </w:r>
      <w:r>
        <w:rPr>
          <w:rFonts w:hint="eastAsia" w:ascii="仿宋_GB2312" w:hAnsi="仿宋_GB2312" w:eastAsia="仿宋_GB2312" w:cs="仿宋_GB2312"/>
          <w:sz w:val="32"/>
          <w:szCs w:val="32"/>
          <w:lang w:val="en-US" w:eastAsia="zh-CN"/>
        </w:rPr>
        <w:t>2个项目绩效自评结果</w:t>
      </w:r>
      <w:r>
        <w:rPr>
          <w:rFonts w:hint="eastAsia" w:ascii="仿宋_GB2312" w:hAnsi="仿宋_GB2312" w:eastAsia="仿宋_GB2312" w:cs="仿宋_GB2312"/>
          <w:sz w:val="32"/>
          <w:szCs w:val="32"/>
        </w:rPr>
        <w:t>。</w:t>
      </w:r>
    </w:p>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“(综)冀开等三家企业拆迁补偿资金”项目自评综述：根据年初设定的绩效目标， “(综)冀开等三家企业拆迁补偿资金”项目绩效自评得分为100分（绩效自评表附后）。全年预算数为</w:t>
      </w:r>
      <w:r>
        <w:rPr>
          <w:rFonts w:hint="eastAsia" w:ascii="仿宋_GB2312" w:hAnsi="仿宋_GB2312" w:eastAsia="仿宋_GB2312" w:cs="仿宋_GB2312"/>
          <w:sz w:val="32"/>
          <w:szCs w:val="32"/>
          <w:lang w:val="en-US" w:eastAsia="zh-CN"/>
        </w:rPr>
        <w:t>4000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4000</w:t>
      </w:r>
      <w:r>
        <w:rPr>
          <w:rFonts w:hint="eastAsia" w:ascii="仿宋_GB2312" w:hAnsi="仿宋_GB2312" w:eastAsia="仿宋_GB2312" w:cs="仿宋_GB2312"/>
          <w:sz w:val="32"/>
          <w:szCs w:val="32"/>
        </w:rPr>
        <w:t>万元，完成预算的100%。项目绩效目标完成情况：一是保障京车项目方顺利进场施工；二是保障冀开旧厂区拆迁进度。发现的主要问题及原因：无。下一步改进措施：无。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村级一事一议</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村级一事一议</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80.16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80.16</w:t>
      </w:r>
      <w:r>
        <w:rPr>
          <w:rFonts w:hint="eastAsia" w:ascii="仿宋_GB2312" w:hAnsi="仿宋_GB2312" w:eastAsia="仿宋_GB2312" w:cs="仿宋_GB2312"/>
          <w:sz w:val="32"/>
          <w:szCs w:val="32"/>
        </w:rPr>
        <w:t>万元，完成预算的100%。项目绩效目标完成情况：一是完成2017年一事一议财政资金奖补的发放；二是使施工方和建设方满意。发现的主要问题及原因：无。下一步改进措施：无。</w:t>
      </w:r>
    </w:p>
    <w:p>
      <w:pPr>
        <w:numPr>
          <w:ilvl w:val="0"/>
          <w:numId w:val="0"/>
        </w:numPr>
        <w:adjustRightInd w:val="0"/>
        <w:snapToGrid w:val="0"/>
        <w:spacing w:line="600" w:lineRule="exact"/>
        <w:ind w:firstLine="643" w:firstLine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numPr>
          <w:ilvl w:val="0"/>
          <w:numId w:val="0"/>
        </w:numPr>
        <w:adjustRightInd w:val="0"/>
        <w:snapToGrid w:val="0"/>
        <w:spacing w:line="600" w:lineRule="exac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无</w:t>
      </w:r>
    </w:p>
    <w:p>
      <w:pPr>
        <w:keepNext/>
        <w:keepLines/>
        <w:snapToGrid w:val="0"/>
        <w:spacing w:line="600" w:lineRule="exact"/>
        <w:ind w:firstLine="640" w:firstLineChars="200"/>
        <w:outlineLvl w:val="1"/>
        <w:rPr>
          <w:rFonts w:ascii="仿宋_GB2312" w:hAnsi="仿宋_GB2312" w:eastAsia="仿宋_GB2312" w:cs="仿宋_GB2312"/>
          <w:sz w:val="32"/>
          <w:szCs w:val="32"/>
          <w:highlight w:val="yellow"/>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284.89</w:t>
      </w:r>
      <w:r>
        <w:rPr>
          <w:rFonts w:hint="eastAsia" w:ascii="仿宋_GB2312" w:hAnsi="仿宋_GB2312" w:eastAsia="仿宋_GB2312" w:cs="仿宋_GB2312"/>
          <w:sz w:val="32"/>
          <w:szCs w:val="32"/>
        </w:rPr>
        <w:t>万元，比2019年度</w:t>
      </w:r>
      <w:r>
        <w:rPr>
          <w:rFonts w:hint="eastAsia" w:ascii="仿宋_GB2312" w:hAnsi="仿宋_GB2312" w:eastAsia="仿宋_GB2312" w:cs="仿宋_GB2312"/>
          <w:sz w:val="32"/>
          <w:szCs w:val="32"/>
          <w:lang w:eastAsia="zh-CN"/>
        </w:rPr>
        <w:t>增长</w:t>
      </w:r>
      <w:r>
        <w:rPr>
          <w:rFonts w:hint="eastAsia" w:ascii="仿宋_GB2312" w:hAnsi="仿宋_GB2312" w:eastAsia="仿宋_GB2312" w:cs="仿宋_GB2312"/>
          <w:sz w:val="32"/>
          <w:szCs w:val="32"/>
          <w:lang w:val="en-US" w:eastAsia="zh-CN"/>
        </w:rPr>
        <w:t>56.83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增长</w:t>
      </w:r>
      <w:r>
        <w:rPr>
          <w:rFonts w:hint="eastAsia" w:ascii="仿宋_GB2312" w:hAnsi="仿宋_GB2312" w:eastAsia="仿宋_GB2312" w:cs="仿宋_GB2312"/>
          <w:sz w:val="32"/>
          <w:szCs w:val="32"/>
          <w:lang w:val="en-US" w:eastAsia="zh-CN"/>
        </w:rPr>
        <w:t>19.90</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拆迁补偿项目经费增加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 万元、政府采购工程支出0万元、政府采购服务支出 0万元。授予中小企业合同金0万元，占政府采购支出总额的0%，其中授予小微企业合同金额0万元，占政府采购支出总额的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val="en-US" w:eastAsia="zh-CN"/>
        </w:rPr>
        <w:t>与上年相同</w:t>
      </w:r>
      <w:r>
        <w:rPr>
          <w:rFonts w:hint="eastAsia" w:ascii="仿宋_GB2312" w:hAnsi="仿宋_GB2312" w:eastAsia="仿宋_GB2312" w:cs="仿宋_GB2312"/>
          <w:sz w:val="32"/>
          <w:szCs w:val="32"/>
        </w:rPr>
        <w:t>，主要是公务出差。其中，副部（省）级及以上领导用车0辆，主要领导干部用车0辆，机要通信用车0辆，应急保障用车0辆，执法执勤用车0辆，特种专业技术用车0辆，离退休干部用车0辆，其他用车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辆，其他用车主要是公务出差；</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台（套），与上年相比</w:t>
      </w:r>
      <w:r>
        <w:rPr>
          <w:rFonts w:hint="eastAsia" w:ascii="仿宋_GB2312" w:hAnsi="仿宋_GB2312" w:eastAsia="仿宋_GB2312" w:cs="仿宋_GB2312"/>
          <w:sz w:val="32"/>
          <w:szCs w:val="32"/>
          <w:lang w:val="en-US" w:eastAsia="zh-CN"/>
        </w:rPr>
        <w:t>无变化</w:t>
      </w:r>
      <w:r>
        <w:rPr>
          <w:rFonts w:hint="eastAsia" w:ascii="仿宋_GB2312" w:hAnsi="仿宋_GB2312" w:eastAsia="仿宋_GB2312" w:cs="仿宋_GB2312"/>
          <w:sz w:val="32"/>
          <w:szCs w:val="32"/>
        </w:rPr>
        <w:t>，单位价值100万元以上专用设备0台（套）与上年相比无变化。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 xml:space="preserve">1. </w:t>
      </w:r>
      <w:r>
        <w:rPr>
          <w:rFonts w:hint="eastAsia" w:ascii="仿宋_GB2312" w:eastAsia="仿宋_GB2312" w:cs="DengXian-Regular"/>
          <w:sz w:val="32"/>
          <w:szCs w:val="32"/>
        </w:rPr>
        <w:t>本部门</w:t>
      </w:r>
      <w:r>
        <w:rPr>
          <w:rFonts w:ascii="仿宋_GB2312" w:eastAsia="仿宋_GB2312" w:cs="DengXian-Regular"/>
          <w:sz w:val="32"/>
          <w:szCs w:val="32"/>
        </w:rPr>
        <w:t>20</w:t>
      </w:r>
      <w:r>
        <w:rPr>
          <w:rFonts w:hint="eastAsia" w:ascii="仿宋_GB2312" w:eastAsia="仿宋_GB2312" w:cs="DengXian-Regular"/>
          <w:sz w:val="32"/>
          <w:szCs w:val="32"/>
        </w:rPr>
        <w:t>20年度国有资本经营预算财政拨款，无收支及结转结余情况，故国有资本经营预算财政拨款支出决算表以空表列示。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5"/>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rPr>
          <w:rFonts w:hint="default" w:ascii="仿宋_GB2312" w:hAnsi="宋体" w:eastAsia="仿宋_GB2312" w:cs="MS UI Gothic"/>
          <w:bCs/>
          <w:sz w:val="32"/>
          <w:szCs w:val="32"/>
          <w:highlight w:val="yellow"/>
          <w:lang w:val="en-US" w:eastAsia="zh-CN"/>
        </w:rPr>
      </w:pPr>
    </w:p>
    <w:p>
      <w:pPr>
        <w:rPr>
          <w:rFonts w:hint="default" w:ascii="仿宋_GB2312" w:hAnsi="宋体" w:eastAsia="仿宋_GB2312" w:cs="MS UI Gothic"/>
          <w:bCs/>
          <w:sz w:val="32"/>
          <w:szCs w:val="32"/>
          <w:highlight w:val="yellow"/>
          <w:lang w:val="en-US" w:eastAsia="zh-CN"/>
        </w:rPr>
      </w:pPr>
    </w:p>
    <w:p>
      <w:pPr>
        <w:rPr>
          <w:rFonts w:hint="default" w:ascii="仿宋_GB2312" w:hAnsi="宋体" w:eastAsia="仿宋_GB2312" w:cs="MS UI Gothic"/>
          <w:bCs/>
          <w:sz w:val="32"/>
          <w:szCs w:val="32"/>
          <w:highlight w:val="yellow"/>
          <w:lang w:val="en-US" w:eastAsia="zh-CN"/>
        </w:rPr>
      </w:pPr>
    </w:p>
    <w:p>
      <w:pPr>
        <w:rPr>
          <w:rFonts w:hint="default" w:ascii="仿宋_GB2312" w:hAnsi="宋体" w:eastAsia="仿宋_GB2312" w:cs="MS UI Gothic"/>
          <w:bCs/>
          <w:sz w:val="32"/>
          <w:szCs w:val="32"/>
          <w:highlight w:val="yellow"/>
          <w:lang w:val="en-US" w:eastAsia="zh-CN"/>
        </w:rPr>
      </w:pP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416"/>
        <w:gridCol w:w="508"/>
        <w:gridCol w:w="682"/>
        <w:gridCol w:w="3436"/>
        <w:gridCol w:w="534"/>
        <w:gridCol w:w="844"/>
      </w:tblGrid>
      <w:tr>
        <w:tblPrEx>
          <w:tblCellMar>
            <w:top w:w="0" w:type="dxa"/>
            <w:left w:w="0" w:type="dxa"/>
            <w:bottom w:w="0" w:type="dxa"/>
            <w:right w:w="0" w:type="dxa"/>
          </w:tblCellMar>
        </w:tblPrEx>
        <w:trPr>
          <w:trHeight w:val="165" w:hRule="atLeast"/>
          <w:jc w:val="center"/>
        </w:trPr>
        <w:tc>
          <w:tcPr>
            <w:tcW w:w="9420"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306"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6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收入</w:t>
            </w:r>
          </w:p>
        </w:tc>
        <w:tc>
          <w:tcPr>
            <w:tcW w:w="4814"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1738.89</w:t>
            </w:r>
            <w:r>
              <w:rPr>
                <w:rFonts w:hint="eastAsia" w:ascii="宋体" w:hAnsi="宋体" w:eastAsia="宋体" w:cs="宋体"/>
                <w:color w:val="000000"/>
                <w:kern w:val="0"/>
                <w:sz w:val="18"/>
                <w:szCs w:val="18"/>
                <w:lang w:bidi="ar"/>
              </w:rPr>
              <w:t>　</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一、一般公共服务支出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773.09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53"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二、政府性基金预算财政拨款收入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4000.00</w:t>
            </w:r>
            <w:r>
              <w:rPr>
                <w:rFonts w:hint="eastAsia" w:ascii="宋体" w:hAnsi="宋体" w:eastAsia="宋体" w:cs="宋体"/>
                <w:color w:val="000000"/>
                <w:kern w:val="0"/>
                <w:sz w:val="18"/>
                <w:szCs w:val="18"/>
                <w:lang w:bidi="ar"/>
              </w:rPr>
              <w:t>　</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二、外交支出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三、国有资本经营预算财政拨款收入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四、上级补助收入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四、公共安全支出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五、事业收入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五、教育支出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5.50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六、经营收入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六、科学技术支出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七、附属单位上缴收入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七、文化旅游体育与传媒支出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19.99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八、其他收入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八、社会保障和就业支出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85.57</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9</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九、卫生健康支出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34.19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10</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十、节能环保支出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20.00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十一、城乡社区支出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4000.00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十二、农林水支出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val="en-US" w:eastAsia="zh-CN" w:bidi="ar"/>
              </w:rPr>
              <w:t>760.58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十三、交通运输支出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十四、资源勘探工业信息等支出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十五、商业服务业等支出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十六、金融支出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十七、援助其他地区支出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十八、自然资源海洋气象等支出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19</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十九、住房保障支出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39.97</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20</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二十、粮油物资储备支出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21</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二十一、国有资本经营预算支出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22</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23</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二十三、其他支出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24</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二十四、债务还本支出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25</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宋体" w:hAnsi="宋体" w:eastAsia="宋体" w:cs="宋体"/>
                <w:b/>
                <w:color w:val="000000"/>
                <w:szCs w:val="21"/>
              </w:rPr>
            </w:pPr>
            <w:r>
              <w:rPr>
                <w:rFonts w:hint="eastAsia"/>
              </w:rPr>
              <w:t>二十五、债务付息支出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26</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二十六、抗疫特别国债安排的支出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本年收入合计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27</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5738.89</w:t>
            </w:r>
            <w:r>
              <w:rPr>
                <w:rFonts w:hint="eastAsia" w:ascii="宋体" w:hAnsi="宋体" w:eastAsia="宋体" w:cs="宋体"/>
                <w:color w:val="000000"/>
                <w:kern w:val="0"/>
                <w:sz w:val="18"/>
                <w:szCs w:val="18"/>
                <w:lang w:bidi="ar"/>
              </w:rPr>
              <w:t>　</w:t>
            </w: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本年支出合计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5738.89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使用非财政拨款结余</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28</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结余分配</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年初结转和结余</w:t>
            </w:r>
          </w:p>
        </w:tc>
        <w:tc>
          <w:tcPr>
            <w:tcW w:w="50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29</w:t>
            </w:r>
          </w:p>
        </w:tc>
        <w:tc>
          <w:tcPr>
            <w:tcW w:w="682"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43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年末结转和结余</w:t>
            </w:r>
          </w:p>
        </w:tc>
        <w:tc>
          <w:tcPr>
            <w:tcW w:w="53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60</w:t>
            </w:r>
          </w:p>
        </w:tc>
        <w:tc>
          <w:tcPr>
            <w:tcW w:w="84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30</w:t>
            </w:r>
          </w:p>
        </w:tc>
        <w:tc>
          <w:tcPr>
            <w:tcW w:w="6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 w:val="18"/>
                <w:szCs w:val="18"/>
                <w:lang w:bidi="ar"/>
              </w:rPr>
              <w:t>　</w:t>
            </w:r>
          </w:p>
        </w:tc>
        <w:tc>
          <w:tcPr>
            <w:tcW w:w="343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61</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总计</w:t>
            </w: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31</w:t>
            </w:r>
          </w:p>
        </w:tc>
        <w:tc>
          <w:tcPr>
            <w:tcW w:w="68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5738.89</w:t>
            </w:r>
            <w:r>
              <w:rPr>
                <w:rFonts w:hint="eastAsia" w:ascii="宋体" w:hAnsi="宋体" w:eastAsia="宋体" w:cs="宋体"/>
                <w:color w:val="000000"/>
                <w:kern w:val="0"/>
                <w:sz w:val="18"/>
                <w:szCs w:val="18"/>
                <w:lang w:bidi="ar"/>
              </w:rPr>
              <w:t>　</w:t>
            </w:r>
          </w:p>
        </w:tc>
        <w:tc>
          <w:tcPr>
            <w:tcW w:w="343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总计</w:t>
            </w: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62</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 w:val="18"/>
                <w:szCs w:val="18"/>
                <w:lang w:val="en-US" w:eastAsia="zh-CN" w:bidi="ar"/>
              </w:rPr>
              <w:t>5738.89</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0"/>
                <w:szCs w:val="20"/>
              </w:rPr>
            </w:pPr>
            <w:r>
              <w:rPr>
                <w:rFonts w:hint="eastAsia"/>
                <w:sz w:val="20"/>
                <w:szCs w:val="20"/>
              </w:rPr>
              <w:t>注：本表反映部门（或单位）本年度的总收支和年末结转结余情况。本套报表金额单位转换时可能存在尾数误差。</w:t>
            </w:r>
          </w:p>
        </w:tc>
      </w:tr>
    </w:tbl>
    <w:p>
      <w:pPr>
        <w:jc w:val="left"/>
      </w:pPr>
    </w:p>
    <w:tbl>
      <w:tblPr>
        <w:tblStyle w:val="5"/>
        <w:tblW w:w="8874" w:type="dxa"/>
        <w:jc w:val="center"/>
        <w:tblLayout w:type="fixed"/>
        <w:tblCellMar>
          <w:top w:w="0" w:type="dxa"/>
          <w:left w:w="0" w:type="dxa"/>
          <w:bottom w:w="0" w:type="dxa"/>
          <w:right w:w="0" w:type="dxa"/>
        </w:tblCellMar>
      </w:tblPr>
      <w:tblGrid>
        <w:gridCol w:w="883"/>
        <w:gridCol w:w="50"/>
        <w:gridCol w:w="50"/>
        <w:gridCol w:w="3169"/>
        <w:gridCol w:w="1095"/>
        <w:gridCol w:w="953"/>
        <w:gridCol w:w="472"/>
        <w:gridCol w:w="431"/>
        <w:gridCol w:w="281"/>
        <w:gridCol w:w="286"/>
        <w:gridCol w:w="683"/>
        <w:gridCol w:w="521"/>
      </w:tblGrid>
      <w:tr>
        <w:trPr>
          <w:trHeight w:val="670" w:hRule="atLeast"/>
          <w:jc w:val="center"/>
        </w:trPr>
        <w:tc>
          <w:tcPr>
            <w:tcW w:w="8874" w:type="dxa"/>
            <w:gridSpan w:val="12"/>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88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6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7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3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8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90"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88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6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7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3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1"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15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0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5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47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43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567"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68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52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98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316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3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98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6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3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98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6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3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41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5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4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68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41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5738.89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5738.89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773.09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773.09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773.09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773.09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309.07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309.07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12.00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12.00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29.80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29.80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16.00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16.00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341.04</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341.04</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2010399</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其他政府办公厅（室）及相关机构事物支出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65.18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65.18</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教育费附加安排的支出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2050999</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其他教育费附加安排的支出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5.50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19.99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85.57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85.57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85.57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85.57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4.81</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4.81</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65.57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65.57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11.79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11.79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34.19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34.19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24.19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24.19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13.49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13.49</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10.70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10.70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节能环保支出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自然生态保护</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2110402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农村环境保护</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城乡社区支出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21208</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18"/>
                <w:szCs w:val="18"/>
                <w:lang w:eastAsia="zh-CN"/>
              </w:rPr>
              <w:t>国有土地使用权出让收入安排的支出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2120801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征地和拆迁补偿支出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4000.00</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760.58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760.58</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380.24</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380.24</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380.24</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380.24</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380.34</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380.34</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80.16</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80.16</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300.18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300.18</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3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10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39.97</w:t>
            </w:r>
          </w:p>
        </w:tc>
        <w:tc>
          <w:tcPr>
            <w:tcW w:w="4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c>
          <w:tcPr>
            <w:tcW w:w="5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22"/>
                <w:lang w:val="en-US" w:eastAsia="zh-CN"/>
              </w:rPr>
            </w:pPr>
          </w:p>
        </w:tc>
      </w:tr>
      <w:tr>
        <w:tblPrEx>
          <w:tblCellMar>
            <w:top w:w="0" w:type="dxa"/>
            <w:left w:w="0" w:type="dxa"/>
            <w:bottom w:w="0" w:type="dxa"/>
            <w:right w:w="0" w:type="dxa"/>
          </w:tblCellMar>
        </w:tblPrEx>
        <w:trPr>
          <w:trHeight w:val="385" w:hRule="atLeast"/>
          <w:jc w:val="center"/>
        </w:trPr>
        <w:tc>
          <w:tcPr>
            <w:tcW w:w="8874" w:type="dxa"/>
            <w:gridSpan w:val="12"/>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r>
        <w:br w:type="page"/>
      </w:r>
    </w:p>
    <w:tbl>
      <w:tblPr>
        <w:tblStyle w:val="5"/>
        <w:tblW w:w="0" w:type="auto"/>
        <w:jc w:val="center"/>
        <w:tblLayout w:type="autofit"/>
        <w:tblCellMar>
          <w:top w:w="0" w:type="dxa"/>
          <w:left w:w="0" w:type="dxa"/>
          <w:bottom w:w="0" w:type="dxa"/>
          <w:right w:w="0" w:type="dxa"/>
        </w:tblCellMar>
      </w:tblPr>
      <w:tblGrid>
        <w:gridCol w:w="1447"/>
        <w:gridCol w:w="92"/>
        <w:gridCol w:w="91"/>
        <w:gridCol w:w="3830"/>
        <w:gridCol w:w="1230"/>
        <w:gridCol w:w="830"/>
        <w:gridCol w:w="830"/>
        <w:gridCol w:w="1230"/>
        <w:gridCol w:w="830"/>
        <w:gridCol w:w="1830"/>
      </w:tblGrid>
      <w:tr>
        <w:tblPrEx>
          <w:tblCellMar>
            <w:top w:w="0" w:type="dxa"/>
            <w:left w:w="0" w:type="dxa"/>
            <w:bottom w:w="0" w:type="dxa"/>
            <w:right w:w="0" w:type="dxa"/>
          </w:tblCellMar>
        </w:tblPrEx>
        <w:trPr>
          <w:trHeight w:val="612" w:hRule="atLeast"/>
          <w:jc w:val="center"/>
        </w:trPr>
        <w:tc>
          <w:tcPr>
            <w:tcW w:w="0" w:type="auto"/>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0" w:type="auto"/>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0" w:type="auto"/>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0" w:type="auto"/>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0" w:type="auto"/>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0" w:type="auto"/>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5738.89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1658.73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4080.16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309.07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309.07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29.80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29.80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2010399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其他政府办公厅（室）及相关机构事物支出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教育费附加安排的支出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其他教育费附加安排的支出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节能环保支出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自然生态保护</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农村环境保护</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2120801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征地和拆迁补偿支出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760.58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680.42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380.34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23" w:hRule="atLeast"/>
          <w:jc w:val="center"/>
        </w:trPr>
        <w:tc>
          <w:tcPr>
            <w:tcW w:w="0" w:type="auto"/>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1398"/>
        <w:gridCol w:w="931"/>
        <w:gridCol w:w="628"/>
        <w:gridCol w:w="2126"/>
        <w:gridCol w:w="1434"/>
        <w:gridCol w:w="470"/>
      </w:tblGrid>
      <w:tr>
        <w:tblPrEx>
          <w:tblCellMar>
            <w:top w:w="0" w:type="dxa"/>
            <w:left w:w="0" w:type="dxa"/>
            <w:bottom w:w="0" w:type="dxa"/>
            <w:right w:w="0" w:type="dxa"/>
          </w:tblCellMar>
        </w:tblPrEx>
        <w:trPr>
          <w:gridAfter w:val="1"/>
          <w:wAfter w:w="470" w:type="dxa"/>
          <w:trHeight w:val="90" w:hRule="atLeast"/>
          <w:jc w:val="center"/>
        </w:trPr>
        <w:tc>
          <w:tcPr>
            <w:tcW w:w="9520" w:type="dxa"/>
            <w:gridSpan w:val="9"/>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10"/>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821"/>
              <w:gridCol w:w="795"/>
              <w:gridCol w:w="583"/>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2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31"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2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436"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272"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2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9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58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753"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2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58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773.09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773.09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773.09</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4000</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5.50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5.50</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19.99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19.99</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85.57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85.57</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34.19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34.19</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20.00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20.00</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4000.00</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4000.00</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760.58</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760.58</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39.97</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39.97</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5738.89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5738.89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1738.89</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4000.00</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5738.89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2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5738.89</w:t>
                  </w:r>
                </w:p>
              </w:tc>
              <w:tc>
                <w:tcPr>
                  <w:tcW w:w="7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1738.89</w:t>
                  </w:r>
                </w:p>
              </w:tc>
              <w:tc>
                <w:tcPr>
                  <w:tcW w:w="58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4000.</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40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5589"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093"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55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1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90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093"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55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093"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55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90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4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44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1738.89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1658.73</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80.16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w:t>
            </w:r>
          </w:p>
        </w:tc>
        <w:tc>
          <w:tcPr>
            <w:tcW w:w="30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一般公共服务支出</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w:t>
            </w:r>
          </w:p>
        </w:tc>
        <w:tc>
          <w:tcPr>
            <w:tcW w:w="30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政府办公厅（室）及相关机构事务</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773.09</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2010301</w:t>
            </w:r>
          </w:p>
        </w:tc>
        <w:tc>
          <w:tcPr>
            <w:tcW w:w="30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行政运行</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309.07</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309.07</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2010302</w:t>
            </w:r>
          </w:p>
        </w:tc>
        <w:tc>
          <w:tcPr>
            <w:tcW w:w="30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一般行政管理事务</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12.00</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2010305</w:t>
            </w:r>
          </w:p>
        </w:tc>
        <w:tc>
          <w:tcPr>
            <w:tcW w:w="30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专项业务活动</w:t>
            </w:r>
          </w:p>
        </w:tc>
        <w:tc>
          <w:tcPr>
            <w:tcW w:w="15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29.80</w:t>
            </w:r>
          </w:p>
        </w:tc>
        <w:tc>
          <w:tcPr>
            <w:tcW w:w="21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29.80</w:t>
            </w:r>
          </w:p>
        </w:tc>
        <w:tc>
          <w:tcPr>
            <w:tcW w:w="1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2010308</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信访事务</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2010350</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事业运行</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341.04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341.04</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2010399</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18"/>
                <w:szCs w:val="18"/>
                <w:lang w:eastAsia="zh-CN"/>
              </w:rPr>
              <w:t>其他政府办公厅（室）及相关机构事物</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65.18</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65.18</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教育费附加安排的支出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2050999</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rPr>
            </w:pPr>
            <w:r>
              <w:rPr>
                <w:rFonts w:hint="eastAsia" w:ascii="黑体" w:hAnsi="黑体" w:eastAsia="黑体" w:cs="宋体"/>
                <w:color w:val="000000"/>
                <w:kern w:val="0"/>
                <w:sz w:val="20"/>
                <w:szCs w:val="20"/>
                <w:lang w:eastAsia="zh-CN"/>
              </w:rPr>
              <w:t>其他教育费附加安排的支出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5.50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文化旅游体育与传媒支出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文化和旅游</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2070109</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firstLine="200" w:firstLineChars="100"/>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群众文化</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19.99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社会保障和就业支出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行政事业单位养老支出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85.57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行政单位离退休</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4.81</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4.81</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2080502</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事业单位离退休</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2080505</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机关事业单位基本养老保险缴费支出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65.57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65.57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2080506</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机关事业单位职业年金缴费支出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卫生健康支出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34.19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公共卫生</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2100409</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重大公共卫生服务</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行政事业单位医疗</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24.19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24.19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行政单位医疗</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13.49</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13.49</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2101102</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事业单位医疗</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10.70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10.70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节能环保支出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自然生态保护</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黑体" w:hAnsi="黑体" w:eastAsia="黑体" w:cs="宋体"/>
                <w:color w:val="000000"/>
                <w:kern w:val="0"/>
                <w:sz w:val="20"/>
                <w:szCs w:val="20"/>
                <w:lang w:val="en-US" w:eastAsia="zh-CN"/>
              </w:rPr>
            </w:pPr>
            <w:r>
              <w:rPr>
                <w:rFonts w:hint="eastAsia" w:ascii="黑体" w:hAnsi="黑体" w:eastAsia="黑体" w:cs="宋体"/>
                <w:color w:val="000000"/>
                <w:kern w:val="0"/>
                <w:sz w:val="20"/>
                <w:szCs w:val="20"/>
                <w:lang w:val="en-US" w:eastAsia="zh-CN"/>
              </w:rPr>
              <w:t>2110402</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黑体" w:hAnsi="黑体" w:eastAsia="黑体" w:cs="宋体"/>
                <w:color w:val="000000"/>
                <w:kern w:val="0"/>
                <w:sz w:val="20"/>
                <w:szCs w:val="20"/>
                <w:lang w:eastAsia="zh-CN"/>
              </w:rPr>
            </w:pPr>
            <w:r>
              <w:rPr>
                <w:rFonts w:hint="eastAsia" w:ascii="黑体" w:hAnsi="黑体" w:eastAsia="黑体" w:cs="宋体"/>
                <w:color w:val="000000"/>
                <w:kern w:val="0"/>
                <w:sz w:val="20"/>
                <w:szCs w:val="20"/>
                <w:lang w:eastAsia="zh-CN"/>
              </w:rPr>
              <w:t>农村环境保护</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20.00</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农林水支出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760.58</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680.42</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农业农村</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2130122</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农业生产发展</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380.24</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农村综合改革</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380.34</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2130701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对村级一事一议的补助</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80.16</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2130705</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 xml:space="preserve">  对村民委员会和村党支部的补助</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300.18</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住房保障支出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住房改革支出</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2210201</w:t>
            </w:r>
          </w:p>
        </w:tc>
        <w:tc>
          <w:tcPr>
            <w:tcW w:w="309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 xml:space="preserve">  住房公积金</w:t>
            </w:r>
          </w:p>
        </w:tc>
        <w:tc>
          <w:tcPr>
            <w:tcW w:w="155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21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39.97</w:t>
            </w:r>
          </w:p>
        </w:tc>
        <w:tc>
          <w:tcPr>
            <w:tcW w:w="190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18"/>
                <w:szCs w:val="18"/>
                <w:lang w:val="en-US" w:eastAsia="zh-CN"/>
              </w:rPr>
            </w:pPr>
          </w:p>
        </w:tc>
      </w:tr>
    </w:tbl>
    <w:p>
      <w:r>
        <w:br w:type="page"/>
      </w: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rPr>
                <w:rFonts w:ascii="黑体" w:hAnsi="宋体" w:eastAsia="黑体" w:cs="黑体"/>
                <w:color w:val="000000"/>
                <w:sz w:val="32"/>
                <w:szCs w:val="32"/>
              </w:rPr>
            </w:pPr>
            <w:r>
              <w:br w:type="page"/>
            </w: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674.93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248.89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210"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295.44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131.21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54.78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16.49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74.47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63.82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4.53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14.96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10.63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24.19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1.76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6.37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47.15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81.88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25.74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698.92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15.84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267.21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22.70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13.07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1.94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380.24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5.96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3.68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18.84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34.65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1373.84</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284.89</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7.05</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7.05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7.05</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5.96</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5.96</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5.96</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p>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710"/>
        <w:gridCol w:w="45"/>
        <w:gridCol w:w="45"/>
        <w:gridCol w:w="2910"/>
        <w:gridCol w:w="817"/>
        <w:gridCol w:w="1169"/>
        <w:gridCol w:w="1169"/>
        <w:gridCol w:w="817"/>
        <w:gridCol w:w="1169"/>
        <w:gridCol w:w="817"/>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50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08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eastAsia="zh-CN"/>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18"/>
                <w:szCs w:val="18"/>
                <w:lang w:eastAsia="zh-CN"/>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2120801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22"/>
                <w:szCs w:val="24"/>
                <w:lang w:val="en-US" w:eastAsia="zh-CN" w:bidi="ar-SA"/>
              </w:rPr>
            </w:pPr>
            <w:r>
              <w:rPr>
                <w:rFonts w:hint="eastAsia" w:ascii="宋体" w:hAnsi="宋体" w:eastAsia="宋体" w:cs="宋体"/>
                <w:color w:val="000000"/>
                <w:sz w:val="22"/>
                <w:lang w:eastAsia="zh-CN"/>
              </w:rPr>
              <w:t>征地和拆迁补偿支出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4000.00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p>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color w:val="000000"/>
                <w:sz w:val="22"/>
                <w:lang w:val="en-US" w:eastAsia="zh-CN"/>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color w:val="000000"/>
                <w:sz w:val="22"/>
                <w:lang w:eastAsia="zh-CN"/>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2"/>
                <w:lang w:val="en-US" w:eastAsia="zh-CN"/>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color w:val="000000"/>
                <w:sz w:val="22"/>
                <w:lang w:eastAsia="zh-CN"/>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2"/>
                <w:lang w:val="en-US" w:eastAsia="zh-CN"/>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22"/>
                <w:lang w:val="en-US" w:eastAsia="zh-CN"/>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color w:val="000000"/>
                <w:sz w:val="22"/>
                <w:lang w:eastAsia="zh-CN"/>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2"/>
                <w:lang w:val="en-US" w:eastAsia="zh-CN"/>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22"/>
                <w:lang w:val="en-US" w:eastAsia="zh-CN"/>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yellow"/>
        </w:rPr>
      </w:pPr>
      <w:r>
        <w:rPr>
          <w:rFonts w:hint="eastAsia" w:ascii="宋体" w:hAnsi="宋体" w:eastAsia="宋体" w:cs="宋体"/>
        </w:rPr>
        <w:t>注：</w:t>
      </w:r>
      <w:r>
        <w:rPr>
          <w:rFonts w:hint="eastAsia" w:ascii="宋体" w:hAnsi="宋体" w:eastAsia="宋体" w:cs="宋体"/>
          <w:lang w:val="en-US" w:eastAsia="zh-CN"/>
        </w:rPr>
        <w:t>我</w:t>
      </w:r>
      <w:r>
        <w:rPr>
          <w:rFonts w:hint="eastAsia" w:ascii="宋体" w:hAnsi="宋体" w:eastAsia="宋体" w:cs="宋体"/>
        </w:rPr>
        <w:t>部门本年度</w:t>
      </w:r>
      <w:r>
        <w:rPr>
          <w:rFonts w:hint="eastAsia" w:ascii="宋体" w:hAnsi="宋体" w:eastAsia="宋体" w:cs="宋体"/>
          <w:lang w:val="en-US" w:eastAsia="zh-CN"/>
        </w:rPr>
        <w:t>无</w:t>
      </w:r>
      <w:r>
        <w:rPr>
          <w:rFonts w:hint="eastAsia" w:ascii="宋体" w:hAnsi="宋体" w:eastAsia="宋体" w:cs="宋体"/>
        </w:rPr>
        <w:t>国有资本经营预算财政拨款收入、支出及结转结余情况</w:t>
      </w:r>
      <w:r>
        <w:rPr>
          <w:rFonts w:hint="eastAsia" w:ascii="宋体" w:hAnsi="宋体" w:eastAsia="宋体" w:cs="宋体"/>
          <w:lang w:eastAsia="zh-CN"/>
        </w:rPr>
        <w:t>，</w:t>
      </w:r>
      <w:r>
        <w:rPr>
          <w:rFonts w:hint="eastAsia" w:ascii="宋体" w:hAnsi="宋体" w:eastAsia="宋体" w:cs="宋体"/>
          <w:lang w:val="en-US" w:eastAsia="zh-CN"/>
        </w:rPr>
        <w:t>按要求空表列示</w:t>
      </w:r>
      <w:r>
        <w:rPr>
          <w:rFonts w:hint="eastAsia" w:ascii="宋体" w:hAnsi="宋体" w:eastAsia="宋体" w:cs="宋体"/>
        </w:rPr>
        <w:t>。</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EA3135"/>
    <w:multiLevelType w:val="singleLevel"/>
    <w:tmpl w:val="A6EA3135"/>
    <w:lvl w:ilvl="0" w:tentative="0">
      <w:start w:val="1"/>
      <w:numFmt w:val="decimal"/>
      <w:suff w:val="nothing"/>
      <w:lvlText w:val="（%1）"/>
      <w:lvlJc w:val="left"/>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6AD7578C"/>
    <w:multiLevelType w:val="singleLevel"/>
    <w:tmpl w:val="6AD7578C"/>
    <w:lvl w:ilvl="0" w:tentative="0">
      <w:start w:val="2"/>
      <w:numFmt w:val="chineseCounting"/>
      <w:suff w:val="space"/>
      <w:lvlText w:val="（%1）"/>
      <w:lvlJc w:val="left"/>
      <w:rPr>
        <w:rFonts w:hint="eastAsia"/>
      </w:rPr>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yNzllOWY2MjAwMGE5NDcwMjI5ODUyNDcwZTEwMjcifQ=="/>
  </w:docVars>
  <w:rsids>
    <w:rsidRoot w:val="34C45458"/>
    <w:rsid w:val="00061A05"/>
    <w:rsid w:val="0018668E"/>
    <w:rsid w:val="001B73D2"/>
    <w:rsid w:val="001E62BF"/>
    <w:rsid w:val="00293E7B"/>
    <w:rsid w:val="002D1F4F"/>
    <w:rsid w:val="00366D90"/>
    <w:rsid w:val="003D678E"/>
    <w:rsid w:val="00801F66"/>
    <w:rsid w:val="009334BF"/>
    <w:rsid w:val="04BD2B26"/>
    <w:rsid w:val="058B71E0"/>
    <w:rsid w:val="05CD30D3"/>
    <w:rsid w:val="0983094A"/>
    <w:rsid w:val="09C87096"/>
    <w:rsid w:val="0A594E68"/>
    <w:rsid w:val="0B456EB9"/>
    <w:rsid w:val="0B5F5329"/>
    <w:rsid w:val="0D457CCD"/>
    <w:rsid w:val="0EA325C9"/>
    <w:rsid w:val="1513440A"/>
    <w:rsid w:val="15B97935"/>
    <w:rsid w:val="186A38C5"/>
    <w:rsid w:val="193D0E2D"/>
    <w:rsid w:val="1A084346"/>
    <w:rsid w:val="1E767896"/>
    <w:rsid w:val="22532149"/>
    <w:rsid w:val="23704599"/>
    <w:rsid w:val="24320D20"/>
    <w:rsid w:val="25526D6F"/>
    <w:rsid w:val="257E211D"/>
    <w:rsid w:val="25D0320B"/>
    <w:rsid w:val="26652C95"/>
    <w:rsid w:val="2927090E"/>
    <w:rsid w:val="2A5E64A4"/>
    <w:rsid w:val="2AB309B4"/>
    <w:rsid w:val="2AE45597"/>
    <w:rsid w:val="2C3C6460"/>
    <w:rsid w:val="2C7862AE"/>
    <w:rsid w:val="2E1C31AD"/>
    <w:rsid w:val="2FB96948"/>
    <w:rsid w:val="31C65137"/>
    <w:rsid w:val="3327616A"/>
    <w:rsid w:val="33D82CD0"/>
    <w:rsid w:val="34C45458"/>
    <w:rsid w:val="35C83C42"/>
    <w:rsid w:val="37042251"/>
    <w:rsid w:val="37D74B22"/>
    <w:rsid w:val="38A7519E"/>
    <w:rsid w:val="38FF4CF0"/>
    <w:rsid w:val="3AD474A0"/>
    <w:rsid w:val="3AE83609"/>
    <w:rsid w:val="3D7930E9"/>
    <w:rsid w:val="3DB52008"/>
    <w:rsid w:val="3F993D6D"/>
    <w:rsid w:val="402F2E10"/>
    <w:rsid w:val="403878B8"/>
    <w:rsid w:val="40D52AAE"/>
    <w:rsid w:val="445A35C8"/>
    <w:rsid w:val="47837BC2"/>
    <w:rsid w:val="49BF5694"/>
    <w:rsid w:val="4B990EDF"/>
    <w:rsid w:val="4E3204A1"/>
    <w:rsid w:val="4EDC42B5"/>
    <w:rsid w:val="517A2194"/>
    <w:rsid w:val="56ED4318"/>
    <w:rsid w:val="583976B3"/>
    <w:rsid w:val="58786E6E"/>
    <w:rsid w:val="5C065C12"/>
    <w:rsid w:val="5D0C63C4"/>
    <w:rsid w:val="5FBF6F01"/>
    <w:rsid w:val="60232A65"/>
    <w:rsid w:val="621F7C0C"/>
    <w:rsid w:val="63EF1A35"/>
    <w:rsid w:val="646638DA"/>
    <w:rsid w:val="64D51CE7"/>
    <w:rsid w:val="65B47091"/>
    <w:rsid w:val="68845329"/>
    <w:rsid w:val="6A6F2488"/>
    <w:rsid w:val="6CA91D07"/>
    <w:rsid w:val="6D244856"/>
    <w:rsid w:val="6DFD33C7"/>
    <w:rsid w:val="6E6A215E"/>
    <w:rsid w:val="73D824BD"/>
    <w:rsid w:val="78233797"/>
    <w:rsid w:val="7A2A1105"/>
    <w:rsid w:val="7AA06E7E"/>
    <w:rsid w:val="7EC0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bmp"/><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9501</Words>
  <Characters>12490</Characters>
  <Lines>82</Lines>
  <Paragraphs>23</Paragraphs>
  <TotalTime>2</TotalTime>
  <ScaleCrop>false</ScaleCrop>
  <LinksUpToDate>false</LinksUpToDate>
  <CharactersWithSpaces>12815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dcterms:modified xsi:type="dcterms:W3CDTF">2023-08-17T02:57:18Z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177E1DA9DE6A4F839CE37C0F33C3EE66</vt:lpwstr>
  </property>
</Properties>
</file>