
<file path=[Content_Types].xml><?xml version="1.0" encoding="utf-8"?>
<Types xmlns="http://schemas.openxmlformats.org/package/2006/content-types">
  <Default Extension="xml" ContentType="application/xml"/>
  <Default Extension="jpeg" ContentType="image/jpeg"/>
  <Default Extension="JPG" ContentType="image/.jp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drawing>
          <wp:anchor distT="0" distB="0" distL="114300" distR="114300" simplePos="0" relativeHeight="251659264" behindDoc="0" locked="0" layoutInCell="1" allowOverlap="1">
            <wp:simplePos x="0" y="0"/>
            <wp:positionH relativeFrom="column">
              <wp:posOffset>-973455</wp:posOffset>
            </wp:positionH>
            <wp:positionV relativeFrom="page">
              <wp:posOffset>17145</wp:posOffset>
            </wp:positionV>
            <wp:extent cx="8833485" cy="10780395"/>
            <wp:effectExtent l="0" t="0" r="5715" b="9525"/>
            <wp:wrapNone/>
            <wp:docPr id="5" name="图片 5" descr="E:\耿聪\2020决算公开改正\微信图片_20220829142659.jpg微信图片_20220829142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耿聪\2020决算公开改正\微信图片_20220829142659.jpg微信图片_20220829142659"/>
                    <pic:cNvPicPr>
                      <a:picLocks noChangeAspect="1"/>
                    </pic:cNvPicPr>
                  </pic:nvPicPr>
                  <pic:blipFill>
                    <a:blip r:embed="rId10"/>
                    <a:srcRect/>
                    <a:stretch>
                      <a:fillRect/>
                    </a:stretch>
                  </pic:blipFill>
                  <pic:spPr>
                    <a:xfrm>
                      <a:off x="0" y="0"/>
                      <a:ext cx="8833485" cy="10780395"/>
                    </a:xfrm>
                    <a:prstGeom prst="rect">
                      <a:avLst/>
                    </a:prstGeom>
                  </pic:spPr>
                </pic:pic>
              </a:graphicData>
            </a:graphic>
          </wp:anchor>
        </w:drawing>
      </w:r>
      <w:r>
        <w:br w:type="page"/>
      </w: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pPr>
    </w:p>
    <w:p>
      <w:pPr>
        <w:jc w:val="center"/>
        <w:rPr>
          <w:rFonts w:ascii="黑体" w:hAnsi="黑体" w:eastAsia="黑体" w:cs="黑体"/>
          <w:sz w:val="72"/>
          <w:szCs w:val="96"/>
          <w:highlight w:val="yellow"/>
        </w:rPr>
      </w:pPr>
      <w:r>
        <w:rPr>
          <w:rFonts w:hint="eastAsia" w:ascii="黑体" w:hAnsi="黑体" w:eastAsia="黑体" w:cs="黑体"/>
          <w:sz w:val="72"/>
          <w:szCs w:val="96"/>
        </w:rPr>
        <w:t>保定市满城区民政局</w:t>
      </w: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pP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pP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pP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sectPr>
          <w:pgSz w:w="11906" w:h="16838"/>
          <w:pgMar w:top="2098" w:right="1531" w:bottom="1984" w:left="1531" w:header="851" w:footer="992" w:gutter="0"/>
          <w:pgBorders>
            <w:top w:val="none" w:sz="0" w:space="0"/>
            <w:left w:val="none" w:sz="0" w:space="0"/>
            <w:bottom w:val="none" w:sz="0" w:space="0"/>
            <w:right w:val="none" w:sz="0" w:space="0"/>
          </w:pgBorders>
          <w:cols w:space="0" w:num="1"/>
          <w:titlePg/>
          <w:docGrid w:type="lines" w:linePitch="312" w:charSpace="0"/>
        </w:sectPr>
      </w:pPr>
      <w:r>
        <w:rPr>
          <w:rFonts w:hint="eastAsia" w:ascii="楷体_GB2312" w:hAnsi="楷体_GB2312" w:eastAsia="楷体_GB2312" w:cs="楷体_GB2312"/>
          <w:color w:val="000000" w:themeColor="text1"/>
          <w:kern w:val="0"/>
          <w:sz w:val="40"/>
          <w:szCs w:val="40"/>
          <w14:textFill>
            <w14:solidFill>
              <w14:schemeClr w14:val="tx1"/>
            </w14:solidFill>
          </w14:textFill>
        </w:rPr>
        <w:t>二〇二一年</w:t>
      </w:r>
      <w:r>
        <w:rPr>
          <w:rFonts w:hint="eastAsia" w:ascii="楷体_GB2312" w:hAnsi="楷体_GB2312" w:eastAsia="楷体_GB2312" w:cs="楷体_GB2312"/>
          <w:color w:val="000000" w:themeColor="text1"/>
          <w:kern w:val="0"/>
          <w:sz w:val="40"/>
          <w:szCs w:val="40"/>
          <w:lang w:eastAsia="zh-CN"/>
          <w14:textFill>
            <w14:solidFill>
              <w14:schemeClr w14:val="tx1"/>
            </w14:solidFill>
          </w14:textFill>
        </w:rPr>
        <w:t>十</w:t>
      </w:r>
      <w:r>
        <w:rPr>
          <w:rFonts w:hint="eastAsia" w:ascii="楷体_GB2312" w:hAnsi="楷体_GB2312" w:eastAsia="楷体_GB2312" w:cs="楷体_GB2312"/>
          <w:color w:val="000000" w:themeColor="text1"/>
          <w:kern w:val="0"/>
          <w:sz w:val="40"/>
          <w:szCs w:val="40"/>
          <w14:textFill>
            <w14:solidFill>
              <w14:schemeClr w14:val="tx1"/>
            </w14:solidFill>
          </w14:textFill>
        </w:rPr>
        <w:t>月</w:t>
      </w:r>
    </w:p>
    <w:p>
      <w:pPr>
        <w:tabs>
          <w:tab w:val="left" w:pos="2728"/>
        </w:tabs>
        <w:jc w:val="center"/>
        <w:rPr>
          <w:rFonts w:hint="eastAsia"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line="64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line="6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年部门决算情况说明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line="64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widowControl/>
        <w:spacing w:line="64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 xml:space="preserve">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type w:val="continuous"/>
          <w:pgSz w:w="11906" w:h="16838"/>
          <w:pgMar w:top="2098" w:right="1531" w:bottom="1984" w:left="1531" w:header="851" w:footer="992" w:gutter="0"/>
          <w:pgBorders>
            <w:top w:val="none" w:sz="0" w:space="0"/>
            <w:left w:val="none" w:sz="0" w:space="0"/>
            <w:bottom w:val="none" w:sz="0" w:space="0"/>
            <w:right w:val="none" w:sz="0" w:space="0"/>
          </w:pgBorders>
          <w:cols w:space="0" w:num="1"/>
          <w:titlePg/>
          <w:docGrid w:type="lines" w:linePitch="312" w:charSpace="0"/>
        </w:sectPr>
      </w:pPr>
    </w:p>
    <w:p>
      <w:pPr>
        <w:widowControl/>
        <w:spacing w:line="580" w:lineRule="exact"/>
        <w:ind w:firstLine="640" w:firstLineChars="200"/>
        <w:rPr>
          <w:rFonts w:hint="eastAsia" w:eastAsia="黑体"/>
          <w:sz w:val="32"/>
          <w:szCs w:val="32"/>
        </w:rPr>
      </w:pPr>
    </w:p>
    <w:p>
      <w:pPr>
        <w:widowControl/>
        <w:spacing w:line="580" w:lineRule="exact"/>
        <w:ind w:firstLine="640" w:firstLineChars="200"/>
        <w:rPr>
          <w:rFonts w:hint="eastAsia" w:eastAsia="黑体"/>
          <w:sz w:val="32"/>
          <w:szCs w:val="32"/>
        </w:rPr>
      </w:pPr>
    </w:p>
    <w:p>
      <w:pPr>
        <w:widowControl/>
        <w:spacing w:line="580" w:lineRule="exact"/>
        <w:ind w:firstLine="640" w:firstLineChars="200"/>
        <w:rPr>
          <w:rFonts w:hint="eastAsia" w:eastAsia="黑体"/>
          <w:sz w:val="32"/>
          <w:szCs w:val="32"/>
        </w:rPr>
      </w:pPr>
    </w:p>
    <w:p>
      <w:pPr>
        <w:rPr>
          <w:rFonts w:hint="eastAsia"/>
        </w:rPr>
      </w:pPr>
      <w:r>
        <w:rPr>
          <w:rFonts w:hint="eastAsia"/>
          <w:sz w:val="72"/>
        </w:rPr>
        <mc:AlternateContent>
          <mc:Choice Requires="wps">
            <w:drawing>
              <wp:anchor distT="0" distB="0" distL="114300" distR="114300" simplePos="0" relativeHeight="251660288" behindDoc="0" locked="0" layoutInCell="1" allowOverlap="1">
                <wp:simplePos x="0" y="0"/>
                <wp:positionH relativeFrom="column">
                  <wp:posOffset>-1088390</wp:posOffset>
                </wp:positionH>
                <wp:positionV relativeFrom="paragraph">
                  <wp:posOffset>1024890</wp:posOffset>
                </wp:positionV>
                <wp:extent cx="7793355" cy="3341370"/>
                <wp:effectExtent l="6350" t="6350" r="18415" b="20320"/>
                <wp:wrapNone/>
                <wp:docPr id="1" name="文本框 2"/>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7F7F7F"/>
                          </a:fgClr>
                          <a:bgClr>
                            <a:srgbClr val="FFFFFF"/>
                          </a:bgClr>
                        </a:pattFill>
                        <a:ln w="12700" cap="flat" cmpd="sng">
                          <a:solidFill>
                            <a:srgbClr val="A6A6A6"/>
                          </a:solidFill>
                          <a:prstDash val="solid"/>
                          <a:round/>
                          <a:headEnd type="none" w="med" len="med"/>
                          <a:tailEnd type="none" w="med" len="med"/>
                        </a:ln>
                      </wps:spPr>
                      <wps:txb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第一部分  部门概况</w:t>
                            </w:r>
                          </w:p>
                        </w:txbxContent>
                      </wps:txbx>
                      <wps:bodyPr anchor="ctr" anchorCtr="0" upright="1"/>
                    </wps:wsp>
                  </a:graphicData>
                </a:graphic>
              </wp:anchor>
            </w:drawing>
          </mc:Choice>
          <mc:Fallback>
            <w:pict>
              <v:shape id="文本框 2" o:spid="_x0000_s1026" o:spt="202" type="#_x0000_t202" style="position:absolute;left:0pt;margin-left:-85.7pt;margin-top:80.7pt;height:263.1pt;width:613.65pt;z-index:251660288;v-text-anchor:middle;mso-width-relative:page;mso-height-relative:page;" fillcolor="#7F7F7F" filled="t" stroked="t" coordsize="21600,21600" o:gfxdata="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N/3mCNwAAAANAQAADwAAAAAAAAABACAAAAAiAAAA&#10;ZHJzL2Rvd25yZXYueG1sUEsBAhQAFAAAAAgAh07iQK8ixtQ8AgAAnAQAAA4AAAAAAAAAAQAgAAAA&#10;KwEAAGRycy9lMm9Eb2MueG1sUEsFBgAAAAAGAAYAWQEAANkFAAAAAA==&#10;">
                <v:fill type="pattern" on="t" color2="#FFFFFF" o:title="5%" focussize="0,0" r:id="rId11"/>
                <v:stroke weight="1pt" color="#A6A6A6" joinstyle="round"/>
                <v:imagedata o:title=""/>
                <o:lock v:ext="edit" aspectratio="f"/>
                <v:textbo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第一部分  部门概况</w:t>
                      </w:r>
                    </w:p>
                  </w:txbxContent>
                </v:textbox>
              </v:shape>
            </w:pict>
          </mc:Fallback>
        </mc:AlternateContent>
      </w:r>
      <w:r>
        <w:br w:type="page"/>
      </w:r>
    </w:p>
    <w:p>
      <w:pPr>
        <w:pStyle w:val="2"/>
        <w:spacing w:before="0" w:after="0" w:line="580" w:lineRule="exact"/>
        <w:ind w:firstLine="640" w:firstLineChars="200"/>
        <w:jc w:val="left"/>
        <w:rPr>
          <w:rFonts w:hint="eastAsia"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（一）拟定我区民政事业发展规划和工作计划并负责组织实施；负责全区民政行政执法监督检查、行政复议工作。</w:t>
      </w:r>
    </w:p>
    <w:p>
      <w:pPr>
        <w:spacing w:line="600" w:lineRule="exact"/>
        <w:rPr>
          <w:rFonts w:hint="eastAsia" w:ascii="仿宋_GB2312" w:eastAsia="仿宋_GB2312"/>
          <w:sz w:val="32"/>
          <w:szCs w:val="32"/>
        </w:rPr>
      </w:pPr>
      <w:r>
        <w:rPr>
          <w:rFonts w:hint="eastAsia" w:ascii="仿宋_GB2312" w:eastAsia="仿宋_GB2312"/>
          <w:sz w:val="32"/>
          <w:szCs w:val="32"/>
        </w:rPr>
        <w:t xml:space="preserve">    （二）提出加强和改进全区基层政权建设的建议，推进基层民主政治建设；指导村（居）民委员会换届选举、民主决策、民主管理和民主监督，推进村（居）民自治工作。</w:t>
      </w:r>
    </w:p>
    <w:p>
      <w:pPr>
        <w:spacing w:line="600" w:lineRule="exact"/>
        <w:rPr>
          <w:rFonts w:hint="eastAsia" w:ascii="仿宋_GB2312" w:eastAsia="仿宋_GB2312"/>
          <w:sz w:val="32"/>
          <w:szCs w:val="32"/>
        </w:rPr>
      </w:pPr>
      <w:r>
        <w:rPr>
          <w:rFonts w:hint="eastAsia" w:ascii="仿宋_GB2312" w:eastAsia="仿宋_GB2312"/>
          <w:sz w:val="32"/>
          <w:szCs w:val="32"/>
        </w:rPr>
        <w:t xml:space="preserve">    （三）负责区域行政区划界线的勘定和管理，协调解决行政区划边界纠纷；负责全区乡、村的区域划分及边界线的勘定和边界纠纷的调处。</w:t>
      </w:r>
    </w:p>
    <w:p>
      <w:pPr>
        <w:spacing w:line="600" w:lineRule="exact"/>
        <w:rPr>
          <w:rFonts w:hint="eastAsia" w:ascii="仿宋_GB2312" w:eastAsia="仿宋_GB2312"/>
          <w:sz w:val="32"/>
          <w:szCs w:val="32"/>
        </w:rPr>
      </w:pPr>
      <w:r>
        <w:rPr>
          <w:rFonts w:hint="eastAsia" w:ascii="仿宋_GB2312" w:eastAsia="仿宋_GB2312"/>
          <w:sz w:val="32"/>
          <w:szCs w:val="32"/>
        </w:rPr>
        <w:t xml:space="preserve">    （四）负责全区村以上地名命名、更名和境内主要道路、街道的命名工作；负责地名标志、街路牌、门牌的设置装订及地名资料的编纂工作。</w:t>
      </w:r>
    </w:p>
    <w:p>
      <w:pPr>
        <w:spacing w:line="600" w:lineRule="exact"/>
        <w:rPr>
          <w:rFonts w:hint="eastAsia" w:ascii="仿宋_GB2312" w:eastAsia="仿宋_GB2312"/>
          <w:sz w:val="32"/>
          <w:szCs w:val="32"/>
        </w:rPr>
      </w:pPr>
      <w:r>
        <w:rPr>
          <w:rFonts w:hint="eastAsia" w:ascii="仿宋_GB2312" w:eastAsia="仿宋_GB2312"/>
          <w:sz w:val="32"/>
          <w:szCs w:val="32"/>
        </w:rPr>
        <w:t xml:space="preserve">    （五）牵头拟定社会救助规划和标准，承担城乡社会救助体系建设；负责全区城乡居民最低生活保障、特困供养、临时救助和生活无着流浪乞讨人员救助工作。</w:t>
      </w:r>
    </w:p>
    <w:p>
      <w:pPr>
        <w:spacing w:line="600" w:lineRule="exact"/>
        <w:rPr>
          <w:rFonts w:hint="eastAsia" w:ascii="仿宋_GB2312" w:eastAsia="仿宋_GB2312"/>
          <w:sz w:val="32"/>
          <w:szCs w:val="32"/>
        </w:rPr>
      </w:pPr>
      <w:r>
        <w:rPr>
          <w:rFonts w:hint="eastAsia" w:ascii="仿宋_GB2312" w:eastAsia="仿宋_GB2312"/>
          <w:sz w:val="32"/>
          <w:szCs w:val="32"/>
        </w:rPr>
        <w:t xml:space="preserve">    （六）坚持和加强党对扶贫开发工作的集中统一领导；拟订全区扶贫脱贫工作规划，制</w:t>
      </w:r>
      <w:r>
        <w:rPr>
          <w:rFonts w:hint="eastAsia" w:ascii="仿宋_GB2312" w:eastAsia="仿宋_GB2312"/>
          <w:sz w:val="32"/>
          <w:szCs w:val="32"/>
          <w:lang w:eastAsia="zh-CN"/>
        </w:rPr>
        <w:t>订</w:t>
      </w:r>
      <w:bookmarkStart w:id="0" w:name="_GoBack"/>
      <w:bookmarkEnd w:id="0"/>
      <w:r>
        <w:rPr>
          <w:rFonts w:hint="eastAsia" w:ascii="仿宋_GB2312" w:eastAsia="仿宋_GB2312"/>
          <w:sz w:val="32"/>
          <w:szCs w:val="32"/>
        </w:rPr>
        <w:t>年度计划并组织实施；组织拟定扶贫资金、物资的分配、使用意见；负责指导、监督和检查资金、物资的使用；协调产业扶贫项目的规划、立项、申报和储备工作，经批准后组织实施；负责全区贫困状况的统计监测；组织实施贫困退出工作；负责扶贫开发的交流与合作；组织、指导扶贫济困等社会互助活动。</w:t>
      </w:r>
    </w:p>
    <w:p>
      <w:pPr>
        <w:spacing w:line="600" w:lineRule="exact"/>
        <w:rPr>
          <w:rFonts w:hint="eastAsia" w:ascii="仿宋_GB2312" w:eastAsia="仿宋_GB2312"/>
          <w:sz w:val="32"/>
          <w:szCs w:val="32"/>
        </w:rPr>
      </w:pPr>
      <w:r>
        <w:rPr>
          <w:rFonts w:hint="eastAsia" w:ascii="仿宋_GB2312" w:eastAsia="仿宋_GB2312"/>
          <w:sz w:val="32"/>
          <w:szCs w:val="32"/>
        </w:rPr>
        <w:t xml:space="preserve">    （七）拟订全区慈善事业发展规划和措施，组织指导社会捐助工作；负责福利彩票管理工作；负责老年人、孤儿、残疾人等特殊群体权益保护工作；健全农村留守儿童关爱服务体系和困境儿童保障制度。</w:t>
      </w:r>
    </w:p>
    <w:p>
      <w:pPr>
        <w:spacing w:line="600" w:lineRule="exact"/>
        <w:rPr>
          <w:rFonts w:hint="eastAsia" w:ascii="仿宋_GB2312" w:eastAsia="仿宋_GB2312"/>
          <w:sz w:val="32"/>
          <w:szCs w:val="32"/>
        </w:rPr>
      </w:pPr>
      <w:r>
        <w:rPr>
          <w:rFonts w:hint="eastAsia" w:ascii="仿宋_GB2312" w:eastAsia="仿宋_GB2312"/>
          <w:sz w:val="32"/>
          <w:szCs w:val="32"/>
        </w:rPr>
        <w:t xml:space="preserve">    （八）负责全区婚姻管理、殡葬管理和儿童收养工作；负责推进婚俗和殡葬改革工作；指导公益性公墓建设，加强丧葬用品市场管理，制止大操大办。</w:t>
      </w:r>
    </w:p>
    <w:p>
      <w:pPr>
        <w:spacing w:line="600" w:lineRule="exact"/>
        <w:rPr>
          <w:rFonts w:hint="eastAsia" w:ascii="仿宋_GB2312" w:eastAsia="仿宋_GB2312"/>
          <w:sz w:val="32"/>
          <w:szCs w:val="32"/>
        </w:rPr>
      </w:pPr>
      <w:r>
        <w:rPr>
          <w:rFonts w:hint="eastAsia" w:ascii="仿宋_GB2312" w:eastAsia="仿宋_GB2312"/>
          <w:sz w:val="32"/>
          <w:szCs w:val="32"/>
        </w:rPr>
        <w:t xml:space="preserve">    （九）负责全区社会团体及民办非企业单位的年度检查和执法监察工作；查处社会团体组织及民办非企业单位的违法行为。</w:t>
      </w:r>
    </w:p>
    <w:p>
      <w:pPr>
        <w:spacing w:line="600" w:lineRule="exact"/>
        <w:rPr>
          <w:rFonts w:hint="eastAsia" w:ascii="仿宋_GB2312" w:eastAsia="仿宋_GB2312"/>
          <w:sz w:val="32"/>
          <w:szCs w:val="32"/>
        </w:rPr>
      </w:pPr>
      <w:r>
        <w:rPr>
          <w:rFonts w:hint="eastAsia" w:ascii="仿宋_GB2312" w:eastAsia="仿宋_GB2312"/>
          <w:sz w:val="32"/>
          <w:szCs w:val="32"/>
        </w:rPr>
        <w:t xml:space="preserve">    （十）统筹推进、督促指导、监督管理全区养老服务工作。拟订全区养老服务体系建设规划、政策、标准并组织实施，承担老年人福利和特殊困难老年人救助工作。</w:t>
      </w:r>
    </w:p>
    <w:p>
      <w:pPr>
        <w:spacing w:line="600" w:lineRule="exact"/>
        <w:rPr>
          <w:rFonts w:hint="eastAsia" w:ascii="仿宋_GB2312" w:eastAsia="仿宋_GB2312"/>
          <w:sz w:val="32"/>
          <w:szCs w:val="32"/>
        </w:rPr>
      </w:pPr>
      <w:r>
        <w:rPr>
          <w:rFonts w:hint="eastAsia" w:ascii="仿宋_GB2312" w:eastAsia="仿宋_GB2312"/>
          <w:sz w:val="32"/>
          <w:szCs w:val="32"/>
        </w:rPr>
        <w:t xml:space="preserve">    （十一）负责拟定全区社区工作发展规划，指导社区居委会开展工作。</w:t>
      </w:r>
    </w:p>
    <w:p>
      <w:pPr>
        <w:spacing w:line="600" w:lineRule="exact"/>
        <w:rPr>
          <w:rFonts w:hint="eastAsia" w:ascii="仿宋_GB2312" w:eastAsia="仿宋_GB2312"/>
          <w:sz w:val="32"/>
          <w:szCs w:val="32"/>
        </w:rPr>
      </w:pPr>
      <w:r>
        <w:rPr>
          <w:rFonts w:hint="eastAsia" w:ascii="仿宋_GB2312" w:eastAsia="仿宋_GB2312"/>
          <w:sz w:val="32"/>
          <w:szCs w:val="32"/>
        </w:rPr>
        <w:t xml:space="preserve">    （十二）会同有关部门拟定社会工作发展规划和措施；推进全区社会工作人才队伍建设和相关志愿者队伍建设。</w:t>
      </w:r>
    </w:p>
    <w:p>
      <w:pPr>
        <w:spacing w:line="600" w:lineRule="exact"/>
        <w:rPr>
          <w:rFonts w:hint="eastAsia" w:ascii="仿宋_GB2312" w:eastAsia="仿宋_GB2312"/>
          <w:sz w:val="32"/>
          <w:szCs w:val="32"/>
        </w:rPr>
      </w:pPr>
      <w:r>
        <w:rPr>
          <w:rFonts w:hint="eastAsia" w:ascii="仿宋_GB2312" w:eastAsia="仿宋_GB2312"/>
          <w:sz w:val="32"/>
          <w:szCs w:val="32"/>
        </w:rPr>
        <w:t xml:space="preserve">    （十三）负责组织拟订全区民政系统有关安全方面的规章制度，组织开展本系统安全宣传教育工作；督促本系统重点单位建立健全安全管理制度和应急预案，落实安全防范措施，消除事故隐患。</w:t>
      </w:r>
    </w:p>
    <w:p>
      <w:pPr>
        <w:spacing w:line="600" w:lineRule="exact"/>
        <w:rPr>
          <w:rFonts w:hint="eastAsia" w:ascii="仿宋_GB2312" w:eastAsia="仿宋_GB2312"/>
          <w:sz w:val="32"/>
          <w:szCs w:val="32"/>
        </w:rPr>
      </w:pPr>
      <w:r>
        <w:rPr>
          <w:rFonts w:hint="eastAsia" w:ascii="仿宋_GB2312" w:eastAsia="仿宋_GB2312"/>
          <w:sz w:val="32"/>
          <w:szCs w:val="32"/>
        </w:rPr>
        <w:t xml:space="preserve">    （十四）负责本系统机关、事业单位职业卫生的监督管理工作。  </w:t>
      </w:r>
    </w:p>
    <w:p>
      <w:pPr>
        <w:spacing w:line="600" w:lineRule="exact"/>
        <w:rPr>
          <w:rFonts w:hint="eastAsia" w:ascii="仿宋_GB2312" w:eastAsia="仿宋_GB2312"/>
          <w:sz w:val="32"/>
          <w:szCs w:val="32"/>
        </w:rPr>
      </w:pPr>
      <w:r>
        <w:rPr>
          <w:rFonts w:hint="eastAsia" w:ascii="仿宋_GB2312" w:eastAsia="仿宋_GB2312"/>
          <w:sz w:val="32"/>
          <w:szCs w:val="32"/>
        </w:rPr>
        <w:t xml:space="preserve">    （十五）完成区委、区政府交办的其他事项。</w:t>
      </w:r>
    </w:p>
    <w:p>
      <w:pPr>
        <w:keepNext/>
        <w:keepLines/>
        <w:spacing w:line="580" w:lineRule="exact"/>
        <w:ind w:firstLine="640" w:firstLineChars="200"/>
        <w:jc w:val="left"/>
        <w:outlineLvl w:val="0"/>
        <w:rPr>
          <w:rFonts w:hint="eastAsia"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hint="eastAsia" w:ascii="仿宋_GB2312" w:hAnsi="Calibri" w:eastAsia="仿宋_GB2312" w:cs="Arial Black"/>
          <w:kern w:val="0"/>
          <w:sz w:val="32"/>
          <w:szCs w:val="32"/>
        </w:rPr>
      </w:pPr>
      <w:r>
        <w:rPr>
          <w:rFonts w:hint="eastAsia" w:ascii="仿宋_GB2312" w:hAnsi="Calibri" w:eastAsia="仿宋_GB2312" w:cs="Arial Black"/>
          <w:kern w:val="0"/>
          <w:sz w:val="32"/>
          <w:szCs w:val="32"/>
        </w:rPr>
        <w:t>从决算编报单位构成看，纳入20</w:t>
      </w:r>
      <w:r>
        <w:rPr>
          <w:rFonts w:ascii="仿宋_GB2312" w:hAnsi="Calibri" w:eastAsia="仿宋_GB2312" w:cs="Arial Black"/>
          <w:kern w:val="0"/>
          <w:sz w:val="32"/>
          <w:szCs w:val="32"/>
        </w:rPr>
        <w:t>20</w:t>
      </w:r>
      <w:r>
        <w:rPr>
          <w:rFonts w:hint="eastAsia" w:ascii="仿宋_GB2312" w:hAnsi="Calibri" w:eastAsia="仿宋_GB2312" w:cs="Arial Black"/>
          <w:kern w:val="0"/>
          <w:sz w:val="32"/>
          <w:szCs w:val="32"/>
        </w:rPr>
        <w:t>年度本部门决算汇编范围的独立核算单位（以下简称“单位”）共1个，具体情况如下：</w:t>
      </w:r>
    </w:p>
    <w:tbl>
      <w:tblPr>
        <w:tblStyle w:val="6"/>
        <w:tblpPr w:leftFromText="180" w:rightFromText="180" w:vertAnchor="text" w:horzAnchor="page" w:tblpXSpec="center" w:tblpY="10"/>
        <w:tblOverlap w:val="never"/>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3426"/>
        <w:gridCol w:w="2404"/>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968" w:type="dxa"/>
            <w:vAlign w:val="center"/>
          </w:tcPr>
          <w:p>
            <w:pPr>
              <w:spacing w:line="560" w:lineRule="exact"/>
              <w:jc w:val="center"/>
              <w:rPr>
                <w:rFonts w:hint="eastAsia"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序号</w:t>
            </w:r>
          </w:p>
        </w:tc>
        <w:tc>
          <w:tcPr>
            <w:tcW w:w="3426" w:type="dxa"/>
            <w:vAlign w:val="center"/>
          </w:tcPr>
          <w:p>
            <w:pPr>
              <w:spacing w:line="560" w:lineRule="exact"/>
              <w:jc w:val="center"/>
              <w:rPr>
                <w:rFonts w:hint="eastAsia"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单位名称</w:t>
            </w:r>
          </w:p>
        </w:tc>
        <w:tc>
          <w:tcPr>
            <w:tcW w:w="2404" w:type="dxa"/>
            <w:vAlign w:val="center"/>
          </w:tcPr>
          <w:p>
            <w:pPr>
              <w:spacing w:line="560" w:lineRule="exact"/>
              <w:jc w:val="center"/>
              <w:rPr>
                <w:rFonts w:hint="eastAsia"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单位基本性质</w:t>
            </w:r>
          </w:p>
        </w:tc>
        <w:tc>
          <w:tcPr>
            <w:tcW w:w="2622" w:type="dxa"/>
            <w:vAlign w:val="center"/>
          </w:tcPr>
          <w:p>
            <w:pPr>
              <w:spacing w:line="560" w:lineRule="exact"/>
              <w:jc w:val="center"/>
              <w:rPr>
                <w:rFonts w:hint="eastAsia"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68" w:type="dxa"/>
          </w:tcPr>
          <w:p>
            <w:pPr>
              <w:spacing w:line="560" w:lineRule="exact"/>
              <w:jc w:val="center"/>
              <w:rPr>
                <w:rFonts w:hint="eastAsia" w:ascii="仿宋_GB2312" w:hAnsi="Calibri" w:eastAsia="仿宋_GB2312" w:cs="Arial Black"/>
                <w:kern w:val="0"/>
                <w:sz w:val="28"/>
                <w:szCs w:val="28"/>
              </w:rPr>
            </w:pPr>
            <w:r>
              <w:rPr>
                <w:rFonts w:hint="eastAsia" w:ascii="仿宋_GB2312" w:hAnsi="Calibri" w:eastAsia="仿宋_GB2312" w:cs="Arial Black"/>
                <w:kern w:val="0"/>
                <w:sz w:val="28"/>
                <w:szCs w:val="28"/>
              </w:rPr>
              <w:t>1</w:t>
            </w:r>
          </w:p>
        </w:tc>
        <w:tc>
          <w:tcPr>
            <w:tcW w:w="3426" w:type="dxa"/>
          </w:tcPr>
          <w:p>
            <w:pPr>
              <w:spacing w:line="560" w:lineRule="exact"/>
              <w:rPr>
                <w:rFonts w:hint="eastAsia" w:ascii="仿宋_GB2312" w:hAnsi="Calibri" w:eastAsia="仿宋_GB2312" w:cs="Arial Black"/>
                <w:kern w:val="0"/>
                <w:sz w:val="28"/>
                <w:szCs w:val="28"/>
              </w:rPr>
            </w:pPr>
            <w:r>
              <w:rPr>
                <w:rFonts w:hint="eastAsia" w:ascii="仿宋_GB2312" w:hAnsi="Calibri" w:eastAsia="仿宋_GB2312" w:cs="Arial Black"/>
                <w:kern w:val="0"/>
                <w:sz w:val="28"/>
                <w:szCs w:val="28"/>
              </w:rPr>
              <w:t>保定市满城区民政局</w:t>
            </w:r>
          </w:p>
        </w:tc>
        <w:tc>
          <w:tcPr>
            <w:tcW w:w="2404" w:type="dxa"/>
          </w:tcPr>
          <w:p>
            <w:pPr>
              <w:spacing w:line="560" w:lineRule="exact"/>
              <w:jc w:val="center"/>
              <w:rPr>
                <w:rFonts w:hint="eastAsia" w:ascii="仿宋_GB2312" w:hAnsi="Calibri" w:eastAsia="仿宋_GB2312" w:cs="Arial Black"/>
                <w:kern w:val="0"/>
                <w:sz w:val="28"/>
                <w:szCs w:val="28"/>
              </w:rPr>
            </w:pPr>
            <w:r>
              <w:rPr>
                <w:rFonts w:hint="eastAsia" w:ascii="仿宋_GB2312" w:hAnsi="Calibri" w:eastAsia="仿宋_GB2312" w:cs="Arial Black"/>
                <w:kern w:val="0"/>
                <w:sz w:val="28"/>
                <w:szCs w:val="28"/>
              </w:rPr>
              <w:t>行政单位</w:t>
            </w:r>
          </w:p>
        </w:tc>
        <w:tc>
          <w:tcPr>
            <w:tcW w:w="2622" w:type="dxa"/>
          </w:tcPr>
          <w:p>
            <w:pPr>
              <w:spacing w:line="560" w:lineRule="exact"/>
              <w:jc w:val="center"/>
              <w:rPr>
                <w:rFonts w:hint="eastAsia" w:ascii="仿宋_GB2312" w:hAnsi="Calibri" w:eastAsia="仿宋_GB2312" w:cs="Arial Black"/>
                <w:kern w:val="0"/>
                <w:sz w:val="28"/>
                <w:szCs w:val="28"/>
              </w:rPr>
            </w:pPr>
            <w:r>
              <w:rPr>
                <w:rFonts w:hint="eastAsia" w:ascii="仿宋_GB2312" w:hAnsi="Calibri" w:eastAsia="仿宋_GB2312" w:cs="Arial Black"/>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420" w:type="dxa"/>
            <w:gridSpan w:val="4"/>
            <w:tcBorders>
              <w:top w:val="single" w:color="auto" w:sz="4" w:space="0"/>
              <w:left w:val="nil"/>
              <w:bottom w:val="nil"/>
              <w:right w:val="nil"/>
            </w:tcBorders>
          </w:tcPr>
          <w:p>
            <w:pPr>
              <w:spacing w:line="560" w:lineRule="exact"/>
              <w:ind w:firstLine="560" w:firstLineChars="200"/>
              <w:jc w:val="left"/>
              <w:rPr>
                <w:rFonts w:hint="eastAsia" w:ascii="仿宋_GB2312" w:hAnsi="Calibri" w:eastAsia="仿宋_GB2312" w:cs="Arial Black"/>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rPr>
          <w:rFonts w:hint="eastAsia"/>
        </w:rPr>
      </w:pPr>
    </w:p>
    <w:p>
      <w:pPr>
        <w:widowControl/>
        <w:spacing w:after="160" w:line="580" w:lineRule="exact"/>
        <w:ind w:firstLine="1440" w:firstLineChars="200"/>
        <w:rPr>
          <w:rFonts w:ascii="Times New Roman" w:hAnsi="Times New Roman" w:eastAsia="黑体" w:cs="Times New Roman"/>
          <w:sz w:val="32"/>
          <w:szCs w:val="32"/>
        </w:rPr>
        <w:sectPr>
          <w:headerReference r:id="rId7" w:type="default"/>
          <w:pgSz w:w="11906" w:h="16838"/>
          <w:pgMar w:top="2098" w:right="1531" w:bottom="1984" w:left="1531" w:header="851" w:footer="992" w:gutter="0"/>
          <w:pgBorders>
            <w:top w:val="none" w:sz="0" w:space="0"/>
            <w:left w:val="none" w:sz="0" w:space="0"/>
            <w:bottom w:val="none" w:sz="0" w:space="0"/>
            <w:right w:val="none" w:sz="0" w:space="0"/>
          </w:pgBorders>
          <w:pgNumType w:fmt="numberInDash"/>
          <w:cols w:space="0" w:num="1"/>
          <w:titlePg/>
          <w:docGrid w:type="lines" w:linePitch="312" w:charSpace="0"/>
        </w:sectPr>
      </w:pPr>
      <w:r>
        <w:rPr>
          <w:sz w:val="72"/>
        </w:rPr>
        <mc:AlternateContent>
          <mc:Choice Requires="wps">
            <w:drawing>
              <wp:anchor distT="0" distB="0" distL="114300" distR="114300" simplePos="0" relativeHeight="25166233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a:effectLst/>
                      </wps:spPr>
                      <wps:txb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 xml:space="preserve"> </w:t>
                            </w:r>
                          </w:p>
                          <w:p>
                            <w:pPr>
                              <w:widowControl/>
                              <w:jc w:val="center"/>
                              <w:rPr>
                                <w:rFonts w:ascii="黑体" w:hAnsi="黑体" w:eastAsia="黑体" w:cs="黑体"/>
                                <w:color w:val="000000" w:themeColor="text1"/>
                                <w:sz w:val="96"/>
                                <w:szCs w:val="96"/>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233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uuj5PeAAAADQEAAA8AAAAAAAAA&#10;AQAgAAAAIgAAAGRycy9kb3ducmV2LnhtbFBLAQIUABQAAAAIAIdO4kCR71RIRAIAAHkEAAAOAAAA&#10;AAAAAAEAIAAAAC0BAABkcnMvZTJvRG9jLnhtbFBLBQYAAAAABgAGAFkBAADj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 xml:space="preserve"> </w:t>
                      </w:r>
                    </w:p>
                    <w:p>
                      <w:pPr>
                        <w:widowControl/>
                        <w:jc w:val="center"/>
                        <w:rPr>
                          <w:rFonts w:ascii="黑体" w:hAnsi="黑体" w:eastAsia="黑体" w:cs="黑体"/>
                          <w:color w:val="000000" w:themeColor="text1"/>
                          <w:sz w:val="96"/>
                          <w:szCs w:val="96"/>
                          <w14:textFill>
                            <w14:solidFill>
                              <w14:schemeClr w14:val="tx1"/>
                            </w14:solidFill>
                          </w14:textFill>
                        </w:rPr>
                      </w:pPr>
                    </w:p>
                  </w:txbxContent>
                </v:textbox>
              </v:shape>
            </w:pict>
          </mc:Fallback>
        </mc:AlternateContent>
      </w:r>
    </w:p>
    <w:p>
      <w:pPr>
        <w:widowControl/>
        <w:spacing w:line="580" w:lineRule="exact"/>
        <w:ind w:firstLine="640" w:firstLineChars="200"/>
        <w:rPr>
          <w:rFonts w:hint="eastAsia"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63360" behindDoc="0" locked="0" layoutInCell="1" allowOverlap="1">
                <wp:simplePos x="0" y="0"/>
                <wp:positionH relativeFrom="column">
                  <wp:posOffset>-1028065</wp:posOffset>
                </wp:positionH>
                <wp:positionV relativeFrom="paragraph">
                  <wp:posOffset>-2637155</wp:posOffset>
                </wp:positionV>
                <wp:extent cx="7793355" cy="3341370"/>
                <wp:effectExtent l="6350" t="6350" r="18415" b="20320"/>
                <wp:wrapNone/>
                <wp:docPr id="3" name="文本框 15"/>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7F7F7F"/>
                          </a:fgClr>
                          <a:bgClr>
                            <a:srgbClr val="FFFFFF"/>
                          </a:bgClr>
                        </a:pattFill>
                        <a:ln w="12700" cap="flat" cmpd="sng">
                          <a:solidFill>
                            <a:srgbClr val="A6A6A6"/>
                          </a:solidFill>
                          <a:prstDash val="solid"/>
                          <a:round/>
                          <a:headEnd type="none" w="med" len="med"/>
                          <a:tailEnd type="none" w="med" len="med"/>
                        </a:ln>
                      </wps:spPr>
                      <wps:txb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第二部分 </w:t>
                            </w:r>
                          </w:p>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2020年部门决算情况说明</w:t>
                            </w:r>
                          </w:p>
                          <w:p>
                            <w:pPr>
                              <w:widowControl/>
                              <w:jc w:val="center"/>
                              <w:rPr>
                                <w:rFonts w:hint="eastAsia"/>
                              </w:rPr>
                            </w:pPr>
                          </w:p>
                          <w:p>
                            <w:pPr>
                              <w:rPr>
                                <w:rFonts w:hint="eastAsia"/>
                              </w:rPr>
                            </w:pPr>
                          </w:p>
                        </w:txbxContent>
                      </wps:txbx>
                      <wps:bodyPr anchor="ctr" anchorCtr="0" upright="1"/>
                    </wps:wsp>
                  </a:graphicData>
                </a:graphic>
              </wp:anchor>
            </w:drawing>
          </mc:Choice>
          <mc:Fallback>
            <w:pict>
              <v:shape id="文本框 15" o:spid="_x0000_s1026" o:spt="202" type="#_x0000_t202" style="position:absolute;left:0pt;margin-left:-80.95pt;margin-top:-207.65pt;height:263.1pt;width:613.65pt;z-index:251663360;v-text-anchor:middle;mso-width-relative:page;mso-height-relative:page;" fillcolor="#7F7F7F" filled="t" stroked="t" coordsize="21600,21600" o:gfxdata="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vBcO0d0AAAAOAQAADwAAAAAAAAABACAAAAAi&#10;AAAAZHJzL2Rvd25yZXYueG1sUEsBAhQAFAAAAAgAh07iQB8gCyY+AgAAnQQAAA4AAAAAAAAAAQAg&#10;AAAALAEAAGRycy9lMm9Eb2MueG1sUEsFBgAAAAAGAAYAWQEAANwFAAAAAA==&#10;">
                <v:fill type="pattern" on="t" color2="#FFFFFF" o:title="5%" focussize="0,0" r:id="rId11"/>
                <v:stroke weight="1pt" color="#A6A6A6" joinstyle="round"/>
                <v:imagedata o:title=""/>
                <o:lock v:ext="edit" aspectratio="f"/>
                <v:textbo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第二部分 </w:t>
                      </w:r>
                    </w:p>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2020年部门决算情况说明</w:t>
                      </w:r>
                    </w:p>
                    <w:p>
                      <w:pPr>
                        <w:widowControl/>
                        <w:jc w:val="center"/>
                        <w:rPr>
                          <w:rFonts w:hint="eastAsia"/>
                        </w:rPr>
                      </w:pPr>
                    </w:p>
                    <w:p>
                      <w:pPr>
                        <w:rPr>
                          <w:rFonts w:hint="eastAsia"/>
                        </w:rPr>
                      </w:pPr>
                    </w:p>
                  </w:txbxContent>
                </v:textbox>
              </v:shape>
            </w:pict>
          </mc:Fallback>
        </mc:AlternateContent>
      </w:r>
    </w:p>
    <w:p>
      <w:pPr>
        <w:jc w:val="center"/>
        <w:rPr>
          <w:rFonts w:ascii="黑体" w:hAnsi="黑体" w:eastAsia="黑体" w:cs="黑体"/>
          <w:sz w:val="56"/>
          <w:szCs w:val="72"/>
        </w:rPr>
      </w:pPr>
    </w:p>
    <w:p>
      <w:pPr>
        <w:keepNext/>
        <w:keepLines/>
        <w:snapToGrid w:val="0"/>
        <w:spacing w:line="600" w:lineRule="exact"/>
        <w:ind w:firstLine="420" w:firstLineChars="200"/>
        <w:outlineLvl w:val="1"/>
        <w:rPr>
          <w:rFonts w:hint="eastAsia" w:ascii="黑体" w:hAnsi="Calibri" w:eastAsia="黑体" w:cs="Times New Roman"/>
          <w:sz w:val="32"/>
          <w:szCs w:val="32"/>
        </w:rPr>
      </w:pPr>
      <w:r>
        <w:br w:type="page"/>
      </w: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600" w:lineRule="exact"/>
        <w:ind w:firstLine="640" w:firstLineChars="200"/>
        <w:rPr>
          <w:rFonts w:ascii="仿宋_GB2312" w:hAnsi="Times New Roman" w:eastAsia="仿宋_GB2312" w:cs="Wingdings"/>
          <w:sz w:val="32"/>
          <w:szCs w:val="32"/>
          <w:highlight w:val="yellow"/>
        </w:rPr>
      </w:pPr>
      <w:r>
        <w:rPr>
          <w:rFonts w:hint="eastAsia" w:ascii="仿宋_GB2312" w:hAnsi="Times New Roman" w:eastAsia="仿宋_GB2312" w:cs="Wingdings"/>
          <w:sz w:val="32"/>
          <w:szCs w:val="32"/>
        </w:rPr>
        <w:t>本部门2020年度收、支总计（含结转和结余）5642.67万元。与2019年度决算相比，收支各减少1087.92万元，下降19.28%，主要原因是机构改革，救灾职能转出。</w:t>
      </w:r>
    </w:p>
    <w:p>
      <w:pPr>
        <w:keepNext/>
        <w:keepLines/>
        <w:snapToGrid w:val="0"/>
        <w:spacing w:line="600" w:lineRule="exact"/>
        <w:ind w:firstLine="640" w:firstLineChars="200"/>
        <w:outlineLvl w:val="1"/>
        <w:rPr>
          <w:rFonts w:hint="eastAsia"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600" w:lineRule="exact"/>
        <w:ind w:firstLine="640" w:firstLineChars="200"/>
        <w:rPr>
          <w:rFonts w:ascii="仿宋_GB2312" w:hAnsi="Times New Roman" w:eastAsia="仿宋_GB2312" w:cs="Wingdings"/>
          <w:sz w:val="32"/>
          <w:szCs w:val="32"/>
          <w:highlight w:val="yellow"/>
        </w:rPr>
      </w:pPr>
      <w:r>
        <w:rPr>
          <w:rFonts w:hint="eastAsia" w:ascii="仿宋_GB2312" w:hAnsi="Times New Roman" w:eastAsia="仿宋_GB2312" w:cs="Wingdings"/>
          <w:sz w:val="32"/>
          <w:szCs w:val="32"/>
        </w:rPr>
        <w:t>本部门2020年度本年收入合计5642.67万元，其中：财政拨款收入5629.60万元，占99.77%；事业收入0万元，占0%；经营收入0万元，占0%；其他收入13.06万元，占0.23%。</w:t>
      </w:r>
    </w:p>
    <w:p>
      <w:pPr>
        <w:snapToGrid w:val="0"/>
        <w:spacing w:line="600" w:lineRule="exact"/>
        <w:ind w:firstLine="640" w:firstLineChars="200"/>
        <w:outlineLvl w:val="1"/>
        <w:rPr>
          <w:rFonts w:hint="eastAsia"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本部门2020年度本年支出合计5642.67万元，其中：基本支出792.51万元，占14.05%；项目支出4850.15万元，占85.95%；经营支出0万元，占0%。</w:t>
      </w:r>
    </w:p>
    <w:p>
      <w:pPr>
        <w:keepNext/>
        <w:keepLines/>
        <w:snapToGrid w:val="0"/>
        <w:spacing w:line="600" w:lineRule="exact"/>
        <w:ind w:firstLine="640" w:firstLineChars="200"/>
        <w:outlineLvl w:val="1"/>
        <w:rPr>
          <w:rFonts w:hint="eastAsia"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（一）财政拨款收支与2019年度决算对比情况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财政拨款本年收入5629.60万元,比2019年度减少1068.22万元，降低15.36%，主要是机构改革，救灾职能转出；本年支出5629.60万元，减少1068.22万元，降低15.36%，主要是机构改革，救灾职能转出。具体情况如下：</w:t>
      </w:r>
    </w:p>
    <w:p>
      <w:pPr>
        <w:numPr>
          <w:ilvl w:val="0"/>
          <w:numId w:val="1"/>
        </w:num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一般公共预算财政拨款本年收入5168.06万元，比上年减少1408.01万元；主要是机构改革，救灾职能转出；本年支出5168.06万元，比上年减少1408.01万元，降低21.41%，主要是机构改革，救灾职能转出。</w:t>
      </w:r>
    </w:p>
    <w:p>
      <w:pPr>
        <w:numPr>
          <w:ilvl w:val="0"/>
          <w:numId w:val="1"/>
        </w:num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政府性基金预算财政拨款本年收入461.54万元，比上年增加339.79万元，增长279.09%，主要原因是我国步入老年社会，国家加大了对养老机构的投入；本年支出461.54万元，比上年增加339.79万元，增长279.09%，主要原因是我国步入老年社会，国家加大了对养老机构的投入。</w:t>
      </w:r>
    </w:p>
    <w:p>
      <w:pPr>
        <w:adjustRightInd w:val="0"/>
        <w:snapToGrid w:val="0"/>
        <w:spacing w:line="600" w:lineRule="exact"/>
        <w:ind w:firstLine="640" w:firstLineChars="200"/>
        <w:rPr>
          <w:rFonts w:ascii="仿宋_GB2312" w:hAnsi="Times New Roman" w:eastAsia="仿宋_GB2312" w:cs="Wingdings"/>
          <w:sz w:val="32"/>
          <w:szCs w:val="32"/>
          <w:highlight w:val="yellow"/>
        </w:rPr>
      </w:pPr>
    </w:p>
    <w:p>
      <w:pPr>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（二）财政拨款收支与年初预算数对比情况</w:t>
      </w:r>
    </w:p>
    <w:p>
      <w:pPr>
        <w:numPr>
          <w:ilvl w:val="0"/>
          <w:numId w:val="1"/>
        </w:num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本部门2020年度财政拨款本年收入5629.60万元，完成年初预算的112.9</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%,比年初预算增加643.33万元，决算数大于预算数主要原因是我国步入老年社会，国家加大了对养老机构的投入；本年支出5629.60万元，完成年初预算的112.9</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%,比年初预算增加643.33万元，决算数大于预算数主要原因是主要是我国步入老年社会，国家加大了对养老机构的投入。具体情况如下：</w:t>
      </w:r>
    </w:p>
    <w:p>
      <w:pPr>
        <w:numPr>
          <w:ilvl w:val="0"/>
          <w:numId w:val="2"/>
        </w:num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一般公共预算财政拨款本年收入完成年初预算109.46%，比年初预算增加446.59万元，主要是增加了8个社区居委会；支出完成年初预算109.46%，比年初预算增加446.59万元，主要是增加了8个社区居委会。</w:t>
      </w:r>
    </w:p>
    <w:p>
      <w:pPr>
        <w:numPr>
          <w:ilvl w:val="0"/>
          <w:numId w:val="2"/>
        </w:num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政府性基金预算财政拨款本年收入完成年初预算174.17%，比年初预算增加196.54万元，主要是我国步入老年社会，国家加大了对养老机构的投入；支出完成年初预算174.17%，比年初预算增加196.54万元，主要是我国步入老年社会，国家加大了对养老机构的投入。</w:t>
      </w:r>
    </w:p>
    <w:p>
      <w:pPr>
        <w:numPr>
          <w:ilvl w:val="0"/>
          <w:numId w:val="3"/>
        </w:num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财政拨款支出决算结构情况。</w:t>
      </w:r>
    </w:p>
    <w:p>
      <w:pPr>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年度财政拨款支出5629.60万元，主要用于以下方面：一般公共服务（类）支出3</w:t>
      </w:r>
      <w:r>
        <w:rPr>
          <w:rFonts w:hint="eastAsia" w:ascii="仿宋_GB2312" w:hAnsi="Times New Roman" w:eastAsia="仿宋_GB2312" w:cs="Wingdings"/>
          <w:sz w:val="32"/>
          <w:szCs w:val="32"/>
          <w:lang w:val="en-US" w:eastAsia="zh-CN"/>
        </w:rPr>
        <w:t>.00</w:t>
      </w:r>
      <w:r>
        <w:rPr>
          <w:rFonts w:hint="eastAsia" w:ascii="仿宋_GB2312" w:hAnsi="Times New Roman" w:eastAsia="仿宋_GB2312" w:cs="Wingdings"/>
          <w:sz w:val="32"/>
          <w:szCs w:val="32"/>
        </w:rPr>
        <w:t>万元，占0.05%；文化旅游体育与传媒（类）支出6</w:t>
      </w:r>
      <w:r>
        <w:rPr>
          <w:rFonts w:hint="eastAsia" w:ascii="仿宋_GB2312" w:hAnsi="Times New Roman" w:eastAsia="仿宋_GB2312" w:cs="Wingdings"/>
          <w:sz w:val="32"/>
          <w:szCs w:val="32"/>
          <w:lang w:val="en-US" w:eastAsia="zh-CN"/>
        </w:rPr>
        <w:t>.00</w:t>
      </w:r>
      <w:r>
        <w:rPr>
          <w:rFonts w:hint="eastAsia" w:ascii="仿宋_GB2312" w:hAnsi="Times New Roman" w:eastAsia="仿宋_GB2312" w:cs="Wingdings"/>
          <w:sz w:val="32"/>
          <w:szCs w:val="32"/>
        </w:rPr>
        <w:t>万元占0.1</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%；公共安全类（类）社会保障和就业（类）支出4933.99万元，占87.65%；卫生健康（类）支出52.95万元，占0.9</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%；农林水（类）支出143.71万元，占2.6</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%；住房保障（类）支出28.42万元，占 0.5</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%;其他支出（彩票公益金安排的支出）170.54万元，占 3</w:t>
      </w:r>
      <w:r>
        <w:rPr>
          <w:rFonts w:hint="eastAsia" w:ascii="仿宋_GB2312" w:hAnsi="Times New Roman" w:eastAsia="仿宋_GB2312" w:cs="Wingdings"/>
          <w:sz w:val="32"/>
          <w:szCs w:val="32"/>
          <w:lang w:val="en-US" w:eastAsia="zh-CN"/>
        </w:rPr>
        <w:t>.00</w:t>
      </w:r>
      <w:r>
        <w:rPr>
          <w:rFonts w:hint="eastAsia" w:ascii="仿宋_GB2312" w:hAnsi="Times New Roman" w:eastAsia="仿宋_GB2312" w:cs="Wingdings"/>
          <w:sz w:val="32"/>
          <w:szCs w:val="32"/>
        </w:rPr>
        <w:t>%;抗疫特别国债安排的（彩票公益金）支出291</w:t>
      </w:r>
      <w:r>
        <w:rPr>
          <w:rFonts w:hint="eastAsia" w:ascii="仿宋_GB2312" w:hAnsi="Times New Roman" w:eastAsia="仿宋_GB2312" w:cs="Wingdings"/>
          <w:sz w:val="32"/>
          <w:szCs w:val="32"/>
          <w:lang w:val="en-US" w:eastAsia="zh-CN"/>
        </w:rPr>
        <w:t>.00</w:t>
      </w:r>
      <w:r>
        <w:rPr>
          <w:rFonts w:hint="eastAsia" w:ascii="仿宋_GB2312" w:hAnsi="Times New Roman" w:eastAsia="仿宋_GB2312" w:cs="Wingdings"/>
          <w:sz w:val="32"/>
          <w:szCs w:val="32"/>
        </w:rPr>
        <w:t>万元，占 5.2</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w:t>
      </w:r>
    </w:p>
    <w:p>
      <w:p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年度财政拨款基本支出792.52万元，其中：人员经费 755.65万元，主要包括基本工资、津贴补贴、奖金、绩效工资、机关事业单位基本养老保险缴费、职业年金缴费、职工基本医疗保险缴费、住房公积金、退休费、抚恤金、奖励金支出；公用经费 36.87万元，主要包括办公费、印刷费、手续费、水费、电费、邮电费、取暖费、维修（护）费、公务用车运行维护费、其他交通费用支出。</w:t>
      </w:r>
    </w:p>
    <w:p>
      <w:pPr>
        <w:keepNext/>
        <w:keepLines/>
        <w:snapToGrid w:val="0"/>
        <w:spacing w:line="600" w:lineRule="exact"/>
        <w:ind w:firstLine="640" w:firstLineChars="200"/>
        <w:outlineLvl w:val="1"/>
        <w:rPr>
          <w:rFonts w:hint="eastAsia"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本部门2020年度“三公”经费财政拨款支出预算为17.5万元，支出决算为10.72</w:t>
      </w:r>
      <w:r>
        <w:rPr>
          <w:rFonts w:hint="eastAsia" w:ascii="仿宋_GB2312" w:hAnsi="Times New Roman" w:eastAsia="仿宋_GB2312" w:cs="Wingdings"/>
          <w:sz w:val="32"/>
          <w:szCs w:val="32"/>
          <w:lang w:eastAsia="zh-CN"/>
        </w:rPr>
        <w:t>万</w:t>
      </w:r>
      <w:r>
        <w:rPr>
          <w:rFonts w:hint="eastAsia" w:ascii="仿宋_GB2312" w:hAnsi="Times New Roman" w:eastAsia="仿宋_GB2312" w:cs="Wingdings"/>
          <w:sz w:val="32"/>
          <w:szCs w:val="32"/>
        </w:rPr>
        <w:t>元，完成预算的61.26%,较预算减少6.78万元，降低38.74%，主要是严格控制车辆出行；较2019年度增加1.5万元，增长16.26%，主要是疫情期间接送返满人员。</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1.因公出国（境）费。</w:t>
      </w:r>
      <w:r>
        <w:rPr>
          <w:rFonts w:hint="eastAsia" w:ascii="仿宋_GB2312" w:hAnsi="仿宋_GB2312" w:eastAsia="仿宋_GB2312" w:cs="仿宋_GB2312"/>
          <w:b w:val="0"/>
          <w:bCs w:val="0"/>
          <w:sz w:val="32"/>
          <w:szCs w:val="32"/>
        </w:rPr>
        <w:t>本部门2020</w:t>
      </w:r>
      <w:r>
        <w:rPr>
          <w:rFonts w:hint="eastAsia" w:ascii="仿宋_GB2312" w:hAnsi="仿宋_GB2312" w:eastAsia="仿宋_GB2312" w:cs="仿宋_GB2312"/>
          <w:b w:val="0"/>
          <w:bCs w:val="0"/>
          <w:sz w:val="32"/>
          <w:szCs w:val="32"/>
          <w:lang w:val="en-US" w:eastAsia="zh-CN"/>
        </w:rPr>
        <w:t>年因公出国（境）费</w:t>
      </w:r>
      <w:r>
        <w:rPr>
          <w:rFonts w:hint="eastAsia" w:ascii="仿宋_GB2312" w:hAnsi="仿宋_GB2312" w:eastAsia="仿宋_GB2312" w:cs="仿宋_GB2312"/>
          <w:b w:val="0"/>
          <w:bCs w:val="0"/>
          <w:sz w:val="32"/>
          <w:szCs w:val="32"/>
        </w:rPr>
        <w:t>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万元，完成预算的</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w:t>
      </w:r>
      <w:r>
        <w:rPr>
          <w:rFonts w:hint="eastAsia" w:ascii="仿宋_GB2312" w:hAnsi="Times New Roman" w:eastAsia="仿宋_GB2312" w:cs="Wingdings"/>
          <w:sz w:val="32"/>
          <w:szCs w:val="32"/>
        </w:rPr>
        <w:t>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人、参加其他单位组织的因公出国（境）团组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无本单位组织的出国（境）团组。因公出国（境）费支出较预算增加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本年无因公出国经费开支</w:t>
      </w:r>
      <w:r>
        <w:rPr>
          <w:rFonts w:hint="eastAsia" w:ascii="仿宋_GB2312" w:hAnsi="Times New Roman" w:eastAsia="仿宋_GB2312" w:cs="Wingdings"/>
          <w:sz w:val="32"/>
          <w:szCs w:val="32"/>
        </w:rPr>
        <w:t>；较上年</w:t>
      </w:r>
      <w:r>
        <w:rPr>
          <w:rFonts w:hint="eastAsia" w:ascii="仿宋_GB2312" w:hAnsi="Times New Roman" w:eastAsia="仿宋_GB2312" w:cs="Wingdings"/>
          <w:sz w:val="32"/>
          <w:szCs w:val="32"/>
          <w:lang w:eastAsia="zh-CN"/>
        </w:rPr>
        <w:t>减少</w:t>
      </w:r>
      <w:r>
        <w:rPr>
          <w:rFonts w:hint="eastAsia" w:ascii="仿宋_GB2312" w:hAnsi="Times New Roman" w:eastAsia="仿宋_GB2312" w:cs="Wingdings"/>
          <w:sz w:val="32"/>
          <w:szCs w:val="32"/>
          <w:lang w:val="en-US" w:eastAsia="zh-CN"/>
        </w:rPr>
        <w:t>1.81</w:t>
      </w:r>
      <w:r>
        <w:rPr>
          <w:rFonts w:hint="eastAsia" w:ascii="仿宋_GB2312" w:hAnsi="Times New Roman" w:eastAsia="仿宋_GB2312" w:cs="Wingdings"/>
          <w:sz w:val="32"/>
          <w:szCs w:val="32"/>
        </w:rPr>
        <w:t>万元，</w:t>
      </w:r>
      <w:r>
        <w:rPr>
          <w:rFonts w:hint="eastAsia" w:ascii="仿宋_GB2312" w:hAnsi="Times New Roman" w:eastAsia="仿宋_GB2312" w:cs="Wingdings"/>
          <w:sz w:val="32"/>
          <w:szCs w:val="32"/>
          <w:lang w:eastAsia="zh-CN"/>
        </w:rPr>
        <w:t>减少</w:t>
      </w:r>
      <w:r>
        <w:rPr>
          <w:rFonts w:hint="eastAsia" w:ascii="仿宋_GB2312" w:hAnsi="Times New Roman" w:eastAsia="仿宋_GB2312" w:cs="Wingdings"/>
          <w:sz w:val="32"/>
          <w:szCs w:val="32"/>
          <w:lang w:val="en-US" w:eastAsia="zh-CN"/>
        </w:rPr>
        <w:t>100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本年无因公出国经费开支</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2.公务用车购置及运行维护费。</w:t>
      </w:r>
      <w:r>
        <w:rPr>
          <w:rFonts w:hint="eastAsia" w:ascii="仿宋_GB2312" w:hAnsi="仿宋_GB2312" w:eastAsia="仿宋_GB2312" w:cs="仿宋_GB2312"/>
          <w:sz w:val="32"/>
          <w:szCs w:val="32"/>
        </w:rPr>
        <w:t>本部门2020年公务用车购置及运行维护费支出10.72万元，完成预算的61.26%，</w:t>
      </w:r>
      <w:r>
        <w:rPr>
          <w:rFonts w:hint="eastAsia" w:ascii="仿宋_GB2312" w:hAnsi="Times New Roman" w:eastAsia="仿宋_GB2312" w:cs="Wingdings"/>
          <w:sz w:val="32"/>
          <w:szCs w:val="32"/>
        </w:rPr>
        <w:t>较预算减少6.78万元，降低38.74%,主要是严格控制车辆出行；较上年增加1.5</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万元，增长16.26%，主要是疫情期间接送返满人员。</w:t>
      </w:r>
    </w:p>
    <w:p>
      <w:pPr>
        <w:adjustRightInd w:val="0"/>
        <w:snapToGrid w:val="0"/>
        <w:spacing w:line="600" w:lineRule="exact"/>
        <w:rPr>
          <w:rFonts w:ascii="仿宋_GB2312" w:hAnsi="Times New Roman" w:eastAsia="仿宋_GB2312" w:cs="Mongolian Baiti"/>
          <w:b/>
          <w:bCs/>
          <w:sz w:val="32"/>
          <w:szCs w:val="32"/>
        </w:rPr>
      </w:pPr>
      <w:r>
        <w:rPr>
          <w:rFonts w:hint="eastAsia" w:ascii="仿宋_GB2312" w:hAnsi="Times New Roman" w:eastAsia="仿宋_GB2312" w:cs="Mongolian Baiti"/>
          <w:b/>
          <w:bCs/>
          <w:sz w:val="32"/>
          <w:szCs w:val="32"/>
        </w:rPr>
        <w:t>其中：</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Wingdings"/>
          <w:sz w:val="32"/>
          <w:szCs w:val="32"/>
        </w:rPr>
        <w:t>本部门2020年度公务用车购置量为0，未发生公务用车购置经费支出，与年初预算持平，与2019年度决算支出持平。</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sz w:val="32"/>
          <w:szCs w:val="32"/>
        </w:rPr>
        <w:t>本部门2020年度单位公务用车保有量4辆,发生运行维护费支10.72万元。公车运行维护费支出较预算减少6.78万元，增降低38.74%,主要是严格控制车辆出行；较上年增加1.5万元，增长16.26%，主要是疫情期间接送返满人员。</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3.公务接待费。</w:t>
      </w:r>
      <w:r>
        <w:rPr>
          <w:rFonts w:hint="eastAsia" w:ascii="仿宋_GB2312" w:hAnsi="仿宋_GB2312" w:eastAsia="仿宋_GB2312" w:cs="仿宋_GB2312"/>
          <w:sz w:val="32"/>
          <w:szCs w:val="32"/>
        </w:rPr>
        <w:t>本部门2020年公务</w:t>
      </w:r>
      <w:r>
        <w:rPr>
          <w:rFonts w:hint="eastAsia" w:ascii="仿宋_GB2312" w:hAnsi="仿宋_GB2312" w:eastAsia="仿宋_GB2312" w:cs="仿宋_GB2312"/>
          <w:sz w:val="32"/>
          <w:szCs w:val="32"/>
          <w:lang w:val="en-US" w:eastAsia="zh-CN"/>
        </w:rPr>
        <w:t>接待</w:t>
      </w:r>
      <w:r>
        <w:rPr>
          <w:rFonts w:hint="eastAsia" w:ascii="仿宋_GB2312" w:hAnsi="仿宋_GB2312" w:eastAsia="仿宋_GB2312" w:cs="仿宋_GB2312"/>
          <w:sz w:val="32"/>
          <w:szCs w:val="32"/>
        </w:rPr>
        <w:t>费支出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万元。发生</w:t>
      </w:r>
      <w:r>
        <w:rPr>
          <w:rFonts w:hint="eastAsia" w:ascii="仿宋_GB2312" w:hAnsi="Times New Roman" w:eastAsia="仿宋_GB2312" w:cs="Wingdings"/>
          <w:sz w:val="32"/>
          <w:szCs w:val="32"/>
        </w:rPr>
        <w:t>公务接待共0批次、0人次。公务接待费支出较预算减少0.94万元，降低100%,主要是没有发生公务接待；较上年度减少0万元，降低0%,主要是2019年、2020年均未发生公务接待。</w:t>
      </w:r>
    </w:p>
    <w:p>
      <w:pPr>
        <w:adjustRightInd w:val="0"/>
        <w:snapToGrid w:val="0"/>
        <w:spacing w:line="60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2020年度项目支出全面开展绩效自评，其中，一般公共预算一级项目10个，二级项目19个，共涉及资金4850.15万元，占一般公共预算项目支出总额的973.27；政府性基金预算一级项目2个，二级项目2个,共涉及资金461.54万元，占政府性基金预算项目支出总额的174.17%。</w:t>
      </w:r>
    </w:p>
    <w:p>
      <w:pPr>
        <w:adjustRightInd w:val="0"/>
        <w:snapToGrid w:val="0"/>
        <w:spacing w:line="580" w:lineRule="exact"/>
        <w:ind w:firstLine="640" w:firstLineChars="200"/>
        <w:rPr>
          <w:rFonts w:hint="eastAsia" w:ascii="仿宋_GB2312" w:eastAsia="仿宋_GB2312" w:cs="DengXian-Regular"/>
          <w:sz w:val="32"/>
          <w:szCs w:val="32"/>
        </w:rPr>
      </w:pPr>
      <w:r>
        <w:rPr>
          <w:rFonts w:hint="eastAsia" w:ascii="仿宋_GB2312" w:hAnsi="仿宋_GB2312" w:eastAsia="仿宋_GB2312" w:cs="仿宋_GB2312"/>
          <w:sz w:val="32"/>
          <w:szCs w:val="32"/>
        </w:rPr>
        <w:t>组织对“残疾人事业”一级项目开展了部门评价，涉及一般公共预算支出295.77万元。</w:t>
      </w:r>
      <w:r>
        <w:rPr>
          <w:rFonts w:hint="eastAsia" w:ascii="仿宋_GB2312" w:eastAsia="仿宋_GB2312" w:cs="DengXian-Regular"/>
          <w:sz w:val="32"/>
          <w:szCs w:val="32"/>
        </w:rPr>
        <w:t>从评价情况来看，我单位根据单位实际和工作需要，清晰描述预算项目开支范围和内容，确定预算项目的绩效目标。在预算执行过程中，按时间和进度的绩效管理目标要求，合理安排资金的使用，保证了各项工作的顺利进行，较好地实现了预算项目绩效目标。</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 部门决算中项目绩效自评结果。</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本部门在今年部门决算公开中反映残疾人事业项目绩效自评结果。</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残疾人事业项目自评综述：根据年初设定的绩效目标，残疾人事业项目绩效自评得分为95分。全年预算数为170万元，执行数为295.77万元，完成预算的173.98%。项目绩效目标完成情况：一是按照国家规定，为两残人员提供基本生活等方面的保障；二是真正意义上保障其基本生活，按照政策规定的补助补贴标准，确保将此笔专项资金准确、及时、足额的发放到两残人员手中。</w:t>
      </w:r>
    </w:p>
    <w:p>
      <w:pPr>
        <w:numPr>
          <w:ilvl w:val="0"/>
          <w:numId w:val="4"/>
        </w:num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发现的主要问题及原因：一是部分符合规定的残疾人没有及时申请补助，造成漏保；二是由于工作量大，造成发放时间有时比预定时间晚。下一步改进措施：一是及时查漏补缺，做到应保尽保；二是打好提前量，及时发放补贴。</w:t>
      </w:r>
    </w:p>
    <w:p>
      <w:pPr>
        <w:numPr>
          <w:ilvl w:val="0"/>
          <w:numId w:val="4"/>
        </w:num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残疾人事业项目绩效自评综述：</w:t>
      </w:r>
    </w:p>
    <w:p>
      <w:pPr>
        <w:adjustRightInd w:val="0"/>
        <w:snapToGrid w:val="0"/>
        <w:spacing w:line="600" w:lineRule="exact"/>
        <w:ind w:left="640"/>
        <w:rPr>
          <w:rFonts w:ascii="仿宋_GB2312" w:hAnsi="仿宋_GB2312" w:eastAsia="仿宋_GB2312" w:cs="仿宋_GB2312"/>
          <w:sz w:val="32"/>
          <w:szCs w:val="32"/>
        </w:rPr>
      </w:pPr>
      <w:r>
        <w:rPr>
          <w:rFonts w:hint="eastAsia" w:ascii="仿宋_GB2312" w:hAnsi="仿宋_GB2312" w:eastAsia="仿宋_GB2312" w:cs="仿宋_GB2312"/>
          <w:sz w:val="32"/>
          <w:szCs w:val="32"/>
        </w:rPr>
        <w:t>经济效益：两残人员生活水平保持稳定；社会效益：已纳入两残补贴发放人数占应纳入两残补贴人数的比率</w:t>
      </w:r>
    </w:p>
    <w:p>
      <w:pPr>
        <w:adjustRightInd w:val="0"/>
        <w:snapToGrid w:val="0"/>
        <w:spacing w:line="600" w:lineRule="exac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（三）财政评价项目绩效评价结果</w:t>
      </w:r>
    </w:p>
    <w:p>
      <w:pPr>
        <w:adjustRightInd w:val="0"/>
        <w:snapToGrid w:val="0"/>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无</w:t>
      </w:r>
    </w:p>
    <w:p>
      <w:pPr>
        <w:keepNext/>
        <w:keepLines/>
        <w:snapToGrid w:val="0"/>
        <w:spacing w:line="600" w:lineRule="exact"/>
        <w:ind w:firstLine="640" w:firstLineChars="200"/>
        <w:outlineLvl w:val="1"/>
        <w:rPr>
          <w:rFonts w:ascii="黑体" w:hAnsi="黑体" w:eastAsia="黑体" w:cs="黑体"/>
          <w:b/>
          <w:bCs/>
          <w:sz w:val="32"/>
          <w:szCs w:val="32"/>
        </w:rPr>
      </w:pPr>
      <w:r>
        <w:rPr>
          <w:rFonts w:hint="eastAsia" w:ascii="黑体" w:hAnsi="黑体" w:eastAsia="黑体" w:cs="黑体"/>
          <w:sz w:val="32"/>
          <w:szCs w:val="32"/>
        </w:rPr>
        <w:t>七、机关运行经费情况</w:t>
      </w:r>
    </w:p>
    <w:p>
      <w:pPr>
        <w:adjustRightInd w:val="0"/>
        <w:snapToGrid w:val="0"/>
        <w:spacing w:line="600" w:lineRule="exact"/>
        <w:ind w:firstLine="640" w:firstLineChars="200"/>
        <w:rPr>
          <w:rFonts w:hint="eastAsia" w:ascii="仿宋_GB2312" w:eastAsia="仿宋_GB2312" w:cs="DengXian-Regular"/>
          <w:sz w:val="32"/>
          <w:szCs w:val="32"/>
        </w:rPr>
      </w:pPr>
      <w:r>
        <w:rPr>
          <w:rFonts w:hint="eastAsia" w:ascii="仿宋_GB2312" w:hAnsi="仿宋_GB2312" w:eastAsia="仿宋_GB2312" w:cs="仿宋_GB2312"/>
          <w:sz w:val="32"/>
          <w:szCs w:val="32"/>
        </w:rPr>
        <w:t>本部门2020年度机关运行经费支出27.47万元，比2019年度减少46.59万元，降低62.91%。主要原因是</w:t>
      </w:r>
      <w:r>
        <w:rPr>
          <w:rFonts w:hint="eastAsia" w:ascii="仿宋_GB2312" w:eastAsia="仿宋_GB2312" w:cs="DengXian-Regular"/>
          <w:sz w:val="32"/>
          <w:szCs w:val="32"/>
        </w:rPr>
        <w:t>压缩办公费用，减少单位日常运行费用以及机构改革后人员减少。</w:t>
      </w:r>
    </w:p>
    <w:p>
      <w:pPr>
        <w:keepNext/>
        <w:keepLines/>
        <w:snapToGrid w:val="0"/>
        <w:spacing w:line="60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八、政府采购情况</w:t>
      </w:r>
    </w:p>
    <w:p>
      <w:pPr>
        <w:snapToGrid w:val="0"/>
        <w:spacing w:line="600" w:lineRule="exact"/>
        <w:ind w:firstLine="640" w:firstLineChars="200"/>
        <w:jc w:val="left"/>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本部门2020年度政府采购支出总额0万元，从采购类型来看，</w:t>
      </w:r>
      <w:r>
        <w:rPr>
          <w:rFonts w:hint="eastAsia" w:ascii="仿宋_GB2312" w:hAnsi="仿宋_GB2312" w:eastAsia="仿宋_GB2312" w:cs="仿宋_GB2312"/>
          <w:color w:val="000000"/>
          <w:kern w:val="0"/>
          <w:sz w:val="32"/>
          <w:szCs w:val="32"/>
        </w:rPr>
        <w:t>政府采购货物支出0万元、政府采购工程支出0万元、政府采购服务支出 0万元。授予中小企业合同金0万元，其中授予小微企业合同金额0万元。</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九、国有资产占用情况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截至2020年12月31日，本部门共有车辆</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val="en-US" w:eastAsia="zh-CN"/>
        </w:rPr>
        <w:t>与上年持平。</w:t>
      </w:r>
      <w:r>
        <w:rPr>
          <w:rFonts w:hint="eastAsia" w:ascii="仿宋_GB2312" w:hAnsi="仿宋_GB2312" w:eastAsia="仿宋_GB2312" w:cs="仿宋_GB2312"/>
          <w:sz w:val="32"/>
          <w:szCs w:val="32"/>
        </w:rPr>
        <w:t>其中，副部（省）级及以上领导用车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辆，主要领导干部用车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辆，应急保障用车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辆，离退休干部用车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辆，其他用车主要是殡葬车；</w:t>
      </w:r>
    </w:p>
    <w:p>
      <w:pPr>
        <w:adjustRightInd w:val="0"/>
        <w:snapToGrid w:val="0"/>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台（套），与上年持平，单位价值100万元以上专用设备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台（套）比上年持平。</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十、其他需要说明的情况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本部门2020年度未发生国有资金经营预算收支及结转结余情况，故国有资金经营等表以空表列示。</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由于决算公开表格中金额数值应当保留两位小数，公开数据为四舍五入计算结果，个别数据合计项与分项之和存在小数点后差额，特此说明。</w: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r>
        <w:rPr>
          <w:sz w:val="72"/>
        </w:rPr>
        <mc:AlternateContent>
          <mc:Choice Requires="wps">
            <w:drawing>
              <wp:anchor distT="0" distB="0" distL="114300" distR="114300" simplePos="0" relativeHeight="251661312" behindDoc="0" locked="0" layoutInCell="1" allowOverlap="1">
                <wp:simplePos x="0" y="0"/>
                <wp:positionH relativeFrom="column">
                  <wp:posOffset>-1022350</wp:posOffset>
                </wp:positionH>
                <wp:positionV relativeFrom="paragraph">
                  <wp:posOffset>201930</wp:posOffset>
                </wp:positionV>
                <wp:extent cx="7793355" cy="3341370"/>
                <wp:effectExtent l="4445" t="4445" r="5080" b="6985"/>
                <wp:wrapNone/>
                <wp:docPr id="2" name="文本框 5"/>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7F7F7F"/>
                          </a:fgClr>
                          <a:bgClr>
                            <a:srgbClr val="FFFFFF"/>
                          </a:bgClr>
                        </a:pattFill>
                        <a:ln w="6350" cap="flat" cmpd="sng">
                          <a:solidFill>
                            <a:srgbClr val="7F7F7F"/>
                          </a:solidFill>
                          <a:prstDash val="solid"/>
                          <a:round/>
                          <a:headEnd type="none" w="med" len="med"/>
                          <a:tailEnd type="none" w="med" len="med"/>
                        </a:ln>
                      </wps:spPr>
                      <wps:txbx>
                        <w:txbxContent>
                          <w:p>
                            <w:pPr>
                              <w:widowControl/>
                              <w:jc w:val="center"/>
                              <w:rPr>
                                <w:rFonts w:hint="eastAsia"/>
                              </w:rPr>
                            </w:pPr>
                            <w:r>
                              <w:rPr>
                                <w:rFonts w:hint="eastAsia" w:ascii="黑体" w:hAnsi="黑体" w:eastAsia="黑体" w:cs="黑体"/>
                                <w:color w:val="000000" w:themeColor="text1"/>
                                <w:sz w:val="90"/>
                                <w:szCs w:val="90"/>
                                <w14:textFill>
                                  <w14:solidFill>
                                    <w14:schemeClr w14:val="tx1"/>
                                  </w14:solidFill>
                                </w14:textFill>
                              </w:rPr>
                              <w:t>第三部分 相关名词解释</w:t>
                            </w:r>
                          </w:p>
                        </w:txbxContent>
                      </wps:txbx>
                      <wps:bodyPr anchor="ctr" anchorCtr="0" upright="1"/>
                    </wps:wsp>
                  </a:graphicData>
                </a:graphic>
              </wp:anchor>
            </w:drawing>
          </mc:Choice>
          <mc:Fallback>
            <w:pict>
              <v:shape id="文本框 5" o:spid="_x0000_s1026" o:spt="202" type="#_x0000_t202" style="position:absolute;left:0pt;margin-left:-80.5pt;margin-top:15.9pt;height:263.1pt;width:613.65pt;z-index:251661312;v-text-anchor:middle;mso-width-relative:page;mso-height-relative:page;" fillcolor="#7F7F7F" filled="t" stroked="t" coordsize="21600,21600" o:gfxdata="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9I0+2QAAAAwBAAAPAAAAAAAAAAEAIAAAACIAAABkcnMvZG93&#10;bnJldi54bWxQSwECFAAUAAAACACHTuJAg0YwZTgCAACbBAAADgAAAAAAAAABACAAAAAoAQAAZHJz&#10;L2Uyb0RvYy54bWxQSwUGAAAAAAYABgBZAQAA0gUAAAAA&#10;">
                <v:fill type="pattern" on="t" color2="#FFFFFF" o:title="5%" focussize="0,0" r:id="rId11"/>
                <v:stroke weight="0.5pt" color="#7F7F7F" joinstyle="round"/>
                <v:imagedata o:title=""/>
                <o:lock v:ext="edit" aspectratio="f"/>
                <v:textbox>
                  <w:txbxContent>
                    <w:p>
                      <w:pPr>
                        <w:widowControl/>
                        <w:jc w:val="center"/>
                        <w:rPr>
                          <w:rFonts w:hint="eastAsia"/>
                        </w:rPr>
                      </w:pPr>
                      <w:r>
                        <w:rPr>
                          <w:rFonts w:hint="eastAsia" w:ascii="黑体" w:hAnsi="黑体" w:eastAsia="黑体" w:cs="黑体"/>
                          <w:color w:val="000000" w:themeColor="text1"/>
                          <w:sz w:val="90"/>
                          <w:szCs w:val="90"/>
                          <w14:textFill>
                            <w14:solidFill>
                              <w14:schemeClr w14:val="tx1"/>
                            </w14:solidFill>
                          </w14:textFill>
                        </w:rPr>
                        <w:t>第三部分 相关名词解释</w:t>
                      </w:r>
                    </w:p>
                  </w:txbxContent>
                </v:textbox>
              </v:shape>
            </w:pict>
          </mc:Fallback>
        </mc:AlternateConten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highlight w:val="yellow"/>
        </w:rPr>
      </w:pPr>
      <w:r>
        <w:rPr>
          <w:rFonts w:hint="eastAsia" w:ascii="仿宋_GB2312" w:hAnsi="宋体" w:eastAsia="仿宋_GB2312" w:cs="Arial Black"/>
          <w:sz w:val="32"/>
          <w:szCs w:val="32"/>
          <w:highlight w:val="yellow"/>
        </w:rPr>
        <w:br w:type="page"/>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hint="eastAsia"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widowControl/>
        <w:spacing w:after="160" w:line="580" w:lineRule="exact"/>
        <w:rPr>
          <w:rFonts w:ascii="Times New Roman" w:hAnsi="Times New Roman" w:eastAsia="黑体" w:cs="Times New Roman"/>
          <w:sz w:val="32"/>
          <w:szCs w:val="32"/>
        </w:rPr>
        <w:sectPr>
          <w:headerReference r:id="rId8" w:type="default"/>
          <w:pgSz w:w="11906" w:h="16838"/>
          <w:pgMar w:top="2098" w:right="1531" w:bottom="1984" w:left="1531" w:header="851" w:footer="992" w:gutter="0"/>
          <w:pgBorders>
            <w:top w:val="none" w:sz="0" w:space="0"/>
            <w:left w:val="none" w:sz="0" w:space="0"/>
            <w:bottom w:val="none" w:sz="0" w:space="0"/>
            <w:right w:val="none" w:sz="0" w:space="0"/>
          </w:pgBorders>
          <w:pgNumType w:fmt="numberInDash"/>
          <w:cols w:space="0" w:num="1"/>
          <w:titlePg/>
          <w:docGrid w:type="lines" w:linePitch="312" w:charSpace="0"/>
        </w:sect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sectPr>
          <w:type w:val="continuous"/>
          <w:pgSz w:w="11906" w:h="16838"/>
          <w:pgMar w:top="2098" w:right="1531" w:bottom="1984" w:left="1531" w:header="851" w:footer="992" w:gutter="0"/>
          <w:pgBorders>
            <w:top w:val="none" w:sz="0" w:space="0"/>
            <w:left w:val="none" w:sz="0" w:space="0"/>
            <w:bottom w:val="none" w:sz="0" w:space="0"/>
            <w:right w:val="none" w:sz="0" w:space="0"/>
          </w:pgBorders>
          <w:pgNumType w:fmt="numberInDash"/>
          <w:cols w:space="0" w:num="1"/>
          <w:titlePg/>
          <w:docGrid w:type="lines" w:linePitch="312" w:charSpace="0"/>
        </w:sectPr>
      </w:pPr>
      <w:r>
        <w:rPr>
          <w:sz w:val="72"/>
        </w:rPr>
        <mc:AlternateContent>
          <mc:Choice Requires="wps">
            <w:drawing>
              <wp:anchor distT="0" distB="0" distL="114300" distR="114300" simplePos="0" relativeHeight="251664384" behindDoc="0" locked="0" layoutInCell="1" allowOverlap="1">
                <wp:simplePos x="0" y="0"/>
                <wp:positionH relativeFrom="column">
                  <wp:posOffset>-1027430</wp:posOffset>
                </wp:positionH>
                <wp:positionV relativeFrom="paragraph">
                  <wp:posOffset>1151255</wp:posOffset>
                </wp:positionV>
                <wp:extent cx="7793355" cy="3341370"/>
                <wp:effectExtent l="6350" t="6350" r="18415" b="20320"/>
                <wp:wrapNone/>
                <wp:docPr id="4" name="文本框 4"/>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7F7F7F"/>
                          </a:fgClr>
                          <a:bgClr>
                            <a:srgbClr val="FFFFFF"/>
                          </a:bgClr>
                        </a:pattFill>
                        <a:ln w="12700" cap="flat" cmpd="sng">
                          <a:solidFill>
                            <a:srgbClr val="A6A6A6"/>
                          </a:solidFill>
                          <a:prstDash val="solid"/>
                          <a:round/>
                          <a:headEnd type="none" w="med" len="med"/>
                          <a:tailEnd type="none" w="med" len="med"/>
                        </a:ln>
                      </wps:spPr>
                      <wps:txb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第四部分 </w:t>
                            </w:r>
                          </w:p>
                          <w:p>
                            <w:pPr>
                              <w:widowControl/>
                              <w:jc w:val="center"/>
                              <w:rPr>
                                <w:rFonts w:hint="eastAsia"/>
                              </w:rPr>
                            </w:pPr>
                            <w:r>
                              <w:rPr>
                                <w:rFonts w:hint="eastAsia" w:ascii="黑体" w:hAnsi="黑体" w:eastAsia="黑体" w:cs="黑体"/>
                                <w:color w:val="000000" w:themeColor="text1"/>
                                <w:sz w:val="90"/>
                                <w:szCs w:val="90"/>
                                <w14:textFill>
                                  <w14:solidFill>
                                    <w14:schemeClr w14:val="tx1"/>
                                  </w14:solidFill>
                                </w14:textFill>
                              </w:rPr>
                              <w:t>2020年度部门决算报表</w:t>
                            </w:r>
                          </w:p>
                          <w:p>
                            <w:pPr>
                              <w:rPr>
                                <w:rFonts w:hint="eastAsia"/>
                              </w:rPr>
                            </w:pPr>
                          </w:p>
                        </w:txbxContent>
                      </wps:txbx>
                      <wps:bodyPr anchor="ctr" anchorCtr="0" upright="1"/>
                    </wps:wsp>
                  </a:graphicData>
                </a:graphic>
              </wp:anchor>
            </w:drawing>
          </mc:Choice>
          <mc:Fallback>
            <w:pict>
              <v:shape id="_x0000_s1026" o:spid="_x0000_s1026" o:spt="202" type="#_x0000_t202" style="position:absolute;left:0pt;margin-left:-80.9pt;margin-top:90.65pt;height:263.1pt;width:613.65pt;z-index:251664384;v-text-anchor:middle;mso-width-relative:page;mso-height-relative:page;" fillcolor="#7F7F7F" filled="t" stroked="t" coordsize="21600,21600" o:gfxdata="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ANhBuPcAAAADQEAAA8AAAAAAAAAAQAgAAAAIgAA&#10;AGRycy9kb3ducmV2LnhtbFBLAQIUABQAAAAIAIdO4kCcrb+FPQIAAJwEAAAOAAAAAAAAAAEAIAAA&#10;ACsBAABkcnMvZTJvRG9jLnhtbFBLBQYAAAAABgAGAFkBAADaBQAAAAA=&#10;">
                <v:fill type="pattern" on="t" color2="#FFFFFF" o:title="5%" focussize="0,0" r:id="rId11"/>
                <v:stroke weight="1pt" color="#A6A6A6" joinstyle="round"/>
                <v:imagedata o:title=""/>
                <o:lock v:ext="edit" aspectratio="f"/>
                <v:textbo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第四部分 </w:t>
                      </w:r>
                    </w:p>
                    <w:p>
                      <w:pPr>
                        <w:widowControl/>
                        <w:jc w:val="center"/>
                        <w:rPr>
                          <w:rFonts w:hint="eastAsia"/>
                        </w:rPr>
                      </w:pPr>
                      <w:r>
                        <w:rPr>
                          <w:rFonts w:hint="eastAsia" w:ascii="黑体" w:hAnsi="黑体" w:eastAsia="黑体" w:cs="黑体"/>
                          <w:color w:val="000000" w:themeColor="text1"/>
                          <w:sz w:val="90"/>
                          <w:szCs w:val="90"/>
                          <w14:textFill>
                            <w14:solidFill>
                              <w14:schemeClr w14:val="tx1"/>
                            </w14:solidFill>
                          </w14:textFill>
                        </w:rPr>
                        <w:t>2020年度部门决算报表</w:t>
                      </w:r>
                    </w:p>
                    <w:p>
                      <w:pPr>
                        <w:rPr>
                          <w:rFonts w:hint="eastAsia"/>
                        </w:rPr>
                      </w:pPr>
                    </w:p>
                  </w:txbxContent>
                </v:textbox>
              </v:shape>
            </w:pict>
          </mc:Fallback>
        </mc:AlternateContent>
      </w:r>
    </w:p>
    <w:tbl>
      <w:tblPr>
        <w:tblStyle w:val="5"/>
        <w:tblW w:w="87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736"/>
        <w:gridCol w:w="584"/>
        <w:gridCol w:w="891"/>
        <w:gridCol w:w="2582"/>
        <w:gridCol w:w="584"/>
        <w:gridCol w:w="13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8730" w:type="dxa"/>
            <w:gridSpan w:val="6"/>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2"/>
                <w:szCs w:val="12"/>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nil"/>
              <w:bottom w:val="single" w:color="auto" w:sz="4" w:space="0"/>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部门：保定市满城区民政局</w:t>
            </w:r>
          </w:p>
        </w:tc>
        <w:tc>
          <w:tcPr>
            <w:tcW w:w="0" w:type="auto"/>
            <w:tcBorders>
              <w:top w:val="nil"/>
              <w:left w:val="nil"/>
              <w:bottom w:val="single" w:color="auto" w:sz="4" w:space="0"/>
              <w:right w:val="nil"/>
            </w:tcBorders>
            <w:shd w:val="clear" w:color="auto" w:fill="auto"/>
            <w:noWrap/>
            <w:vAlign w:val="bottom"/>
          </w:tcPr>
          <w:p>
            <w:pPr>
              <w:rPr>
                <w:rFonts w:hint="eastAsia" w:ascii="宋体" w:hAnsi="宋体" w:eastAsia="宋体" w:cs="宋体"/>
                <w:i w:val="0"/>
                <w:iCs w:val="0"/>
                <w:color w:val="000000"/>
                <w:sz w:val="12"/>
                <w:szCs w:val="12"/>
                <w:u w:val="none"/>
              </w:rPr>
            </w:pPr>
          </w:p>
        </w:tc>
        <w:tc>
          <w:tcPr>
            <w:tcW w:w="0" w:type="auto"/>
            <w:tcBorders>
              <w:top w:val="nil"/>
              <w:left w:val="nil"/>
              <w:bottom w:val="single" w:color="auto" w:sz="4" w:space="0"/>
              <w:right w:val="nil"/>
            </w:tcBorders>
            <w:shd w:val="clear" w:color="auto" w:fill="auto"/>
            <w:noWrap/>
            <w:vAlign w:val="bottom"/>
          </w:tcPr>
          <w:p>
            <w:pPr>
              <w:rPr>
                <w:rFonts w:hint="eastAsia" w:ascii="宋体" w:hAnsi="宋体" w:eastAsia="宋体" w:cs="宋体"/>
                <w:i w:val="0"/>
                <w:iCs w:val="0"/>
                <w:color w:val="000000"/>
                <w:sz w:val="12"/>
                <w:szCs w:val="12"/>
                <w:u w:val="none"/>
              </w:rPr>
            </w:pPr>
          </w:p>
        </w:tc>
        <w:tc>
          <w:tcPr>
            <w:tcW w:w="0" w:type="auto"/>
            <w:tcBorders>
              <w:top w:val="nil"/>
              <w:left w:val="nil"/>
              <w:bottom w:val="single" w:color="auto" w:sz="4" w:space="0"/>
              <w:right w:val="nil"/>
            </w:tcBorders>
            <w:shd w:val="clear" w:color="auto" w:fill="auto"/>
            <w:noWrap/>
            <w:vAlign w:val="bottom"/>
          </w:tcPr>
          <w:p>
            <w:pPr>
              <w:rPr>
                <w:rFonts w:hint="eastAsia" w:ascii="宋体" w:hAnsi="宋体" w:eastAsia="宋体" w:cs="宋体"/>
                <w:i w:val="0"/>
                <w:iCs w:val="0"/>
                <w:color w:val="000000"/>
                <w:sz w:val="12"/>
                <w:szCs w:val="12"/>
                <w:u w:val="none"/>
              </w:rPr>
            </w:pPr>
          </w:p>
        </w:tc>
        <w:tc>
          <w:tcPr>
            <w:tcW w:w="0" w:type="auto"/>
            <w:tcBorders>
              <w:top w:val="nil"/>
              <w:left w:val="nil"/>
              <w:bottom w:val="single" w:color="auto" w:sz="4" w:space="0"/>
              <w:right w:val="nil"/>
            </w:tcBorders>
            <w:shd w:val="clear" w:color="auto" w:fill="auto"/>
            <w:noWrap/>
            <w:vAlign w:val="bottom"/>
          </w:tcPr>
          <w:p>
            <w:pPr>
              <w:rPr>
                <w:rFonts w:hint="eastAsia" w:ascii="宋体" w:hAnsi="宋体" w:eastAsia="宋体" w:cs="宋体"/>
                <w:i w:val="0"/>
                <w:iCs w:val="0"/>
                <w:color w:val="000000"/>
                <w:sz w:val="12"/>
                <w:szCs w:val="12"/>
                <w:u w:val="none"/>
              </w:rPr>
            </w:pPr>
          </w:p>
        </w:tc>
        <w:tc>
          <w:tcPr>
            <w:tcW w:w="0" w:type="auto"/>
            <w:tcBorders>
              <w:top w:val="nil"/>
              <w:left w:val="nil"/>
              <w:bottom w:val="single" w:color="auto"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收入</w:t>
            </w:r>
          </w:p>
        </w:tc>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项目</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行次</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金额</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项目</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行次</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栏次</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2"/>
                <w:szCs w:val="12"/>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栏次</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2"/>
                <w:szCs w:val="12"/>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一、一般公共预算财政拨款收入</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5,168.06</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一、一般公共服务支出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32</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二、政府性基金预算财政拨款收入</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461.54</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二、外交支出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33</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三、国有资本经营预算财政拨款收入</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三、国防支出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34</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四、上级补助收入</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四、公共安全支出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35</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五、事业收入</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五、教育支出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36</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六、经营收入</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六、科学技术支出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37</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七、附属单位上缴收入</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7</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七、文化旅游体育与传媒支出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38</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八、其他收入</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8</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八、社会保障和就业支出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39</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4,933.99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9</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九、卫生健康支出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十、节能环保支出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41</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11</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十一、城乡社区支出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42</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12</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十二、农林水支出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43</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156.77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13</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十三、交通运输支出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44</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14</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十四、资源勘探工业信息等支出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45</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15</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十五、商业服务业等支出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46</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16</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十六、金融支出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47</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17</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十七、援助其他地区支出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48</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18</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十八、自然资源海洋气象等支出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49</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19</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十九、住房保障支出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28.42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二十、粮油物资储备支出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51</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21</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二十一、国有资本经营预算支出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52</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22</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二十二、灾害防治及应急管理支出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53</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23</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二十三、其他支出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54</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170.54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2"/>
                <w:szCs w:val="12"/>
                <w:u w:val="none"/>
              </w:rPr>
            </w:pPr>
          </w:p>
        </w:tc>
        <w:tc>
          <w:tcPr>
            <w:tcW w:w="0" w:type="auto"/>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24</w:t>
            </w:r>
          </w:p>
        </w:tc>
        <w:tc>
          <w:tcPr>
            <w:tcW w:w="0" w:type="auto"/>
            <w:tcBorders>
              <w:top w:val="single" w:color="auto"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二十四、债务还本支出</w:t>
            </w:r>
          </w:p>
        </w:tc>
        <w:tc>
          <w:tcPr>
            <w:tcW w:w="0" w:type="auto"/>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55</w:t>
            </w:r>
          </w:p>
        </w:tc>
        <w:tc>
          <w:tcPr>
            <w:tcW w:w="0" w:type="auto"/>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291.00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5,629.60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5,642.67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结余分配</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13.06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总计</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5,642.67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5,642.67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注：本表反映部门本年度的总收支和年末结转结余情况。本套报表金额单位转换时可能存在尾数误差。</w:t>
            </w:r>
          </w:p>
        </w:tc>
      </w:tr>
    </w:tbl>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tbl>
      <w:tblPr>
        <w:tblStyle w:val="5"/>
        <w:tblpPr w:leftFromText="180" w:rightFromText="180" w:vertAnchor="text" w:horzAnchor="page" w:tblpX="1464" w:tblpY="-462"/>
        <w:tblOverlap w:val="never"/>
        <w:tblW w:w="89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83"/>
        <w:gridCol w:w="308"/>
        <w:gridCol w:w="308"/>
        <w:gridCol w:w="2113"/>
        <w:gridCol w:w="845"/>
        <w:gridCol w:w="797"/>
        <w:gridCol w:w="541"/>
        <w:gridCol w:w="582"/>
        <w:gridCol w:w="576"/>
        <w:gridCol w:w="618"/>
        <w:gridCol w:w="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83"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30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0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072"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c>
          <w:tcPr>
            <w:tcW w:w="89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83"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2"/>
                <w:szCs w:val="12"/>
                <w:u w:val="none"/>
              </w:rPr>
            </w:pPr>
          </w:p>
        </w:tc>
        <w:tc>
          <w:tcPr>
            <w:tcW w:w="308"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2"/>
                <w:szCs w:val="12"/>
                <w:u w:val="none"/>
              </w:rPr>
            </w:pPr>
          </w:p>
        </w:tc>
        <w:tc>
          <w:tcPr>
            <w:tcW w:w="308"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2"/>
                <w:szCs w:val="12"/>
                <w:u w:val="none"/>
              </w:rPr>
            </w:pPr>
          </w:p>
        </w:tc>
        <w:tc>
          <w:tcPr>
            <w:tcW w:w="2113"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2"/>
                <w:szCs w:val="12"/>
                <w:u w:val="none"/>
              </w:rPr>
            </w:pPr>
          </w:p>
        </w:tc>
        <w:tc>
          <w:tcPr>
            <w:tcW w:w="84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2"/>
                <w:szCs w:val="12"/>
                <w:u w:val="none"/>
              </w:rPr>
            </w:pPr>
          </w:p>
        </w:tc>
        <w:tc>
          <w:tcPr>
            <w:tcW w:w="797"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2"/>
                <w:szCs w:val="12"/>
                <w:u w:val="none"/>
              </w:rPr>
            </w:pPr>
          </w:p>
        </w:tc>
        <w:tc>
          <w:tcPr>
            <w:tcW w:w="541"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2"/>
                <w:szCs w:val="12"/>
                <w:u w:val="none"/>
              </w:rPr>
            </w:pPr>
          </w:p>
        </w:tc>
        <w:tc>
          <w:tcPr>
            <w:tcW w:w="582"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2"/>
                <w:szCs w:val="12"/>
                <w:u w:val="none"/>
              </w:rPr>
            </w:pPr>
          </w:p>
        </w:tc>
        <w:tc>
          <w:tcPr>
            <w:tcW w:w="57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2"/>
                <w:szCs w:val="12"/>
                <w:u w:val="none"/>
              </w:rPr>
            </w:pPr>
          </w:p>
        </w:tc>
        <w:tc>
          <w:tcPr>
            <w:tcW w:w="618"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2"/>
                <w:szCs w:val="12"/>
                <w:u w:val="none"/>
              </w:rPr>
            </w:pPr>
          </w:p>
        </w:tc>
        <w:tc>
          <w:tcPr>
            <w:tcW w:w="89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部门：保定市满城区民政局</w:t>
            </w:r>
          </w:p>
        </w:tc>
        <w:tc>
          <w:tcPr>
            <w:tcW w:w="308"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2"/>
                <w:szCs w:val="12"/>
                <w:u w:val="none"/>
              </w:rPr>
            </w:pPr>
          </w:p>
        </w:tc>
        <w:tc>
          <w:tcPr>
            <w:tcW w:w="308"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2"/>
                <w:szCs w:val="12"/>
                <w:u w:val="none"/>
              </w:rPr>
            </w:pPr>
          </w:p>
        </w:tc>
        <w:tc>
          <w:tcPr>
            <w:tcW w:w="2113"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2"/>
                <w:szCs w:val="12"/>
                <w:u w:val="none"/>
              </w:rPr>
            </w:pPr>
          </w:p>
        </w:tc>
        <w:tc>
          <w:tcPr>
            <w:tcW w:w="84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2"/>
                <w:szCs w:val="12"/>
                <w:u w:val="none"/>
              </w:rPr>
            </w:pPr>
          </w:p>
        </w:tc>
        <w:tc>
          <w:tcPr>
            <w:tcW w:w="797"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2"/>
                <w:szCs w:val="12"/>
                <w:u w:val="none"/>
              </w:rPr>
            </w:pPr>
          </w:p>
        </w:tc>
        <w:tc>
          <w:tcPr>
            <w:tcW w:w="541"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2"/>
                <w:szCs w:val="12"/>
                <w:u w:val="none"/>
              </w:rPr>
            </w:pPr>
          </w:p>
        </w:tc>
        <w:tc>
          <w:tcPr>
            <w:tcW w:w="582"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2"/>
                <w:szCs w:val="12"/>
                <w:u w:val="none"/>
              </w:rPr>
            </w:pPr>
          </w:p>
        </w:tc>
        <w:tc>
          <w:tcPr>
            <w:tcW w:w="57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2"/>
                <w:szCs w:val="12"/>
                <w:u w:val="none"/>
              </w:rPr>
            </w:pPr>
          </w:p>
        </w:tc>
        <w:tc>
          <w:tcPr>
            <w:tcW w:w="618"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2"/>
                <w:szCs w:val="12"/>
                <w:u w:val="none"/>
              </w:rPr>
            </w:pPr>
          </w:p>
        </w:tc>
        <w:tc>
          <w:tcPr>
            <w:tcW w:w="89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1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项目</w:t>
            </w:r>
          </w:p>
        </w:tc>
        <w:tc>
          <w:tcPr>
            <w:tcW w:w="84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本年收入合计</w:t>
            </w:r>
          </w:p>
        </w:tc>
        <w:tc>
          <w:tcPr>
            <w:tcW w:w="79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财政拨款收入</w:t>
            </w:r>
          </w:p>
        </w:tc>
        <w:tc>
          <w:tcPr>
            <w:tcW w:w="541"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上级补助收入</w:t>
            </w:r>
          </w:p>
        </w:tc>
        <w:tc>
          <w:tcPr>
            <w:tcW w:w="58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事业收入</w:t>
            </w:r>
          </w:p>
        </w:tc>
        <w:tc>
          <w:tcPr>
            <w:tcW w:w="57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经营收入</w:t>
            </w:r>
          </w:p>
        </w:tc>
        <w:tc>
          <w:tcPr>
            <w:tcW w:w="61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附属单位上缴收入</w:t>
            </w:r>
          </w:p>
        </w:tc>
        <w:tc>
          <w:tcPr>
            <w:tcW w:w="89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功能分类科目编码</w:t>
            </w:r>
          </w:p>
        </w:tc>
        <w:tc>
          <w:tcPr>
            <w:tcW w:w="2113"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科目名称</w:t>
            </w:r>
          </w:p>
        </w:tc>
        <w:tc>
          <w:tcPr>
            <w:tcW w:w="84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79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54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5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57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1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9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2113"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2"/>
                <w:szCs w:val="12"/>
                <w:u w:val="none"/>
              </w:rPr>
            </w:pPr>
          </w:p>
        </w:tc>
        <w:tc>
          <w:tcPr>
            <w:tcW w:w="84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79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54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5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57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1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9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2113"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2"/>
                <w:szCs w:val="12"/>
                <w:u w:val="none"/>
              </w:rPr>
            </w:pPr>
          </w:p>
        </w:tc>
        <w:tc>
          <w:tcPr>
            <w:tcW w:w="84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79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54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5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57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1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9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12"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栏次</w:t>
            </w:r>
          </w:p>
        </w:tc>
        <w:tc>
          <w:tcPr>
            <w:tcW w:w="8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w:t>
            </w:r>
          </w:p>
        </w:tc>
        <w:tc>
          <w:tcPr>
            <w:tcW w:w="7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w:t>
            </w:r>
          </w:p>
        </w:tc>
        <w:tc>
          <w:tcPr>
            <w:tcW w:w="54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w:t>
            </w: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w:t>
            </w:r>
          </w:p>
        </w:tc>
        <w:tc>
          <w:tcPr>
            <w:tcW w:w="6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w:t>
            </w:r>
          </w:p>
        </w:tc>
        <w:tc>
          <w:tcPr>
            <w:tcW w:w="8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12"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合计</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5,629.60</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5,629.60</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201</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一般公共服务支出</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3.00</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3.00</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20103</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政府办公厅（室）及相关机构事务</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3.00</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3.00</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2010308</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信访事务</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3.00</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3.00</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207</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文化旅游体育与传媒支出</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6.00</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6.00</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20701</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文化和旅游</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6.00</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6.00</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2070109</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群众文化</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6.00</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6.00</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社会保障和就业支出</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4,933.99</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4,933.99</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20802</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民政管理事务</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1,176.52</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1,176.52</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2080201</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行政运行</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210.91</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210.91</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2080202</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一般行政管理事务</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20.46</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20.46</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2080207</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行政区划和地名管理</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6.84</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6.84</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2080208</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基层政权建设和社区治理</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1.75</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1.75</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2080299</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其他民政管理事务支出</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936.56</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936.56</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20805</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行政事业单位养老支出</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152.09</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152.09</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2080501</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行政单位离退休</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9.34</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9.34</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2080502</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事业单位离退休</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8.78</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8.78</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2080505</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机关事业单位基本养老保险缴费支出</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111.84</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111.84</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2080506</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机关事业单位职业年金缴费支出</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22.13</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22.13</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20810</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社会福利</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505.03</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505.03</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2081001</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儿童福利</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24.83</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24.83</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2081002</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老年福利</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301.91</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301.91</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2081004</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殡葬</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178.29</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178.29</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20811</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残疾人事业</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295.77</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295.77</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2081107</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残疾人生活和护理补贴</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295.77</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295.77</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20819</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最低生活保障</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1,811.02</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1,811.02</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2081901</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城市最低生活保障金支出</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146.18</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146.18</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2081902</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农村最低生活保障金支出</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1,664.85</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1,664.85</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20820</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临时救助</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51.53</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51.53</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2082001</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临时救助支出</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40.56</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40.56</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2082002</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流浪乞讨人员救助支出</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10.97</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10.97</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20821</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特困人员救助供养</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942.02</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942.02</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2082101</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城市特困人员救助供养支出</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3.29</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3.29</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2082102</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农村特困人员救助供养支出</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938.73</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938.73</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210</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卫生健康支出</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52.95</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52.95</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21004</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公共卫生</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12.52</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12.52</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2100409</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重大公共卫生服务</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12.52</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12.52</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21011</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行政事业单位医疗</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40.43</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40.43</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2101101</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行政单位医疗</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10.04</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10.04</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2101102</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事业单位医疗</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30.38</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30.38</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213</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农林水支出</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143.71</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143.71</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21305</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扶贫</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143.71</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143.71</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2130599</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其他扶贫支出</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143.71</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143.71</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221</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住房保障支出</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28.42</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28.42</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22102</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住房改革支出</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28.42</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28.42</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2210201</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住房公积金</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28.42</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28.42</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229</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其他支出</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170.54</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170.54</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22960</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彩票公益金安排的支出</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170.54</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170.54</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2296002</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用于社会福利的彩票公益金支出</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170.54</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170.54</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234</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抗疫特别国债安排的支出</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291.00</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291.00</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23402</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抗疫相关支出</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291.00</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291.00</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2340205</w:t>
            </w:r>
          </w:p>
        </w:tc>
        <w:tc>
          <w:tcPr>
            <w:tcW w:w="21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困难群众基本生活补助</w:t>
            </w:r>
          </w:p>
        </w:tc>
        <w:tc>
          <w:tcPr>
            <w:tcW w:w="8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291.00</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291.00</w:t>
            </w:r>
          </w:p>
        </w:tc>
        <w:tc>
          <w:tcPr>
            <w:tcW w:w="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67"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注：本表反映部门本年度取得的各项收入情况。</w:t>
            </w:r>
          </w:p>
        </w:tc>
      </w:tr>
    </w:tbl>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both"/>
        <w:textAlignment w:val="center"/>
        <w:rPr>
          <w:rFonts w:ascii="黑体" w:hAnsi="宋体" w:eastAsia="黑体" w:cs="黑体"/>
          <w:color w:val="000000"/>
          <w:kern w:val="0"/>
          <w:sz w:val="28"/>
          <w:szCs w:val="28"/>
        </w:rPr>
      </w:pPr>
    </w:p>
    <w:tbl>
      <w:tblPr>
        <w:tblStyle w:val="5"/>
        <w:tblW w:w="65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222"/>
        <w:gridCol w:w="222"/>
        <w:gridCol w:w="2256"/>
        <w:gridCol w:w="705"/>
        <w:gridCol w:w="584"/>
        <w:gridCol w:w="705"/>
        <w:gridCol w:w="339"/>
        <w:gridCol w:w="340"/>
        <w:gridCol w:w="1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5" w:type="dxa"/>
            <w:tcBorders>
              <w:top w:val="nil"/>
              <w:left w:val="nil"/>
              <w:bottom w:val="nil"/>
              <w:right w:val="nil"/>
            </w:tcBorders>
            <w:shd w:val="clear" w:color="auto" w:fill="auto"/>
            <w:noWrap/>
            <w:vAlign w:val="bottom"/>
          </w:tcPr>
          <w:p>
            <w:pPr>
              <w:rPr>
                <w:rFonts w:hint="eastAsia" w:ascii="Arial" w:hAnsi="Arial" w:cs="Arial"/>
                <w:i w:val="0"/>
                <w:iCs w:val="0"/>
                <w:color w:val="000000"/>
                <w:sz w:val="12"/>
                <w:szCs w:val="12"/>
                <w:u w:val="none"/>
              </w:rPr>
            </w:pPr>
          </w:p>
        </w:tc>
        <w:tc>
          <w:tcPr>
            <w:tcW w:w="149"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12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5985"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部门：保定市满城区民政局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2"/>
                <w:szCs w:val="12"/>
                <w:u w:val="none"/>
                <w:lang w:val="en-US" w:eastAsia="zh-CN" w:bidi="ar"/>
              </w:rPr>
            </w:pPr>
            <w:r>
              <w:rPr>
                <w:rFonts w:hint="eastAsia" w:ascii="宋体" w:hAnsi="宋体" w:eastAsia="宋体" w:cs="宋体"/>
                <w:i w:val="0"/>
                <w:iCs w:val="0"/>
                <w:color w:val="000000"/>
                <w:kern w:val="0"/>
                <w:sz w:val="12"/>
                <w:szCs w:val="12"/>
                <w:u w:val="none"/>
                <w:lang w:val="en-US" w:eastAsia="zh-CN" w:bidi="ar"/>
              </w:rPr>
              <w:t>项目</w:t>
            </w:r>
          </w:p>
        </w:tc>
        <w:tc>
          <w:tcPr>
            <w:tcW w:w="70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本年支出合计</w:t>
            </w:r>
          </w:p>
        </w:tc>
        <w:tc>
          <w:tcPr>
            <w:tcW w:w="69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基本支出</w:t>
            </w:r>
          </w:p>
        </w:tc>
        <w:tc>
          <w:tcPr>
            <w:tcW w:w="7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项目支出</w:t>
            </w:r>
          </w:p>
        </w:tc>
        <w:tc>
          <w:tcPr>
            <w:tcW w:w="49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上缴上级支出</w:t>
            </w:r>
          </w:p>
        </w:tc>
        <w:tc>
          <w:tcPr>
            <w:tcW w:w="78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经营支出</w:t>
            </w:r>
          </w:p>
        </w:tc>
        <w:tc>
          <w:tcPr>
            <w:tcW w:w="63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4"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2"/>
                <w:szCs w:val="12"/>
                <w:u w:val="none"/>
                <w:lang w:val="en-US" w:eastAsia="zh-CN" w:bidi="ar"/>
              </w:rPr>
            </w:pPr>
            <w:r>
              <w:rPr>
                <w:rFonts w:hint="eastAsia" w:ascii="宋体" w:hAnsi="宋体" w:eastAsia="宋体" w:cs="宋体"/>
                <w:i w:val="0"/>
                <w:iCs w:val="0"/>
                <w:color w:val="000000"/>
                <w:kern w:val="0"/>
                <w:sz w:val="12"/>
                <w:szCs w:val="1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2"/>
                <w:szCs w:val="12"/>
                <w:u w:val="none"/>
                <w:lang w:val="en-US" w:eastAsia="zh-CN" w:bidi="ar"/>
              </w:rPr>
            </w:pPr>
            <w:r>
              <w:rPr>
                <w:rFonts w:hint="eastAsia" w:ascii="宋体" w:hAnsi="宋体" w:eastAsia="宋体" w:cs="宋体"/>
                <w:i w:val="0"/>
                <w:iCs w:val="0"/>
                <w:color w:val="000000"/>
                <w:kern w:val="0"/>
                <w:sz w:val="12"/>
                <w:szCs w:val="12"/>
                <w:u w:val="none"/>
                <w:lang w:val="en-US" w:eastAsia="zh-CN" w:bidi="ar"/>
              </w:rPr>
              <w:t>科目名称</w:t>
            </w:r>
          </w:p>
        </w:tc>
        <w:tc>
          <w:tcPr>
            <w:tcW w:w="70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9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7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49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78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3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4"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2"/>
                <w:szCs w:val="12"/>
                <w:u w:val="none"/>
                <w:lang w:val="en-US" w:eastAsia="zh-CN" w:bidi="ar"/>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2"/>
                <w:szCs w:val="12"/>
                <w:u w:val="none"/>
                <w:lang w:val="en-US" w:eastAsia="zh-CN" w:bidi="ar"/>
              </w:rPr>
            </w:pPr>
          </w:p>
        </w:tc>
        <w:tc>
          <w:tcPr>
            <w:tcW w:w="70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9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7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49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78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3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4"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2"/>
                <w:szCs w:val="12"/>
                <w:u w:val="none"/>
                <w:lang w:val="en-US" w:eastAsia="zh-CN" w:bidi="ar"/>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2"/>
                <w:szCs w:val="12"/>
                <w:u w:val="none"/>
                <w:lang w:val="en-US" w:eastAsia="zh-CN" w:bidi="ar"/>
              </w:rPr>
            </w:pPr>
          </w:p>
        </w:tc>
        <w:tc>
          <w:tcPr>
            <w:tcW w:w="70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9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7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49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78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3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2"/>
                <w:szCs w:val="12"/>
                <w:u w:val="none"/>
                <w:lang w:val="en-US" w:eastAsia="zh-CN" w:bidi="ar"/>
              </w:rPr>
            </w:pPr>
            <w:r>
              <w:rPr>
                <w:rFonts w:hint="eastAsia" w:ascii="宋体" w:hAnsi="宋体" w:eastAsia="宋体" w:cs="宋体"/>
                <w:i w:val="0"/>
                <w:iCs w:val="0"/>
                <w:color w:val="000000"/>
                <w:kern w:val="0"/>
                <w:sz w:val="12"/>
                <w:szCs w:val="12"/>
                <w:u w:val="none"/>
                <w:lang w:val="en-US" w:eastAsia="zh-CN" w:bidi="ar"/>
              </w:rPr>
              <w:t>栏次</w:t>
            </w:r>
          </w:p>
        </w:tc>
        <w:tc>
          <w:tcPr>
            <w:tcW w:w="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w:t>
            </w:r>
          </w:p>
        </w:tc>
        <w:tc>
          <w:tcPr>
            <w:tcW w:w="6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w:t>
            </w:r>
          </w:p>
        </w:tc>
        <w:tc>
          <w:tcPr>
            <w:tcW w:w="7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w:t>
            </w:r>
          </w:p>
        </w:tc>
        <w:tc>
          <w:tcPr>
            <w:tcW w:w="4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w:t>
            </w:r>
          </w:p>
        </w:tc>
        <w:tc>
          <w:tcPr>
            <w:tcW w:w="6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5,642.67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792.51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4,850.15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2010308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信访事务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20701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文化和旅游</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2070109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群众文化</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4,933.99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723.66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4,210.32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民政管理事务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1,176.52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571.57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604.95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210.91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210.91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2080202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2080207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行政区划和地名管理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2080208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基层政权建设和社区治理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其他民政管理事务支出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936.56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360.66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575.90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152.09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152.09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行政单位离退休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9.34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9.34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事业单位离退休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8.78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8.78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111.84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111.84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2080506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机关事业单位职业年金缴费支出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社会福利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505.03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505.03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儿童福利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24.83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24.83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2081002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老年福利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301.91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301.91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2081004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殡葬</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178.29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178.29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残疾人事业</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295.77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295.77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2081107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残疾人生活和护理补贴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295.77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295.77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最低生活保障</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1,811.02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1,811.02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2081901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城市最低生活保障金支出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146.18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146.18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2081902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农村最低生活保障金支出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1,664.85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1,664.85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临时救助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51.53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51.53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2082001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临时救助支出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40.56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40.56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2082002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流浪乞讨人员救助支出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10.97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10.97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特困人员救助供养</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942.02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942.02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2082101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城市特困人员救助供养支出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农村特困人员救助供养支出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938.73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938.73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52.95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40.43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12.52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21004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公共卫生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12.52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12.52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2100409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重大公共卫生服务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12.52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12.52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40.43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40.43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10.04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10.04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156.77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156.77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21305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扶贫</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156.77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156.77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2130599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其他扶贫支出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156.77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156.77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28.42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28.42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28.42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28.42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28.42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28.42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170.54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170.54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22960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彩票公益金安排的支出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170.54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170.54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2296002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用于社会福利的彩票公益金支出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170.54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170.54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抗疫特别国债安排的支出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291.00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291.00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23402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抗疫相关支出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291.00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291.00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2340205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困难群众基本生活补助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291.00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291.00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注：本表反映部门本年度各项支出情况。</w:t>
            </w:r>
          </w:p>
        </w:tc>
      </w:tr>
    </w:tbl>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tbl>
      <w:tblPr>
        <w:tblStyle w:val="5"/>
        <w:tblpPr w:leftFromText="180" w:rightFromText="180" w:vertAnchor="text" w:horzAnchor="page" w:tblpX="1619" w:tblpY="-55"/>
        <w:tblOverlap w:val="never"/>
        <w:tblW w:w="869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76"/>
        <w:gridCol w:w="450"/>
        <w:gridCol w:w="696"/>
        <w:gridCol w:w="2016"/>
        <w:gridCol w:w="570"/>
        <w:gridCol w:w="696"/>
        <w:gridCol w:w="696"/>
        <w:gridCol w:w="735"/>
        <w:gridCol w:w="1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776" w:type="dxa"/>
            <w:tcBorders>
              <w:top w:val="nil"/>
              <w:left w:val="nil"/>
              <w:bottom w:val="nil"/>
              <w:right w:val="nil"/>
            </w:tcBorders>
            <w:shd w:val="clear" w:color="auto" w:fill="auto"/>
            <w:noWrap/>
            <w:vAlign w:val="bottom"/>
          </w:tcPr>
          <w:p>
            <w:pPr>
              <w:rPr>
                <w:rFonts w:hint="eastAsia" w:ascii="Arial" w:hAnsi="Arial" w:cs="Arial"/>
                <w:i w:val="0"/>
                <w:iCs w:val="0"/>
                <w:color w:val="000000"/>
                <w:sz w:val="12"/>
                <w:szCs w:val="12"/>
                <w:u w:val="none"/>
              </w:rPr>
            </w:pPr>
          </w:p>
        </w:tc>
        <w:tc>
          <w:tcPr>
            <w:tcW w:w="45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696"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2016"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财政拨款收入支出决算总表</w:t>
            </w:r>
          </w:p>
        </w:tc>
        <w:tc>
          <w:tcPr>
            <w:tcW w:w="57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696"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696"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735"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1056"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776"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45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696"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2016"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57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696"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696"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735"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105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77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部门：保定市满城区民政局</w:t>
            </w:r>
          </w:p>
        </w:tc>
        <w:tc>
          <w:tcPr>
            <w:tcW w:w="45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696"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2016"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57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696"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696"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735"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105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收     入</w:t>
            </w:r>
          </w:p>
        </w:tc>
        <w:tc>
          <w:tcPr>
            <w:tcW w:w="5769" w:type="dxa"/>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177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项目</w:t>
            </w:r>
          </w:p>
        </w:tc>
        <w:tc>
          <w:tcPr>
            <w:tcW w:w="45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行次</w:t>
            </w:r>
          </w:p>
        </w:tc>
        <w:tc>
          <w:tcPr>
            <w:tcW w:w="69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金额</w:t>
            </w:r>
          </w:p>
        </w:tc>
        <w:tc>
          <w:tcPr>
            <w:tcW w:w="201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行次</w:t>
            </w:r>
          </w:p>
        </w:tc>
        <w:tc>
          <w:tcPr>
            <w:tcW w:w="696"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合计</w:t>
            </w:r>
          </w:p>
        </w:tc>
        <w:tc>
          <w:tcPr>
            <w:tcW w:w="69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一般公共预算财政拨款</w:t>
            </w:r>
          </w:p>
        </w:tc>
        <w:tc>
          <w:tcPr>
            <w:tcW w:w="7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政府性基金预算财政拨款</w:t>
            </w:r>
          </w:p>
        </w:tc>
        <w:tc>
          <w:tcPr>
            <w:tcW w:w="105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77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45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9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201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57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96"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2"/>
                <w:szCs w:val="12"/>
                <w:u w:val="none"/>
              </w:rPr>
            </w:pPr>
          </w:p>
        </w:tc>
        <w:tc>
          <w:tcPr>
            <w:tcW w:w="69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73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105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栏次</w:t>
            </w:r>
          </w:p>
        </w:tc>
        <w:tc>
          <w:tcPr>
            <w:tcW w:w="450"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2"/>
                <w:szCs w:val="12"/>
                <w:u w:val="none"/>
              </w:rPr>
            </w:pP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w:t>
            </w:r>
          </w:p>
        </w:tc>
        <w:tc>
          <w:tcPr>
            <w:tcW w:w="2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栏次</w:t>
            </w:r>
          </w:p>
        </w:tc>
        <w:tc>
          <w:tcPr>
            <w:tcW w:w="570"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2"/>
                <w:szCs w:val="12"/>
                <w:u w:val="none"/>
              </w:rPr>
            </w:pP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w:t>
            </w:r>
          </w:p>
        </w:tc>
        <w:tc>
          <w:tcPr>
            <w:tcW w:w="1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一、一般公共预算财政拨款</w:t>
            </w:r>
          </w:p>
        </w:tc>
        <w:tc>
          <w:tcPr>
            <w:tcW w:w="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5,168.06</w:t>
            </w:r>
          </w:p>
        </w:tc>
        <w:tc>
          <w:tcPr>
            <w:tcW w:w="2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一、一般公共服务支出</w:t>
            </w:r>
          </w:p>
        </w:tc>
        <w:tc>
          <w:tcPr>
            <w:tcW w:w="5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33</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3.00</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1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二、政府性基金预算财政拨款</w:t>
            </w:r>
          </w:p>
        </w:tc>
        <w:tc>
          <w:tcPr>
            <w:tcW w:w="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461.54</w:t>
            </w:r>
          </w:p>
        </w:tc>
        <w:tc>
          <w:tcPr>
            <w:tcW w:w="2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二、外交支出</w:t>
            </w:r>
          </w:p>
        </w:tc>
        <w:tc>
          <w:tcPr>
            <w:tcW w:w="5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34</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1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三、国有资本经营财政拨款</w:t>
            </w:r>
          </w:p>
        </w:tc>
        <w:tc>
          <w:tcPr>
            <w:tcW w:w="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2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三、国防支出</w:t>
            </w:r>
          </w:p>
        </w:tc>
        <w:tc>
          <w:tcPr>
            <w:tcW w:w="5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35</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1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w:t>
            </w:r>
          </w:p>
        </w:tc>
        <w:tc>
          <w:tcPr>
            <w:tcW w:w="6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四、公共安全支出</w:t>
            </w:r>
          </w:p>
        </w:tc>
        <w:tc>
          <w:tcPr>
            <w:tcW w:w="5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36</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1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w:t>
            </w:r>
          </w:p>
        </w:tc>
        <w:tc>
          <w:tcPr>
            <w:tcW w:w="6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五、教育支出</w:t>
            </w:r>
          </w:p>
        </w:tc>
        <w:tc>
          <w:tcPr>
            <w:tcW w:w="5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37</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1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w:t>
            </w:r>
          </w:p>
        </w:tc>
        <w:tc>
          <w:tcPr>
            <w:tcW w:w="6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六、科学技术支出</w:t>
            </w:r>
          </w:p>
        </w:tc>
        <w:tc>
          <w:tcPr>
            <w:tcW w:w="5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38</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1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7</w:t>
            </w:r>
          </w:p>
        </w:tc>
        <w:tc>
          <w:tcPr>
            <w:tcW w:w="6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七、文化旅游体育与传媒支出</w:t>
            </w:r>
          </w:p>
        </w:tc>
        <w:tc>
          <w:tcPr>
            <w:tcW w:w="5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39</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6.00</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6.00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1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8</w:t>
            </w:r>
          </w:p>
        </w:tc>
        <w:tc>
          <w:tcPr>
            <w:tcW w:w="6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八、社会保障和就业支出</w:t>
            </w:r>
          </w:p>
        </w:tc>
        <w:tc>
          <w:tcPr>
            <w:tcW w:w="5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40</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4,933.99</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4,933.99</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1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9</w:t>
            </w:r>
          </w:p>
        </w:tc>
        <w:tc>
          <w:tcPr>
            <w:tcW w:w="6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九、卫生健康支出</w:t>
            </w:r>
          </w:p>
        </w:tc>
        <w:tc>
          <w:tcPr>
            <w:tcW w:w="5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41</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52.95</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52.95</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1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10</w:t>
            </w:r>
          </w:p>
        </w:tc>
        <w:tc>
          <w:tcPr>
            <w:tcW w:w="6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十、节能环保支出</w:t>
            </w:r>
          </w:p>
        </w:tc>
        <w:tc>
          <w:tcPr>
            <w:tcW w:w="5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42</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1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11</w:t>
            </w:r>
          </w:p>
        </w:tc>
        <w:tc>
          <w:tcPr>
            <w:tcW w:w="6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十一、城乡社区支出</w:t>
            </w:r>
          </w:p>
        </w:tc>
        <w:tc>
          <w:tcPr>
            <w:tcW w:w="5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43</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1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12</w:t>
            </w:r>
          </w:p>
        </w:tc>
        <w:tc>
          <w:tcPr>
            <w:tcW w:w="6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十二、农林水支出</w:t>
            </w:r>
          </w:p>
        </w:tc>
        <w:tc>
          <w:tcPr>
            <w:tcW w:w="5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44</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143.71</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143.71</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1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13</w:t>
            </w:r>
          </w:p>
        </w:tc>
        <w:tc>
          <w:tcPr>
            <w:tcW w:w="6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十三、交通运输支出</w:t>
            </w:r>
          </w:p>
        </w:tc>
        <w:tc>
          <w:tcPr>
            <w:tcW w:w="5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45</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1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14</w:t>
            </w:r>
          </w:p>
        </w:tc>
        <w:tc>
          <w:tcPr>
            <w:tcW w:w="6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十四、资源勘探工业信息等支出</w:t>
            </w:r>
          </w:p>
        </w:tc>
        <w:tc>
          <w:tcPr>
            <w:tcW w:w="5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46</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1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15</w:t>
            </w:r>
          </w:p>
        </w:tc>
        <w:tc>
          <w:tcPr>
            <w:tcW w:w="6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十五、商业服务业等支出</w:t>
            </w:r>
          </w:p>
        </w:tc>
        <w:tc>
          <w:tcPr>
            <w:tcW w:w="5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47</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1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16</w:t>
            </w:r>
          </w:p>
        </w:tc>
        <w:tc>
          <w:tcPr>
            <w:tcW w:w="6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十六、金融支出</w:t>
            </w:r>
          </w:p>
        </w:tc>
        <w:tc>
          <w:tcPr>
            <w:tcW w:w="5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48</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1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17</w:t>
            </w:r>
          </w:p>
        </w:tc>
        <w:tc>
          <w:tcPr>
            <w:tcW w:w="6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十七、援助其他地区支出</w:t>
            </w:r>
          </w:p>
        </w:tc>
        <w:tc>
          <w:tcPr>
            <w:tcW w:w="5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49</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1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18</w:t>
            </w:r>
          </w:p>
        </w:tc>
        <w:tc>
          <w:tcPr>
            <w:tcW w:w="6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十八、自然资源海洋气象等支出</w:t>
            </w:r>
          </w:p>
        </w:tc>
        <w:tc>
          <w:tcPr>
            <w:tcW w:w="5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50</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1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19</w:t>
            </w:r>
          </w:p>
        </w:tc>
        <w:tc>
          <w:tcPr>
            <w:tcW w:w="6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十九、住房保障支出</w:t>
            </w:r>
          </w:p>
        </w:tc>
        <w:tc>
          <w:tcPr>
            <w:tcW w:w="5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51</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28.42</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28.42</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1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w:t>
            </w:r>
          </w:p>
        </w:tc>
        <w:tc>
          <w:tcPr>
            <w:tcW w:w="6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二十、粮油物资储备支出</w:t>
            </w:r>
          </w:p>
        </w:tc>
        <w:tc>
          <w:tcPr>
            <w:tcW w:w="5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52</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1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21</w:t>
            </w:r>
          </w:p>
        </w:tc>
        <w:tc>
          <w:tcPr>
            <w:tcW w:w="6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二十一、国有资本经营预算支出</w:t>
            </w:r>
          </w:p>
        </w:tc>
        <w:tc>
          <w:tcPr>
            <w:tcW w:w="5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53</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1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22</w:t>
            </w:r>
          </w:p>
        </w:tc>
        <w:tc>
          <w:tcPr>
            <w:tcW w:w="6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二十二、灾害防治及应急管理支出</w:t>
            </w:r>
          </w:p>
        </w:tc>
        <w:tc>
          <w:tcPr>
            <w:tcW w:w="5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54</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1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23</w:t>
            </w:r>
          </w:p>
        </w:tc>
        <w:tc>
          <w:tcPr>
            <w:tcW w:w="6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二十三、其他支出</w:t>
            </w:r>
          </w:p>
        </w:tc>
        <w:tc>
          <w:tcPr>
            <w:tcW w:w="5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55</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170.54</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170.54</w:t>
            </w:r>
          </w:p>
        </w:tc>
        <w:tc>
          <w:tcPr>
            <w:tcW w:w="1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6"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2"/>
                <w:szCs w:val="12"/>
                <w:u w:val="none"/>
              </w:rPr>
            </w:pPr>
          </w:p>
        </w:tc>
        <w:tc>
          <w:tcPr>
            <w:tcW w:w="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24</w:t>
            </w:r>
          </w:p>
        </w:tc>
        <w:tc>
          <w:tcPr>
            <w:tcW w:w="6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二十四、债务还本支出</w:t>
            </w:r>
          </w:p>
        </w:tc>
        <w:tc>
          <w:tcPr>
            <w:tcW w:w="5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56</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1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25</w:t>
            </w:r>
          </w:p>
        </w:tc>
        <w:tc>
          <w:tcPr>
            <w:tcW w:w="6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二十五、债务付息支出</w:t>
            </w:r>
          </w:p>
        </w:tc>
        <w:tc>
          <w:tcPr>
            <w:tcW w:w="5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57</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1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26</w:t>
            </w:r>
          </w:p>
        </w:tc>
        <w:tc>
          <w:tcPr>
            <w:tcW w:w="6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二十六、抗疫特别国债安排的支出</w:t>
            </w:r>
          </w:p>
        </w:tc>
        <w:tc>
          <w:tcPr>
            <w:tcW w:w="5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58</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291.00</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291.00</w:t>
            </w:r>
          </w:p>
        </w:tc>
        <w:tc>
          <w:tcPr>
            <w:tcW w:w="1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本年收入合计</w:t>
            </w:r>
          </w:p>
        </w:tc>
        <w:tc>
          <w:tcPr>
            <w:tcW w:w="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27</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5,629.60</w:t>
            </w:r>
          </w:p>
        </w:tc>
        <w:tc>
          <w:tcPr>
            <w:tcW w:w="2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本年支出合计</w:t>
            </w:r>
          </w:p>
        </w:tc>
        <w:tc>
          <w:tcPr>
            <w:tcW w:w="5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59</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5,629.60</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5,168.06</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461.54</w:t>
            </w:r>
          </w:p>
        </w:tc>
        <w:tc>
          <w:tcPr>
            <w:tcW w:w="1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年初财政拨款结转和结余</w:t>
            </w:r>
          </w:p>
        </w:tc>
        <w:tc>
          <w:tcPr>
            <w:tcW w:w="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28</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2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年末财政拨款结转和结余</w:t>
            </w:r>
          </w:p>
        </w:tc>
        <w:tc>
          <w:tcPr>
            <w:tcW w:w="5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60</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1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一般公共预算财政拨款</w:t>
            </w:r>
          </w:p>
        </w:tc>
        <w:tc>
          <w:tcPr>
            <w:tcW w:w="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29</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20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5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61</w:t>
            </w:r>
          </w:p>
        </w:tc>
        <w:tc>
          <w:tcPr>
            <w:tcW w:w="6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6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7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0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政府性基金预算财政拨款</w:t>
            </w:r>
          </w:p>
        </w:tc>
        <w:tc>
          <w:tcPr>
            <w:tcW w:w="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20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5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62</w:t>
            </w:r>
          </w:p>
        </w:tc>
        <w:tc>
          <w:tcPr>
            <w:tcW w:w="6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6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7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0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国有资本经营预算财政拨款</w:t>
            </w:r>
          </w:p>
        </w:tc>
        <w:tc>
          <w:tcPr>
            <w:tcW w:w="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31</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20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5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63</w:t>
            </w:r>
          </w:p>
        </w:tc>
        <w:tc>
          <w:tcPr>
            <w:tcW w:w="6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6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7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0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总计</w:t>
            </w:r>
          </w:p>
        </w:tc>
        <w:tc>
          <w:tcPr>
            <w:tcW w:w="450"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32</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5,629.60</w:t>
            </w:r>
          </w:p>
        </w:tc>
        <w:tc>
          <w:tcPr>
            <w:tcW w:w="2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总计</w:t>
            </w:r>
          </w:p>
        </w:tc>
        <w:tc>
          <w:tcPr>
            <w:tcW w:w="5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64</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5,629.60</w:t>
            </w:r>
          </w:p>
        </w:tc>
        <w:tc>
          <w:tcPr>
            <w:tcW w:w="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5,168.06</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461.54</w:t>
            </w:r>
          </w:p>
        </w:tc>
        <w:tc>
          <w:tcPr>
            <w:tcW w:w="1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35"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注：本表反映部门本年度一般公共预算财政拨款、政府性基金预算财政拨款和国有资本经营预算财政拨款的总收支和年末结转结余情况。</w:t>
            </w:r>
          </w:p>
        </w:tc>
        <w:tc>
          <w:tcPr>
            <w:tcW w:w="1056"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2"/>
                <w:szCs w:val="12"/>
                <w:u w:val="none"/>
              </w:rPr>
            </w:pPr>
          </w:p>
        </w:tc>
      </w:tr>
    </w:tbl>
    <w:p>
      <w:pPr>
        <w:widowControl/>
        <w:jc w:val="center"/>
        <w:textAlignment w:val="center"/>
        <w:rPr>
          <w:rFonts w:ascii="黑体" w:hAnsi="宋体" w:eastAsia="黑体" w:cs="黑体"/>
          <w:color w:val="000000"/>
          <w:kern w:val="0"/>
          <w:sz w:val="28"/>
          <w:szCs w:val="28"/>
        </w:rPr>
      </w:pPr>
    </w:p>
    <w:tbl>
      <w:tblPr>
        <w:tblStyle w:val="5"/>
        <w:tblW w:w="79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330"/>
        <w:gridCol w:w="330"/>
        <w:gridCol w:w="2256"/>
        <w:gridCol w:w="1380"/>
        <w:gridCol w:w="930"/>
        <w:gridCol w:w="1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656" w:type="dxa"/>
            <w:tcBorders>
              <w:top w:val="nil"/>
              <w:left w:val="nil"/>
              <w:bottom w:val="nil"/>
              <w:right w:val="nil"/>
            </w:tcBorders>
            <w:shd w:val="clear" w:color="auto" w:fill="auto"/>
            <w:noWrap/>
            <w:vAlign w:val="bottom"/>
          </w:tcPr>
          <w:p>
            <w:pPr>
              <w:rPr>
                <w:rFonts w:hint="eastAsia" w:ascii="Arial" w:hAnsi="Arial" w:cs="Arial"/>
                <w:i w:val="0"/>
                <w:iCs w:val="0"/>
                <w:color w:val="000000"/>
                <w:sz w:val="12"/>
                <w:szCs w:val="12"/>
                <w:u w:val="none"/>
              </w:rPr>
            </w:pPr>
          </w:p>
        </w:tc>
        <w:tc>
          <w:tcPr>
            <w:tcW w:w="33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33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2256"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1380"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一般公共预算财政拨款支出决算表</w:t>
            </w:r>
          </w:p>
        </w:tc>
        <w:tc>
          <w:tcPr>
            <w:tcW w:w="93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1056"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138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93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部门：保定市满城区民政局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138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93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项目</w:t>
            </w:r>
          </w:p>
        </w:tc>
        <w:tc>
          <w:tcPr>
            <w:tcW w:w="3366"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16"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科目名称</w:t>
            </w:r>
          </w:p>
        </w:tc>
        <w:tc>
          <w:tcPr>
            <w:tcW w:w="138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小计</w:t>
            </w:r>
          </w:p>
        </w:tc>
        <w:tc>
          <w:tcPr>
            <w:tcW w:w="93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基本支出</w:t>
            </w:r>
          </w:p>
        </w:tc>
        <w:tc>
          <w:tcPr>
            <w:tcW w:w="105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2316"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2"/>
                <w:szCs w:val="12"/>
                <w:u w:val="none"/>
              </w:rPr>
            </w:pPr>
          </w:p>
        </w:tc>
        <w:tc>
          <w:tcPr>
            <w:tcW w:w="13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93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105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16"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2"/>
                <w:szCs w:val="12"/>
                <w:u w:val="none"/>
              </w:rPr>
            </w:pPr>
          </w:p>
        </w:tc>
        <w:tc>
          <w:tcPr>
            <w:tcW w:w="13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93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105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栏次</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合计</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5,168.06</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792.51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4,375.55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一般公共服务支出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3.00</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政府办公厅（室）及相关机构事务</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3.00</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2010308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信访事务</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3.00</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文化旅游体育与传媒支出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6.00</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20701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文化和旅游</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6.00</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2070109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群众文化</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6.00</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社会保障和就业支出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4,933.99</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723.66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4,210.32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民政管理事务</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1,176.52</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571.57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604.95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行政运行</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210.91</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210.91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2080202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一般行政管理事务</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20.46</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2080207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行政区划和地名管理</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6.84</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2080208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基层政权建设和社区治理</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1.75</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其他民政管理事务支出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936.56</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360.66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575.90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行政事业单位养老支出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152.09</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152.09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行政单位离退休</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9.34</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9.34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事业单位离退休</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8.78</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8.78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机关事业单位基本养老保险缴费支出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111.84</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111.84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2080506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机关事业单位职业年金缴费支出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22.13</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社会福利</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505.03</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505.03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儿童福利</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24.83</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2081002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老年福利</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301.91</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2081004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殡葬</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178.29</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178.29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残疾人事业</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295.77</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295.77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2081107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残疾人生活和护理补贴</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295.77</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295.77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最低生活保障</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1,811.02</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1,811.02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2081901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城市最低生活保障金支出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146.18</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146.18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2081902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农村最低生活保障金支出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1,664.85</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1,664.85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临时救助</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51.53</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2082001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临时救助支出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40.56</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2082002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流浪乞讨人员救助支出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10.97</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特困人员救助供养</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942.02</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942.02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2082101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城市特困人员救助供养支出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3.29</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2082102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农村特困人员救助供养支出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938.73</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938.73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卫生健康支出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52.95</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40.43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21004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公共卫生</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12.52</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2100409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重大公共卫生服务</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12.52</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行政事业单位医疗</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40.43</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40.43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行政单位医疗</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10.04</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10.04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事业单位医疗</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30.38</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农林水支出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143.71</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143.71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21305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扶贫</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143.71</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143.71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2130599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其他扶贫支出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143.71</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143.71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住房保障支出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28.42</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28.42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住房改革支出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28.42</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28.42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住房公积金</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28.42</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28.42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注：本表反映部门本年度一般公共预算财政拨款支出情况。</w:t>
            </w:r>
          </w:p>
        </w:tc>
      </w:tr>
    </w:tbl>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sectPr>
          <w:pgSz w:w="11906" w:h="16838"/>
          <w:pgMar w:top="567" w:right="1531" w:bottom="1985" w:left="1531" w:header="851" w:footer="992" w:gutter="0"/>
          <w:pgBorders>
            <w:top w:val="none" w:sz="0" w:space="0"/>
            <w:left w:val="none" w:sz="0" w:space="0"/>
            <w:bottom w:val="none" w:sz="0" w:space="0"/>
            <w:right w:val="none" w:sz="0" w:space="0"/>
          </w:pgBorders>
          <w:cols w:space="425" w:num="1"/>
          <w:docGrid w:type="lines" w:linePitch="312" w:charSpace="0"/>
        </w:sectPr>
      </w:pPr>
    </w:p>
    <w:p>
      <w:pPr>
        <w:widowControl/>
        <w:shd w:val="clear"/>
        <w:jc w:val="center"/>
        <w:textAlignment w:val="center"/>
        <w:rPr>
          <w:rFonts w:ascii="黑体" w:hAnsi="宋体" w:eastAsia="黑体" w:cs="黑体"/>
          <w:color w:val="000000"/>
          <w:kern w:val="0"/>
          <w:sz w:val="28"/>
          <w:szCs w:val="28"/>
        </w:rPr>
      </w:pPr>
    </w:p>
    <w:tbl>
      <w:tblPr>
        <w:tblStyle w:val="5"/>
        <w:tblW w:w="110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2280"/>
        <w:gridCol w:w="1050"/>
        <w:gridCol w:w="735"/>
        <w:gridCol w:w="1440"/>
        <w:gridCol w:w="960"/>
        <w:gridCol w:w="750"/>
        <w:gridCol w:w="2496"/>
        <w:gridCol w:w="1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735" w:type="dxa"/>
            <w:tcBorders>
              <w:top w:val="nil"/>
              <w:left w:val="nil"/>
              <w:bottom w:val="nil"/>
              <w:right w:val="nil"/>
            </w:tcBorders>
            <w:shd w:val="clear" w:color="auto" w:fill="auto"/>
            <w:noWrap/>
            <w:vAlign w:val="bottom"/>
          </w:tcPr>
          <w:p>
            <w:pPr>
              <w:shd w:val="clear"/>
              <w:rPr>
                <w:rFonts w:hint="eastAsia" w:ascii="宋体" w:hAnsi="宋体" w:eastAsia="宋体" w:cs="宋体"/>
                <w:i w:val="0"/>
                <w:iCs w:val="0"/>
                <w:color w:val="000000"/>
                <w:sz w:val="12"/>
                <w:szCs w:val="12"/>
                <w:u w:val="none"/>
              </w:rPr>
            </w:pPr>
          </w:p>
        </w:tc>
        <w:tc>
          <w:tcPr>
            <w:tcW w:w="2280" w:type="dxa"/>
            <w:tcBorders>
              <w:top w:val="nil"/>
              <w:left w:val="nil"/>
              <w:bottom w:val="nil"/>
              <w:right w:val="nil"/>
            </w:tcBorders>
            <w:shd w:val="clear" w:color="auto" w:fill="auto"/>
            <w:noWrap/>
            <w:vAlign w:val="bottom"/>
          </w:tcPr>
          <w:p>
            <w:pPr>
              <w:shd w:val="clear"/>
              <w:rPr>
                <w:rFonts w:hint="eastAsia" w:ascii="宋体" w:hAnsi="宋体" w:eastAsia="宋体" w:cs="宋体"/>
                <w:i w:val="0"/>
                <w:iCs w:val="0"/>
                <w:color w:val="000000"/>
                <w:sz w:val="12"/>
                <w:szCs w:val="12"/>
                <w:u w:val="none"/>
              </w:rPr>
            </w:pPr>
          </w:p>
        </w:tc>
        <w:tc>
          <w:tcPr>
            <w:tcW w:w="1050" w:type="dxa"/>
            <w:tcBorders>
              <w:top w:val="nil"/>
              <w:left w:val="nil"/>
              <w:bottom w:val="nil"/>
              <w:right w:val="nil"/>
            </w:tcBorders>
            <w:shd w:val="clear" w:color="auto" w:fill="auto"/>
            <w:noWrap/>
            <w:vAlign w:val="bottom"/>
          </w:tcPr>
          <w:p>
            <w:pPr>
              <w:shd w:val="clear"/>
              <w:rPr>
                <w:rFonts w:hint="eastAsia" w:ascii="宋体" w:hAnsi="宋体" w:eastAsia="宋体" w:cs="宋体"/>
                <w:i w:val="0"/>
                <w:iCs w:val="0"/>
                <w:color w:val="000000"/>
                <w:sz w:val="12"/>
                <w:szCs w:val="12"/>
                <w:u w:val="none"/>
              </w:rPr>
            </w:pPr>
          </w:p>
        </w:tc>
        <w:tc>
          <w:tcPr>
            <w:tcW w:w="735" w:type="dxa"/>
            <w:tcBorders>
              <w:top w:val="nil"/>
              <w:left w:val="nil"/>
              <w:bottom w:val="nil"/>
              <w:right w:val="nil"/>
            </w:tcBorders>
            <w:shd w:val="clear" w:color="auto" w:fill="auto"/>
            <w:noWrap/>
            <w:vAlign w:val="bottom"/>
          </w:tcPr>
          <w:p>
            <w:pPr>
              <w:shd w:val="clear"/>
              <w:rPr>
                <w:rFonts w:hint="eastAsia" w:ascii="宋体" w:hAnsi="宋体" w:eastAsia="宋体" w:cs="宋体"/>
                <w:i w:val="0"/>
                <w:iCs w:val="0"/>
                <w:color w:val="000000"/>
                <w:sz w:val="12"/>
                <w:szCs w:val="12"/>
                <w:u w:val="none"/>
              </w:rPr>
            </w:pPr>
          </w:p>
        </w:tc>
        <w:tc>
          <w:tcPr>
            <w:tcW w:w="1440" w:type="dxa"/>
            <w:tcBorders>
              <w:top w:val="nil"/>
              <w:left w:val="nil"/>
              <w:bottom w:val="nil"/>
              <w:right w:val="nil"/>
            </w:tcBorders>
            <w:shd w:val="clear" w:color="auto" w:fill="auto"/>
            <w:noWrap/>
            <w:vAlign w:val="bottom"/>
          </w:tcPr>
          <w:p>
            <w:pPr>
              <w:keepNext w:val="0"/>
              <w:keepLines w:val="0"/>
              <w:widowControl/>
              <w:suppressLineNumbers w:val="0"/>
              <w:shd w:val="clear"/>
              <w:jc w:val="center"/>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一般公共预算财政拨款基本支出决算表</w:t>
            </w:r>
          </w:p>
        </w:tc>
        <w:tc>
          <w:tcPr>
            <w:tcW w:w="960" w:type="dxa"/>
            <w:tcBorders>
              <w:top w:val="nil"/>
              <w:left w:val="nil"/>
              <w:bottom w:val="nil"/>
              <w:right w:val="nil"/>
            </w:tcBorders>
            <w:shd w:val="clear" w:color="auto" w:fill="auto"/>
            <w:noWrap/>
            <w:vAlign w:val="bottom"/>
          </w:tcPr>
          <w:p>
            <w:pPr>
              <w:shd w:val="clear"/>
              <w:rPr>
                <w:rFonts w:hint="eastAsia" w:ascii="宋体" w:hAnsi="宋体" w:eastAsia="宋体" w:cs="宋体"/>
                <w:i w:val="0"/>
                <w:iCs w:val="0"/>
                <w:color w:val="000000"/>
                <w:sz w:val="12"/>
                <w:szCs w:val="12"/>
                <w:u w:val="none"/>
              </w:rPr>
            </w:pPr>
          </w:p>
        </w:tc>
        <w:tc>
          <w:tcPr>
            <w:tcW w:w="750" w:type="dxa"/>
            <w:tcBorders>
              <w:top w:val="nil"/>
              <w:left w:val="nil"/>
              <w:bottom w:val="nil"/>
              <w:right w:val="nil"/>
            </w:tcBorders>
            <w:shd w:val="clear" w:color="auto" w:fill="auto"/>
            <w:noWrap/>
            <w:vAlign w:val="bottom"/>
          </w:tcPr>
          <w:p>
            <w:pPr>
              <w:shd w:val="clear"/>
              <w:rPr>
                <w:rFonts w:hint="eastAsia" w:ascii="宋体" w:hAnsi="宋体" w:eastAsia="宋体" w:cs="宋体"/>
                <w:i w:val="0"/>
                <w:iCs w:val="0"/>
                <w:color w:val="000000"/>
                <w:sz w:val="12"/>
                <w:szCs w:val="12"/>
                <w:u w:val="none"/>
              </w:rPr>
            </w:pPr>
          </w:p>
        </w:tc>
        <w:tc>
          <w:tcPr>
            <w:tcW w:w="2385" w:type="dxa"/>
            <w:tcBorders>
              <w:top w:val="nil"/>
              <w:left w:val="nil"/>
              <w:bottom w:val="nil"/>
              <w:right w:val="nil"/>
            </w:tcBorders>
            <w:shd w:val="clear" w:color="auto" w:fill="auto"/>
            <w:noWrap/>
            <w:vAlign w:val="bottom"/>
          </w:tcPr>
          <w:p>
            <w:pPr>
              <w:shd w:val="clear"/>
              <w:rPr>
                <w:rFonts w:hint="eastAsia" w:ascii="宋体" w:hAnsi="宋体" w:eastAsia="宋体" w:cs="宋体"/>
                <w:i w:val="0"/>
                <w:iCs w:val="0"/>
                <w:color w:val="000000"/>
                <w:sz w:val="12"/>
                <w:szCs w:val="12"/>
                <w:u w:val="none"/>
              </w:rPr>
            </w:pPr>
          </w:p>
        </w:tc>
        <w:tc>
          <w:tcPr>
            <w:tcW w:w="675" w:type="dxa"/>
            <w:tcBorders>
              <w:top w:val="nil"/>
              <w:left w:val="nil"/>
              <w:bottom w:val="nil"/>
              <w:right w:val="nil"/>
            </w:tcBorders>
            <w:shd w:val="clear" w:color="auto" w:fill="auto"/>
            <w:noWrap/>
            <w:vAlign w:val="bottom"/>
          </w:tcPr>
          <w:p>
            <w:pPr>
              <w:shd w:val="clea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0" w:type="auto"/>
            <w:tcBorders>
              <w:top w:val="nil"/>
              <w:left w:val="nil"/>
              <w:bottom w:val="nil"/>
              <w:right w:val="nil"/>
            </w:tcBorders>
            <w:shd w:val="clear" w:color="auto" w:fill="auto"/>
            <w:noWrap/>
            <w:vAlign w:val="bottom"/>
          </w:tcPr>
          <w:p>
            <w:pPr>
              <w:shd w:val="clear"/>
              <w:rPr>
                <w:rFonts w:hint="eastAsia" w:ascii="宋体" w:hAnsi="宋体" w:eastAsia="宋体" w:cs="宋体"/>
                <w:i w:val="0"/>
                <w:iCs w:val="0"/>
                <w:color w:val="000000"/>
                <w:sz w:val="12"/>
                <w:szCs w:val="12"/>
                <w:u w:val="none"/>
              </w:rPr>
            </w:pPr>
          </w:p>
        </w:tc>
        <w:tc>
          <w:tcPr>
            <w:tcW w:w="0" w:type="auto"/>
            <w:tcBorders>
              <w:top w:val="nil"/>
              <w:left w:val="nil"/>
              <w:bottom w:val="nil"/>
              <w:right w:val="nil"/>
            </w:tcBorders>
            <w:shd w:val="clear" w:color="auto" w:fill="auto"/>
            <w:noWrap/>
            <w:vAlign w:val="bottom"/>
          </w:tcPr>
          <w:p>
            <w:pPr>
              <w:shd w:val="clear"/>
              <w:rPr>
                <w:rFonts w:hint="eastAsia" w:ascii="宋体" w:hAnsi="宋体" w:eastAsia="宋体" w:cs="宋体"/>
                <w:i w:val="0"/>
                <w:iCs w:val="0"/>
                <w:color w:val="000000"/>
                <w:sz w:val="12"/>
                <w:szCs w:val="12"/>
                <w:u w:val="none"/>
              </w:rPr>
            </w:pPr>
          </w:p>
        </w:tc>
        <w:tc>
          <w:tcPr>
            <w:tcW w:w="0" w:type="auto"/>
            <w:tcBorders>
              <w:top w:val="nil"/>
              <w:left w:val="nil"/>
              <w:bottom w:val="nil"/>
              <w:right w:val="nil"/>
            </w:tcBorders>
            <w:shd w:val="clear" w:color="auto" w:fill="auto"/>
            <w:noWrap/>
            <w:vAlign w:val="bottom"/>
          </w:tcPr>
          <w:p>
            <w:pPr>
              <w:shd w:val="clear"/>
              <w:rPr>
                <w:rFonts w:hint="eastAsia" w:ascii="宋体" w:hAnsi="宋体" w:eastAsia="宋体" w:cs="宋体"/>
                <w:i w:val="0"/>
                <w:iCs w:val="0"/>
                <w:color w:val="000000"/>
                <w:sz w:val="12"/>
                <w:szCs w:val="12"/>
                <w:u w:val="none"/>
              </w:rPr>
            </w:pPr>
          </w:p>
        </w:tc>
        <w:tc>
          <w:tcPr>
            <w:tcW w:w="0" w:type="auto"/>
            <w:tcBorders>
              <w:top w:val="nil"/>
              <w:left w:val="nil"/>
              <w:bottom w:val="nil"/>
              <w:right w:val="nil"/>
            </w:tcBorders>
            <w:shd w:val="clear" w:color="auto" w:fill="auto"/>
            <w:noWrap/>
            <w:vAlign w:val="bottom"/>
          </w:tcPr>
          <w:p>
            <w:pPr>
              <w:shd w:val="clear"/>
              <w:rPr>
                <w:rFonts w:hint="eastAsia" w:ascii="宋体" w:hAnsi="宋体" w:eastAsia="宋体" w:cs="宋体"/>
                <w:i w:val="0"/>
                <w:iCs w:val="0"/>
                <w:color w:val="000000"/>
                <w:sz w:val="12"/>
                <w:szCs w:val="12"/>
                <w:u w:val="none"/>
              </w:rPr>
            </w:pPr>
          </w:p>
        </w:tc>
        <w:tc>
          <w:tcPr>
            <w:tcW w:w="0" w:type="auto"/>
            <w:tcBorders>
              <w:top w:val="nil"/>
              <w:left w:val="nil"/>
              <w:bottom w:val="nil"/>
              <w:right w:val="nil"/>
            </w:tcBorders>
            <w:shd w:val="clear" w:color="auto" w:fill="auto"/>
            <w:noWrap/>
            <w:vAlign w:val="bottom"/>
          </w:tcPr>
          <w:p>
            <w:pPr>
              <w:shd w:val="clear"/>
              <w:rPr>
                <w:rFonts w:hint="eastAsia" w:ascii="宋体" w:hAnsi="宋体" w:eastAsia="宋体" w:cs="宋体"/>
                <w:i w:val="0"/>
                <w:iCs w:val="0"/>
                <w:color w:val="000000"/>
                <w:sz w:val="12"/>
                <w:szCs w:val="12"/>
                <w:u w:val="none"/>
              </w:rPr>
            </w:pPr>
          </w:p>
        </w:tc>
        <w:tc>
          <w:tcPr>
            <w:tcW w:w="0" w:type="auto"/>
            <w:tcBorders>
              <w:top w:val="nil"/>
              <w:left w:val="nil"/>
              <w:bottom w:val="nil"/>
              <w:right w:val="nil"/>
            </w:tcBorders>
            <w:shd w:val="clear" w:color="auto" w:fill="auto"/>
            <w:noWrap/>
            <w:vAlign w:val="bottom"/>
          </w:tcPr>
          <w:p>
            <w:pPr>
              <w:shd w:val="clear"/>
              <w:rPr>
                <w:rFonts w:hint="eastAsia" w:ascii="宋体" w:hAnsi="宋体" w:eastAsia="宋体" w:cs="宋体"/>
                <w:i w:val="0"/>
                <w:iCs w:val="0"/>
                <w:color w:val="000000"/>
                <w:sz w:val="12"/>
                <w:szCs w:val="12"/>
                <w:u w:val="none"/>
              </w:rPr>
            </w:pPr>
          </w:p>
        </w:tc>
        <w:tc>
          <w:tcPr>
            <w:tcW w:w="0" w:type="auto"/>
            <w:tcBorders>
              <w:top w:val="nil"/>
              <w:left w:val="nil"/>
              <w:bottom w:val="nil"/>
              <w:right w:val="nil"/>
            </w:tcBorders>
            <w:shd w:val="clear" w:color="auto" w:fill="auto"/>
            <w:noWrap/>
            <w:vAlign w:val="bottom"/>
          </w:tcPr>
          <w:p>
            <w:pPr>
              <w:shd w:val="clear"/>
              <w:rPr>
                <w:rFonts w:hint="eastAsia" w:ascii="宋体" w:hAnsi="宋体" w:eastAsia="宋体" w:cs="宋体"/>
                <w:i w:val="0"/>
                <w:iCs w:val="0"/>
                <w:color w:val="000000"/>
                <w:sz w:val="12"/>
                <w:szCs w:val="12"/>
                <w:u w:val="none"/>
              </w:rPr>
            </w:pPr>
          </w:p>
        </w:tc>
        <w:tc>
          <w:tcPr>
            <w:tcW w:w="0" w:type="auto"/>
            <w:tcBorders>
              <w:top w:val="nil"/>
              <w:left w:val="nil"/>
              <w:bottom w:val="nil"/>
              <w:right w:val="nil"/>
            </w:tcBorders>
            <w:shd w:val="clear" w:color="auto" w:fill="auto"/>
            <w:noWrap/>
            <w:vAlign w:val="bottom"/>
          </w:tcPr>
          <w:p>
            <w:pPr>
              <w:shd w:val="clear"/>
              <w:rPr>
                <w:rFonts w:hint="eastAsia" w:ascii="宋体" w:hAnsi="宋体" w:eastAsia="宋体" w:cs="宋体"/>
                <w:i w:val="0"/>
                <w:iCs w:val="0"/>
                <w:color w:val="000000"/>
                <w:sz w:val="12"/>
                <w:szCs w:val="12"/>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hd w:val="clear"/>
              <w:jc w:val="righ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hd w:val="clear"/>
              <w:jc w:val="lef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部门：保定市满城区民政局</w:t>
            </w:r>
          </w:p>
        </w:tc>
        <w:tc>
          <w:tcPr>
            <w:tcW w:w="0" w:type="auto"/>
            <w:tcBorders>
              <w:top w:val="nil"/>
              <w:left w:val="nil"/>
              <w:bottom w:val="nil"/>
              <w:right w:val="nil"/>
            </w:tcBorders>
            <w:shd w:val="clear" w:color="auto" w:fill="auto"/>
            <w:noWrap/>
            <w:vAlign w:val="bottom"/>
          </w:tcPr>
          <w:p>
            <w:pPr>
              <w:shd w:val="clear"/>
              <w:rPr>
                <w:rFonts w:hint="eastAsia" w:ascii="宋体" w:hAnsi="宋体" w:eastAsia="宋体" w:cs="宋体"/>
                <w:i w:val="0"/>
                <w:iCs w:val="0"/>
                <w:color w:val="000000"/>
                <w:sz w:val="12"/>
                <w:szCs w:val="12"/>
                <w:u w:val="none"/>
              </w:rPr>
            </w:pPr>
          </w:p>
        </w:tc>
        <w:tc>
          <w:tcPr>
            <w:tcW w:w="0" w:type="auto"/>
            <w:tcBorders>
              <w:top w:val="nil"/>
              <w:left w:val="nil"/>
              <w:bottom w:val="nil"/>
              <w:right w:val="nil"/>
            </w:tcBorders>
            <w:shd w:val="clear" w:color="auto" w:fill="auto"/>
            <w:noWrap/>
            <w:vAlign w:val="bottom"/>
          </w:tcPr>
          <w:p>
            <w:pPr>
              <w:shd w:val="clear"/>
              <w:rPr>
                <w:rFonts w:hint="eastAsia" w:ascii="宋体" w:hAnsi="宋体" w:eastAsia="宋体" w:cs="宋体"/>
                <w:i w:val="0"/>
                <w:iCs w:val="0"/>
                <w:color w:val="000000"/>
                <w:sz w:val="12"/>
                <w:szCs w:val="12"/>
                <w:u w:val="none"/>
              </w:rPr>
            </w:pPr>
          </w:p>
        </w:tc>
        <w:tc>
          <w:tcPr>
            <w:tcW w:w="0" w:type="auto"/>
            <w:tcBorders>
              <w:top w:val="nil"/>
              <w:left w:val="nil"/>
              <w:bottom w:val="nil"/>
              <w:right w:val="nil"/>
            </w:tcBorders>
            <w:shd w:val="clear" w:color="auto" w:fill="auto"/>
            <w:noWrap/>
            <w:vAlign w:val="bottom"/>
          </w:tcPr>
          <w:p>
            <w:pPr>
              <w:shd w:val="clear"/>
              <w:rPr>
                <w:rFonts w:hint="eastAsia" w:ascii="宋体" w:hAnsi="宋体" w:eastAsia="宋体" w:cs="宋体"/>
                <w:i w:val="0"/>
                <w:iCs w:val="0"/>
                <w:color w:val="000000"/>
                <w:sz w:val="12"/>
                <w:szCs w:val="12"/>
                <w:u w:val="none"/>
              </w:rPr>
            </w:pPr>
          </w:p>
        </w:tc>
        <w:tc>
          <w:tcPr>
            <w:tcW w:w="0" w:type="auto"/>
            <w:tcBorders>
              <w:top w:val="nil"/>
              <w:left w:val="nil"/>
              <w:bottom w:val="nil"/>
              <w:right w:val="nil"/>
            </w:tcBorders>
            <w:shd w:val="clear" w:color="auto" w:fill="auto"/>
            <w:noWrap/>
            <w:vAlign w:val="bottom"/>
          </w:tcPr>
          <w:p>
            <w:pPr>
              <w:shd w:val="clear"/>
              <w:rPr>
                <w:rFonts w:hint="eastAsia" w:ascii="宋体" w:hAnsi="宋体" w:eastAsia="宋体" w:cs="宋体"/>
                <w:i w:val="0"/>
                <w:iCs w:val="0"/>
                <w:color w:val="000000"/>
                <w:sz w:val="12"/>
                <w:szCs w:val="12"/>
                <w:u w:val="none"/>
              </w:rPr>
            </w:pPr>
          </w:p>
        </w:tc>
        <w:tc>
          <w:tcPr>
            <w:tcW w:w="0" w:type="auto"/>
            <w:tcBorders>
              <w:top w:val="nil"/>
              <w:left w:val="nil"/>
              <w:bottom w:val="nil"/>
              <w:right w:val="nil"/>
            </w:tcBorders>
            <w:shd w:val="clear" w:color="auto" w:fill="auto"/>
            <w:noWrap/>
            <w:vAlign w:val="bottom"/>
          </w:tcPr>
          <w:p>
            <w:pPr>
              <w:shd w:val="clear"/>
              <w:rPr>
                <w:rFonts w:hint="eastAsia" w:ascii="宋体" w:hAnsi="宋体" w:eastAsia="宋体" w:cs="宋体"/>
                <w:i w:val="0"/>
                <w:iCs w:val="0"/>
                <w:color w:val="000000"/>
                <w:sz w:val="12"/>
                <w:szCs w:val="12"/>
                <w:u w:val="none"/>
              </w:rPr>
            </w:pPr>
          </w:p>
        </w:tc>
        <w:tc>
          <w:tcPr>
            <w:tcW w:w="0" w:type="auto"/>
            <w:tcBorders>
              <w:top w:val="nil"/>
              <w:left w:val="nil"/>
              <w:bottom w:val="nil"/>
              <w:right w:val="nil"/>
            </w:tcBorders>
            <w:shd w:val="clear" w:color="auto" w:fill="auto"/>
            <w:noWrap/>
            <w:vAlign w:val="bottom"/>
          </w:tcPr>
          <w:p>
            <w:pPr>
              <w:shd w:val="clear"/>
              <w:rPr>
                <w:rFonts w:hint="eastAsia" w:ascii="宋体" w:hAnsi="宋体" w:eastAsia="宋体" w:cs="宋体"/>
                <w:i w:val="0"/>
                <w:iCs w:val="0"/>
                <w:color w:val="000000"/>
                <w:sz w:val="12"/>
                <w:szCs w:val="12"/>
                <w:u w:val="none"/>
              </w:rPr>
            </w:pPr>
          </w:p>
        </w:tc>
        <w:tc>
          <w:tcPr>
            <w:tcW w:w="0" w:type="auto"/>
            <w:tcBorders>
              <w:top w:val="nil"/>
              <w:left w:val="nil"/>
              <w:bottom w:val="nil"/>
              <w:right w:val="nil"/>
            </w:tcBorders>
            <w:shd w:val="clear" w:color="auto" w:fill="auto"/>
            <w:noWrap/>
            <w:vAlign w:val="bottom"/>
          </w:tcPr>
          <w:p>
            <w:pPr>
              <w:shd w:val="clear"/>
              <w:rPr>
                <w:rFonts w:hint="eastAsia" w:ascii="宋体" w:hAnsi="宋体" w:eastAsia="宋体" w:cs="宋体"/>
                <w:i w:val="0"/>
                <w:iCs w:val="0"/>
                <w:color w:val="000000"/>
                <w:sz w:val="12"/>
                <w:szCs w:val="12"/>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hd w:val="clear"/>
              <w:jc w:val="righ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科目编码</w:t>
            </w:r>
          </w:p>
        </w:tc>
        <w:tc>
          <w:tcPr>
            <w:tcW w:w="228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科目名称</w:t>
            </w:r>
          </w:p>
        </w:tc>
        <w:tc>
          <w:tcPr>
            <w:tcW w:w="105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科目编码</w:t>
            </w:r>
          </w:p>
        </w:tc>
        <w:tc>
          <w:tcPr>
            <w:tcW w:w="14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科目名称</w:t>
            </w:r>
          </w:p>
        </w:tc>
        <w:tc>
          <w:tcPr>
            <w:tcW w:w="96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决算数</w:t>
            </w:r>
          </w:p>
        </w:tc>
        <w:tc>
          <w:tcPr>
            <w:tcW w:w="75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科目编码</w:t>
            </w:r>
          </w:p>
        </w:tc>
        <w:tc>
          <w:tcPr>
            <w:tcW w:w="238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科目名称</w:t>
            </w:r>
          </w:p>
        </w:tc>
        <w:tc>
          <w:tcPr>
            <w:tcW w:w="67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trPr>
        <w:tc>
          <w:tcPr>
            <w:tcW w:w="735" w:type="dxa"/>
            <w:vMerge w:val="continue"/>
            <w:tcBorders>
              <w:top w:val="nil"/>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000000"/>
                <w:sz w:val="12"/>
                <w:szCs w:val="12"/>
                <w:u w:val="none"/>
              </w:rPr>
            </w:pPr>
          </w:p>
        </w:tc>
        <w:tc>
          <w:tcPr>
            <w:tcW w:w="2280" w:type="dxa"/>
            <w:vMerge w:val="continue"/>
            <w:tcBorders>
              <w:top w:val="nil"/>
              <w:left w:val="nil"/>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000000"/>
                <w:sz w:val="12"/>
                <w:szCs w:val="12"/>
                <w:u w:val="none"/>
              </w:rPr>
            </w:pPr>
          </w:p>
        </w:tc>
        <w:tc>
          <w:tcPr>
            <w:tcW w:w="1050" w:type="dxa"/>
            <w:vMerge w:val="continue"/>
            <w:tcBorders>
              <w:top w:val="nil"/>
              <w:left w:val="nil"/>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000000"/>
                <w:sz w:val="12"/>
                <w:szCs w:val="12"/>
                <w:u w:val="none"/>
              </w:rPr>
            </w:pPr>
          </w:p>
        </w:tc>
        <w:tc>
          <w:tcPr>
            <w:tcW w:w="735" w:type="dxa"/>
            <w:vMerge w:val="continue"/>
            <w:tcBorders>
              <w:top w:val="nil"/>
              <w:left w:val="nil"/>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000000"/>
                <w:sz w:val="12"/>
                <w:szCs w:val="12"/>
                <w:u w:val="none"/>
              </w:rPr>
            </w:pPr>
          </w:p>
        </w:tc>
        <w:tc>
          <w:tcPr>
            <w:tcW w:w="1440" w:type="dxa"/>
            <w:vMerge w:val="continue"/>
            <w:tcBorders>
              <w:top w:val="nil"/>
              <w:left w:val="nil"/>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000000"/>
                <w:sz w:val="12"/>
                <w:szCs w:val="12"/>
                <w:u w:val="none"/>
              </w:rPr>
            </w:pPr>
          </w:p>
        </w:tc>
        <w:tc>
          <w:tcPr>
            <w:tcW w:w="960" w:type="dxa"/>
            <w:vMerge w:val="continue"/>
            <w:tcBorders>
              <w:top w:val="nil"/>
              <w:left w:val="nil"/>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000000"/>
                <w:sz w:val="12"/>
                <w:szCs w:val="12"/>
                <w:u w:val="none"/>
              </w:rPr>
            </w:pPr>
          </w:p>
        </w:tc>
        <w:tc>
          <w:tcPr>
            <w:tcW w:w="750" w:type="dxa"/>
            <w:vMerge w:val="continue"/>
            <w:tcBorders>
              <w:top w:val="nil"/>
              <w:left w:val="nil"/>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000000"/>
                <w:sz w:val="12"/>
                <w:szCs w:val="12"/>
                <w:u w:val="none"/>
              </w:rPr>
            </w:pPr>
          </w:p>
        </w:tc>
        <w:tc>
          <w:tcPr>
            <w:tcW w:w="2385" w:type="dxa"/>
            <w:vMerge w:val="continue"/>
            <w:tcBorders>
              <w:top w:val="nil"/>
              <w:left w:val="nil"/>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000000"/>
                <w:sz w:val="12"/>
                <w:szCs w:val="12"/>
                <w:u w:val="none"/>
              </w:rPr>
            </w:pPr>
          </w:p>
        </w:tc>
        <w:tc>
          <w:tcPr>
            <w:tcW w:w="675" w:type="dxa"/>
            <w:vMerge w:val="continue"/>
            <w:tcBorders>
              <w:top w:val="nil"/>
              <w:left w:val="nil"/>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721.59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36.87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债务利息及费用支出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基本工资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424.96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办公费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30701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国内债务付息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津贴补贴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印刷费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30702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国外债务付息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奖金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17.11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30203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咨询费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伙食补助费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30204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手续费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0.06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30107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绩效工资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35.94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0.40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31002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30108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111.84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30206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0.50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31003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30109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职业年金缴费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邮电费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31005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30110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40.43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取暖费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31006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大型修缮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30111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30209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物业管理费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31007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30112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30211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差旅费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31008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物资储备</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30113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31009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土地补偿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30114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医疗费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维修（护）费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31010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安置补助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30214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租赁费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34.06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30215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会议费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拆迁补偿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离休费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30216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培训费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31013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退休费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17.56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30217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公务接待费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31019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退职（役）费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30218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专用材料费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31021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30304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抚恤金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14.38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30224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被装购置费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31022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生活补助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30225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专用燃料费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31099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30306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救济费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30226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劳务费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30307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医疗费补助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30227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委托业务费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39906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赠与</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30308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助学金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30228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工会经费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39907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30309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奖励金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福利费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39908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30310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30231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30311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代缴社会保险费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30239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其他交通费用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11.88</w:t>
            </w:r>
          </w:p>
        </w:tc>
        <w:tc>
          <w:tcPr>
            <w:tcW w:w="0" w:type="auto"/>
            <w:tcBorders>
              <w:top w:val="nil"/>
              <w:left w:val="nil"/>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30240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人员经费合计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755.65</w:t>
            </w:r>
          </w:p>
        </w:tc>
        <w:tc>
          <w:tcPr>
            <w:tcW w:w="0" w:type="auto"/>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公用经费合计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注：本表反映部门本年度一般公共预算财政拨款基本支出明细情况。</w:t>
            </w:r>
          </w:p>
        </w:tc>
      </w:tr>
    </w:tbl>
    <w:p>
      <w:pPr>
        <w:widowControl/>
        <w:shd w:val="clear"/>
        <w:jc w:val="center"/>
        <w:textAlignment w:val="center"/>
        <w:rPr>
          <w:rFonts w:ascii="黑体" w:hAnsi="宋体" w:eastAsia="黑体" w:cs="黑体"/>
          <w:color w:val="000000"/>
          <w:kern w:val="0"/>
          <w:sz w:val="28"/>
          <w:szCs w:val="28"/>
        </w:rPr>
      </w:pPr>
    </w:p>
    <w:p>
      <w:pPr>
        <w:widowControl/>
        <w:shd w:val="clear"/>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tbl>
      <w:tblPr>
        <w:tblStyle w:val="5"/>
        <w:tblW w:w="144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36"/>
        <w:gridCol w:w="856"/>
        <w:gridCol w:w="856"/>
        <w:gridCol w:w="1241"/>
        <w:gridCol w:w="1186"/>
        <w:gridCol w:w="928"/>
        <w:gridCol w:w="913"/>
        <w:gridCol w:w="942"/>
        <w:gridCol w:w="1358"/>
        <w:gridCol w:w="1277"/>
        <w:gridCol w:w="1358"/>
        <w:gridCol w:w="13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4410" w:type="dxa"/>
            <w:gridSpan w:val="12"/>
            <w:tcBorders>
              <w:top w:val="nil"/>
              <w:left w:val="nil"/>
              <w:bottom w:val="nil"/>
              <w:right w:val="nil"/>
            </w:tcBorders>
            <w:shd w:val="clear" w:color="auto" w:fill="auto"/>
            <w:noWrap/>
            <w:vAlign w:val="bottom"/>
          </w:tcPr>
          <w:p>
            <w:pPr>
              <w:ind w:firstLine="5280" w:firstLineChars="3300"/>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16"/>
                <w:szCs w:val="16"/>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部门：保定市满城区民政局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2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预算数</w:t>
            </w:r>
          </w:p>
        </w:tc>
        <w:tc>
          <w:tcPr>
            <w:tcW w:w="7288"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5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合计</w:t>
            </w:r>
          </w:p>
        </w:tc>
        <w:tc>
          <w:tcPr>
            <w:tcW w:w="85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因公出国（境）费</w:t>
            </w:r>
          </w:p>
        </w:tc>
        <w:tc>
          <w:tcPr>
            <w:tcW w:w="3285"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公务用车购置及运行费</w:t>
            </w:r>
          </w:p>
        </w:tc>
        <w:tc>
          <w:tcPr>
            <w:tcW w:w="92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公务接待费</w:t>
            </w:r>
          </w:p>
        </w:tc>
        <w:tc>
          <w:tcPr>
            <w:tcW w:w="91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合计</w:t>
            </w:r>
          </w:p>
        </w:tc>
        <w:tc>
          <w:tcPr>
            <w:tcW w:w="94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因公出国（境）费</w:t>
            </w:r>
          </w:p>
        </w:tc>
        <w:tc>
          <w:tcPr>
            <w:tcW w:w="407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公务用车购置及运行费</w:t>
            </w:r>
          </w:p>
        </w:tc>
        <w:tc>
          <w:tcPr>
            <w:tcW w:w="135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05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5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小计</w:t>
            </w:r>
          </w:p>
        </w:tc>
        <w:tc>
          <w:tcPr>
            <w:tcW w:w="124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公务用车购置费</w:t>
            </w:r>
          </w:p>
        </w:tc>
        <w:tc>
          <w:tcPr>
            <w:tcW w:w="118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公务用车运行费</w:t>
            </w:r>
          </w:p>
        </w:tc>
        <w:tc>
          <w:tcPr>
            <w:tcW w:w="92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1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4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小计</w:t>
            </w:r>
          </w:p>
        </w:tc>
        <w:tc>
          <w:tcPr>
            <w:tcW w:w="13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公务用车购置费</w:t>
            </w:r>
          </w:p>
        </w:tc>
        <w:tc>
          <w:tcPr>
            <w:tcW w:w="13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公务用车运行费</w:t>
            </w:r>
          </w:p>
        </w:tc>
        <w:tc>
          <w:tcPr>
            <w:tcW w:w="135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5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8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8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124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118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9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9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w:t>
            </w:r>
          </w:p>
        </w:tc>
        <w:tc>
          <w:tcPr>
            <w:tcW w:w="9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13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13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3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w:t>
            </w:r>
          </w:p>
        </w:tc>
        <w:tc>
          <w:tcPr>
            <w:tcW w:w="13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441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tbl>
      <w:tblPr>
        <w:tblStyle w:val="5"/>
        <w:tblW w:w="106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330"/>
        <w:gridCol w:w="330"/>
        <w:gridCol w:w="2588"/>
        <w:gridCol w:w="870"/>
        <w:gridCol w:w="882"/>
        <w:gridCol w:w="901"/>
        <w:gridCol w:w="1074"/>
        <w:gridCol w:w="1680"/>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30" w:type="dxa"/>
            <w:tcBorders>
              <w:top w:val="nil"/>
              <w:left w:val="nil"/>
              <w:bottom w:val="nil"/>
              <w:right w:val="nil"/>
            </w:tcBorders>
            <w:shd w:val="clear" w:color="auto" w:fill="auto"/>
            <w:noWrap/>
            <w:vAlign w:val="bottom"/>
          </w:tcPr>
          <w:p>
            <w:pPr>
              <w:rPr>
                <w:rFonts w:hint="eastAsia" w:ascii="Arial" w:hAnsi="Arial" w:cs="Arial"/>
                <w:i w:val="0"/>
                <w:iCs w:val="0"/>
                <w:color w:val="000000"/>
                <w:sz w:val="12"/>
                <w:szCs w:val="12"/>
                <w:u w:val="none"/>
              </w:rPr>
            </w:pPr>
          </w:p>
        </w:tc>
        <w:tc>
          <w:tcPr>
            <w:tcW w:w="33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33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6315" w:type="dxa"/>
            <w:gridSpan w:val="5"/>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政府性基金预算财政拨款收入支出决算表</w:t>
            </w: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部门：保定市满城区民政局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项目</w:t>
            </w:r>
          </w:p>
        </w:tc>
        <w:tc>
          <w:tcPr>
            <w:tcW w:w="102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年初结转和结余</w:t>
            </w:r>
          </w:p>
        </w:tc>
        <w:tc>
          <w:tcPr>
            <w:tcW w:w="79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本年收入</w:t>
            </w:r>
          </w:p>
        </w:tc>
        <w:tc>
          <w:tcPr>
            <w:tcW w:w="384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本年支出</w:t>
            </w:r>
          </w:p>
        </w:tc>
        <w:tc>
          <w:tcPr>
            <w:tcW w:w="168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科目名称</w:t>
            </w:r>
          </w:p>
        </w:tc>
        <w:tc>
          <w:tcPr>
            <w:tcW w:w="102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79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小计</w:t>
            </w:r>
          </w:p>
        </w:tc>
        <w:tc>
          <w:tcPr>
            <w:tcW w:w="13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项目支出</w:t>
            </w:r>
          </w:p>
        </w:tc>
        <w:tc>
          <w:tcPr>
            <w:tcW w:w="168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2"/>
                <w:szCs w:val="12"/>
                <w:u w:val="none"/>
              </w:rPr>
            </w:pPr>
          </w:p>
        </w:tc>
        <w:tc>
          <w:tcPr>
            <w:tcW w:w="102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79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2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133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16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168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2"/>
                <w:szCs w:val="12"/>
                <w:u w:val="none"/>
              </w:rPr>
            </w:pPr>
          </w:p>
        </w:tc>
        <w:tc>
          <w:tcPr>
            <w:tcW w:w="102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79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2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133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16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168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461.54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461.54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461.54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170.54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170.54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170.54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22960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彩票公益金安排的支出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170.54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170.54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170.54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2296002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用于社会福利的彩票公益金支出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170.54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170.54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170.54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抗疫特别国债安排的支出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291.00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291.00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291.00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23402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抗疫相关支出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291.00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291.00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291.00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2340205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困难群众基本生活补助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291.00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291.00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291.00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注：本表反映部门本年度政府性基金预算财政拨款收入、支出及结转和结余情况。</w:t>
            </w:r>
          </w:p>
        </w:tc>
      </w:tr>
    </w:tbl>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tbl>
      <w:tblPr>
        <w:tblStyle w:val="5"/>
        <w:tblW w:w="99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36"/>
        <w:gridCol w:w="330"/>
        <w:gridCol w:w="330"/>
        <w:gridCol w:w="1737"/>
        <w:gridCol w:w="2086"/>
        <w:gridCol w:w="2086"/>
        <w:gridCol w:w="3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33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kern w:val="0"/>
                <w:sz w:val="16"/>
                <w:szCs w:val="16"/>
                <w:u w:val="none"/>
                <w:lang w:val="en-US" w:eastAsia="zh-CN" w:bidi="ar"/>
              </w:rPr>
            </w:pPr>
          </w:p>
        </w:tc>
        <w:tc>
          <w:tcPr>
            <w:tcW w:w="330" w:type="dxa"/>
            <w:tcBorders>
              <w:top w:val="nil"/>
              <w:left w:val="nil"/>
              <w:bottom w:val="nil"/>
              <w:right w:val="nil"/>
            </w:tcBorders>
            <w:shd w:val="clear" w:color="auto" w:fill="auto"/>
            <w:noWrap/>
            <w:vAlign w:val="bottom"/>
          </w:tcPr>
          <w:p>
            <w:pPr>
              <w:rPr>
                <w:rFonts w:hint="default" w:ascii="宋体" w:hAnsi="宋体" w:eastAsia="宋体" w:cs="宋体"/>
                <w:i w:val="0"/>
                <w:iCs w:val="0"/>
                <w:color w:val="000000"/>
                <w:kern w:val="0"/>
                <w:sz w:val="16"/>
                <w:szCs w:val="16"/>
                <w:u w:val="none"/>
                <w:lang w:val="en-US" w:eastAsia="zh-CN" w:bidi="ar"/>
              </w:rPr>
            </w:pPr>
          </w:p>
        </w:tc>
        <w:tc>
          <w:tcPr>
            <w:tcW w:w="330" w:type="dxa"/>
            <w:tcBorders>
              <w:top w:val="nil"/>
              <w:left w:val="nil"/>
              <w:bottom w:val="nil"/>
              <w:right w:val="nil"/>
            </w:tcBorders>
            <w:shd w:val="clear" w:color="auto" w:fill="auto"/>
            <w:noWrap/>
            <w:vAlign w:val="bottom"/>
          </w:tcPr>
          <w:p>
            <w:pPr>
              <w:rPr>
                <w:rFonts w:hint="default" w:ascii="宋体" w:hAnsi="宋体" w:eastAsia="宋体" w:cs="宋体"/>
                <w:i w:val="0"/>
                <w:iCs w:val="0"/>
                <w:color w:val="000000"/>
                <w:kern w:val="0"/>
                <w:sz w:val="16"/>
                <w:szCs w:val="16"/>
                <w:u w:val="none"/>
                <w:lang w:val="en-US" w:eastAsia="zh-CN" w:bidi="ar"/>
              </w:rPr>
            </w:pPr>
          </w:p>
        </w:tc>
        <w:tc>
          <w:tcPr>
            <w:tcW w:w="8970" w:type="dxa"/>
            <w:gridSpan w:val="4"/>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default" w:ascii="宋体" w:hAnsi="宋体" w:eastAsia="宋体" w:cs="宋体"/>
                <w:i w:val="0"/>
                <w:iCs w:val="0"/>
                <w:color w:val="000000"/>
                <w:kern w:val="0"/>
                <w:sz w:val="16"/>
                <w:szCs w:val="16"/>
                <w:u w:val="none"/>
                <w:lang w:val="en-US" w:eastAsia="zh-CN" w:bidi="ar"/>
              </w:rPr>
            </w:pPr>
          </w:p>
        </w:tc>
        <w:tc>
          <w:tcPr>
            <w:tcW w:w="0" w:type="auto"/>
            <w:tcBorders>
              <w:top w:val="nil"/>
              <w:left w:val="nil"/>
              <w:bottom w:val="nil"/>
              <w:right w:val="nil"/>
            </w:tcBorders>
            <w:shd w:val="clear" w:color="auto" w:fill="auto"/>
            <w:noWrap/>
            <w:vAlign w:val="bottom"/>
          </w:tcPr>
          <w:p>
            <w:pPr>
              <w:rPr>
                <w:rFonts w:hint="default" w:ascii="宋体" w:hAnsi="宋体" w:eastAsia="宋体" w:cs="宋体"/>
                <w:i w:val="0"/>
                <w:iCs w:val="0"/>
                <w:color w:val="000000"/>
                <w:kern w:val="0"/>
                <w:sz w:val="16"/>
                <w:szCs w:val="16"/>
                <w:u w:val="none"/>
                <w:lang w:val="en-US" w:eastAsia="zh-CN" w:bidi="ar"/>
              </w:rPr>
            </w:pPr>
          </w:p>
        </w:tc>
        <w:tc>
          <w:tcPr>
            <w:tcW w:w="0" w:type="auto"/>
            <w:tcBorders>
              <w:top w:val="nil"/>
              <w:left w:val="nil"/>
              <w:bottom w:val="nil"/>
              <w:right w:val="nil"/>
            </w:tcBorders>
            <w:shd w:val="clear" w:color="auto" w:fill="auto"/>
            <w:noWrap/>
            <w:vAlign w:val="bottom"/>
          </w:tcPr>
          <w:p>
            <w:pPr>
              <w:rPr>
                <w:rFonts w:hint="default" w:ascii="宋体" w:hAnsi="宋体" w:eastAsia="宋体" w:cs="宋体"/>
                <w:i w:val="0"/>
                <w:iCs w:val="0"/>
                <w:color w:val="000000"/>
                <w:kern w:val="0"/>
                <w:sz w:val="16"/>
                <w:szCs w:val="16"/>
                <w:u w:val="none"/>
                <w:lang w:val="en-US" w:eastAsia="zh-CN" w:bidi="ar"/>
              </w:rPr>
            </w:pPr>
          </w:p>
        </w:tc>
        <w:tc>
          <w:tcPr>
            <w:tcW w:w="0" w:type="auto"/>
            <w:tcBorders>
              <w:top w:val="nil"/>
              <w:left w:val="nil"/>
              <w:bottom w:val="nil"/>
              <w:right w:val="nil"/>
            </w:tcBorders>
            <w:shd w:val="clear" w:color="auto" w:fill="auto"/>
            <w:noWrap/>
            <w:vAlign w:val="bottom"/>
          </w:tcPr>
          <w:p>
            <w:pPr>
              <w:rPr>
                <w:rFonts w:hint="default" w:ascii="宋体" w:hAnsi="宋体" w:eastAsia="宋体" w:cs="宋体"/>
                <w:i w:val="0"/>
                <w:iCs w:val="0"/>
                <w:color w:val="000000"/>
                <w:kern w:val="0"/>
                <w:sz w:val="16"/>
                <w:szCs w:val="16"/>
                <w:u w:val="none"/>
                <w:lang w:val="en-US" w:eastAsia="zh-CN" w:bidi="ar"/>
              </w:rPr>
            </w:pPr>
          </w:p>
        </w:tc>
        <w:tc>
          <w:tcPr>
            <w:tcW w:w="0" w:type="auto"/>
            <w:tcBorders>
              <w:top w:val="nil"/>
              <w:left w:val="nil"/>
              <w:bottom w:val="nil"/>
              <w:right w:val="nil"/>
            </w:tcBorders>
            <w:shd w:val="clear" w:color="auto" w:fill="auto"/>
            <w:noWrap/>
            <w:vAlign w:val="bottom"/>
          </w:tcPr>
          <w:p>
            <w:pPr>
              <w:rPr>
                <w:rFonts w:hint="default" w:ascii="宋体" w:hAnsi="宋体" w:eastAsia="宋体" w:cs="宋体"/>
                <w:i w:val="0"/>
                <w:iCs w:val="0"/>
                <w:color w:val="000000"/>
                <w:kern w:val="0"/>
                <w:sz w:val="16"/>
                <w:szCs w:val="16"/>
                <w:u w:val="none"/>
                <w:lang w:val="en-US" w:eastAsia="zh-CN" w:bidi="ar"/>
              </w:rPr>
            </w:pPr>
          </w:p>
        </w:tc>
        <w:tc>
          <w:tcPr>
            <w:tcW w:w="0" w:type="auto"/>
            <w:tcBorders>
              <w:top w:val="nil"/>
              <w:left w:val="nil"/>
              <w:bottom w:val="nil"/>
              <w:right w:val="nil"/>
            </w:tcBorders>
            <w:shd w:val="clear" w:color="auto" w:fill="auto"/>
            <w:noWrap/>
            <w:vAlign w:val="bottom"/>
          </w:tcPr>
          <w:p>
            <w:pPr>
              <w:rPr>
                <w:rFonts w:hint="default" w:ascii="宋体" w:hAnsi="宋体" w:eastAsia="宋体" w:cs="宋体"/>
                <w:i w:val="0"/>
                <w:iCs w:val="0"/>
                <w:color w:val="000000"/>
                <w:kern w:val="0"/>
                <w:sz w:val="16"/>
                <w:szCs w:val="16"/>
                <w:u w:val="none"/>
                <w:lang w:val="en-US" w:eastAsia="zh-CN" w:bidi="ar"/>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部门：保定市满城区民政局</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16"/>
                <w:szCs w:val="16"/>
                <w:u w:val="none"/>
                <w:lang w:val="en-US" w:eastAsia="zh-CN" w:bidi="ar"/>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16"/>
                <w:szCs w:val="16"/>
                <w:u w:val="none"/>
                <w:lang w:val="en-US" w:eastAsia="zh-CN" w:bidi="ar"/>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16"/>
                <w:szCs w:val="16"/>
                <w:u w:val="none"/>
                <w:lang w:val="en-US" w:eastAsia="zh-CN" w:bidi="ar"/>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16"/>
                <w:szCs w:val="16"/>
                <w:u w:val="none"/>
                <w:lang w:val="en-US" w:eastAsia="zh-CN" w:bidi="ar"/>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16"/>
                <w:szCs w:val="16"/>
                <w:u w:val="none"/>
                <w:lang w:val="en-US" w:eastAsia="zh-CN" w:bidi="ar"/>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项目</w:t>
            </w:r>
          </w:p>
        </w:tc>
        <w:tc>
          <w:tcPr>
            <w:tcW w:w="504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科目名称</w:t>
            </w:r>
          </w:p>
        </w:tc>
        <w:tc>
          <w:tcPr>
            <w:tcW w:w="168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16"/>
                <w:szCs w:val="16"/>
                <w:u w:val="none"/>
                <w:lang w:val="en-US" w:eastAsia="zh-CN" w:bidi="ar"/>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0"/>
                <w:sz w:val="16"/>
                <w:szCs w:val="16"/>
                <w:u w:val="none"/>
                <w:lang w:val="en-US" w:eastAsia="zh-CN" w:bidi="ar"/>
              </w:rPr>
            </w:pPr>
          </w:p>
        </w:tc>
        <w:tc>
          <w:tcPr>
            <w:tcW w:w="16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16"/>
                <w:szCs w:val="16"/>
                <w:u w:val="none"/>
                <w:lang w:val="en-US" w:eastAsia="zh-CN" w:bidi="ar"/>
              </w:rPr>
            </w:pPr>
          </w:p>
        </w:tc>
        <w:tc>
          <w:tcPr>
            <w:tcW w:w="16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16"/>
                <w:szCs w:val="16"/>
                <w:u w:val="none"/>
                <w:lang w:val="en-US" w:eastAsia="zh-CN" w:bidi="ar"/>
              </w:rPr>
            </w:pPr>
          </w:p>
        </w:tc>
        <w:tc>
          <w:tcPr>
            <w:tcW w:w="16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16"/>
                <w:szCs w:val="16"/>
                <w:u w:val="none"/>
                <w:lang w:val="en-US" w:eastAsia="zh-CN" w:bidi="ar"/>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0"/>
                <w:sz w:val="16"/>
                <w:szCs w:val="16"/>
                <w:u w:val="none"/>
                <w:lang w:val="en-US" w:eastAsia="zh-CN" w:bidi="ar"/>
              </w:rPr>
            </w:pPr>
          </w:p>
        </w:tc>
        <w:tc>
          <w:tcPr>
            <w:tcW w:w="16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16"/>
                <w:szCs w:val="16"/>
                <w:u w:val="none"/>
                <w:lang w:val="en-US" w:eastAsia="zh-CN" w:bidi="ar"/>
              </w:rPr>
            </w:pPr>
          </w:p>
        </w:tc>
        <w:tc>
          <w:tcPr>
            <w:tcW w:w="16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16"/>
                <w:szCs w:val="16"/>
                <w:u w:val="none"/>
                <w:lang w:val="en-US" w:eastAsia="zh-CN" w:bidi="ar"/>
              </w:rPr>
            </w:pPr>
          </w:p>
        </w:tc>
        <w:tc>
          <w:tcPr>
            <w:tcW w:w="16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0"/>
                <w:sz w:val="16"/>
                <w:szCs w:val="16"/>
                <w:u w:val="none"/>
                <w:lang w:val="en-US" w:eastAsia="zh-CN" w:bidi="ar"/>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0"/>
                <w:sz w:val="16"/>
                <w:szCs w:val="16"/>
                <w:u w:val="none"/>
                <w:lang w:val="en-US" w:eastAsia="zh-CN" w:bidi="ar"/>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6"/>
                <w:szCs w:val="16"/>
                <w:u w:val="none"/>
                <w:lang w:val="en-US" w:eastAsia="zh-CN" w:bidi="ar"/>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6"/>
                <w:szCs w:val="16"/>
                <w:u w:val="none"/>
                <w:lang w:val="en-US" w:eastAsia="zh-CN" w:bidi="ar"/>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0"/>
                <w:sz w:val="16"/>
                <w:szCs w:val="16"/>
                <w:u w:val="none"/>
                <w:lang w:val="en-US" w:eastAsia="zh-CN" w:bidi="ar"/>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0"/>
                <w:sz w:val="16"/>
                <w:szCs w:val="16"/>
                <w:u w:val="none"/>
                <w:lang w:val="en-US" w:eastAsia="zh-CN" w:bidi="ar"/>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6"/>
                <w:szCs w:val="16"/>
                <w:u w:val="none"/>
                <w:lang w:val="en-US" w:eastAsia="zh-CN" w:bidi="ar"/>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6"/>
                <w:szCs w:val="16"/>
                <w:u w:val="none"/>
                <w:lang w:val="en-US" w:eastAsia="zh-CN" w:bidi="ar"/>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0"/>
                <w:sz w:val="16"/>
                <w:szCs w:val="16"/>
                <w:u w:val="none"/>
                <w:lang w:val="en-US" w:eastAsia="zh-CN" w:bidi="ar"/>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0"/>
                <w:sz w:val="16"/>
                <w:szCs w:val="16"/>
                <w:u w:val="none"/>
                <w:lang w:val="en-US" w:eastAsia="zh-CN" w:bidi="ar"/>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6"/>
                <w:szCs w:val="16"/>
                <w:u w:val="none"/>
                <w:lang w:val="en-US" w:eastAsia="zh-CN" w:bidi="ar"/>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6"/>
                <w:szCs w:val="16"/>
                <w:u w:val="none"/>
                <w:lang w:val="en-US" w:eastAsia="zh-CN" w:bidi="ar"/>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0"/>
                <w:sz w:val="16"/>
                <w:szCs w:val="16"/>
                <w:u w:val="none"/>
                <w:lang w:val="en-US" w:eastAsia="zh-CN" w:bidi="ar"/>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0"/>
                <w:sz w:val="16"/>
                <w:szCs w:val="16"/>
                <w:u w:val="none"/>
                <w:lang w:val="en-US" w:eastAsia="zh-CN" w:bidi="ar"/>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6"/>
                <w:szCs w:val="16"/>
                <w:u w:val="none"/>
                <w:lang w:val="en-US" w:eastAsia="zh-CN" w:bidi="ar"/>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6"/>
                <w:szCs w:val="16"/>
                <w:u w:val="none"/>
                <w:lang w:val="en-US" w:eastAsia="zh-CN" w:bidi="ar"/>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0"/>
                <w:sz w:val="16"/>
                <w:szCs w:val="16"/>
                <w:u w:val="none"/>
                <w:lang w:val="en-US" w:eastAsia="zh-CN" w:bidi="ar"/>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0"/>
                <w:sz w:val="16"/>
                <w:szCs w:val="16"/>
                <w:u w:val="none"/>
                <w:lang w:val="en-US" w:eastAsia="zh-CN" w:bidi="ar"/>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6"/>
                <w:szCs w:val="16"/>
                <w:u w:val="none"/>
                <w:lang w:val="en-US" w:eastAsia="zh-CN" w:bidi="ar"/>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6"/>
                <w:szCs w:val="16"/>
                <w:u w:val="none"/>
                <w:lang w:val="en-US" w:eastAsia="zh-CN" w:bidi="ar"/>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0"/>
                <w:sz w:val="16"/>
                <w:szCs w:val="16"/>
                <w:u w:val="none"/>
                <w:lang w:val="en-US" w:eastAsia="zh-CN" w:bidi="ar"/>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0"/>
                <w:sz w:val="16"/>
                <w:szCs w:val="16"/>
                <w:u w:val="none"/>
                <w:lang w:val="en-US" w:eastAsia="zh-CN" w:bidi="ar"/>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6"/>
                <w:szCs w:val="16"/>
                <w:u w:val="none"/>
                <w:lang w:val="en-US" w:eastAsia="zh-CN" w:bidi="ar"/>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6"/>
                <w:szCs w:val="16"/>
                <w:u w:val="none"/>
                <w:lang w:val="en-US" w:eastAsia="zh-CN" w:bidi="ar"/>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注：本表反映部门本年度国有资本经营预算财政拨款支出情况。本部门本年度无相关支出情况，按要求以空表列示。</w:t>
            </w:r>
          </w:p>
        </w:tc>
      </w:tr>
    </w:tbl>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rPr>
          <w:rFonts w:ascii="黑体" w:hAnsi="黑体" w:eastAsia="黑体" w:cs="黑体"/>
          <w:sz w:val="56"/>
          <w:szCs w:val="72"/>
        </w:rPr>
      </w:pPr>
    </w:p>
    <w:sectPr>
      <w:pgSz w:w="16838" w:h="11906" w:orient="landscape"/>
      <w:pgMar w:top="1531" w:right="567" w:bottom="1531" w:left="1984" w:header="851" w:footer="992" w:gutter="0"/>
      <w:pgBorders>
        <w:top w:val="none" w:sz="0" w:space="0"/>
        <w:left w:val="none" w:sz="0" w:space="0"/>
        <w:bottom w:val="none" w:sz="0" w:space="0"/>
        <w:right w:val="none" w:sz="0" w:space="0"/>
      </w:pgBorders>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Cambria">
    <w:panose1 w:val="02040503050406030204"/>
    <w:charset w:val="00"/>
    <w:family w:val="roman"/>
    <w:pitch w:val="default"/>
    <w:sig w:usb0="E00002FF" w:usb1="400004FF" w:usb2="00000000" w:usb3="00000000" w:csb0="2000019F" w:csb1="00000000"/>
  </w:font>
  <w:font w:name="Mongolian Baiti">
    <w:panose1 w:val="03000500000000000000"/>
    <w:charset w:val="00"/>
    <w:family w:val="script"/>
    <w:pitch w:val="default"/>
    <w:sig w:usb0="80000023" w:usb1="00000000" w:usb2="00020000" w:usb3="00000000" w:csb0="00000001" w:csb1="00000000"/>
  </w:font>
  <w:font w:name="DengXian-Regular">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9950409"/>
    <w:multiLevelType w:val="singleLevel"/>
    <w:tmpl w:val="59950409"/>
    <w:lvl w:ilvl="0" w:tentative="0">
      <w:start w:val="1"/>
      <w:numFmt w:val="decimal"/>
      <w:suff w:val="space"/>
      <w:lvlText w:val="%1."/>
      <w:lvlJc w:val="left"/>
    </w:lvl>
  </w:abstractNum>
  <w:abstractNum w:abstractNumId="2">
    <w:nsid w:val="5F222FFA"/>
    <w:multiLevelType w:val="singleLevel"/>
    <w:tmpl w:val="5F222FFA"/>
    <w:lvl w:ilvl="0" w:tentative="0">
      <w:start w:val="1"/>
      <w:numFmt w:val="decimal"/>
      <w:suff w:val="nothing"/>
      <w:lvlText w:val="（%1）"/>
      <w:lvlJc w:val="left"/>
    </w:lvl>
  </w:abstractNum>
  <w:abstractNum w:abstractNumId="3">
    <w:nsid w:val="78C1413D"/>
    <w:multiLevelType w:val="singleLevel"/>
    <w:tmpl w:val="78C1413D"/>
    <w:lvl w:ilvl="0" w:tentative="0">
      <w:start w:val="1"/>
      <w:numFmt w:val="decimal"/>
      <w:suff w:val="space"/>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HorizontalSpacing w:val="105"/>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yNDBmMzhjNDk5MmNjNThkZTA3N2MwYTAxNGU3OTIifQ=="/>
  </w:docVars>
  <w:rsids>
    <w:rsidRoot w:val="34C45458"/>
    <w:rsid w:val="0002364E"/>
    <w:rsid w:val="000273BC"/>
    <w:rsid w:val="00061A05"/>
    <w:rsid w:val="00067FE9"/>
    <w:rsid w:val="00075234"/>
    <w:rsid w:val="000E1224"/>
    <w:rsid w:val="0016487F"/>
    <w:rsid w:val="0018668E"/>
    <w:rsid w:val="001A543A"/>
    <w:rsid w:val="001B3F95"/>
    <w:rsid w:val="001B73D2"/>
    <w:rsid w:val="001C39FD"/>
    <w:rsid w:val="001D6308"/>
    <w:rsid w:val="001E62BF"/>
    <w:rsid w:val="002154A6"/>
    <w:rsid w:val="00293E7B"/>
    <w:rsid w:val="002C64DA"/>
    <w:rsid w:val="002D1F4F"/>
    <w:rsid w:val="00310244"/>
    <w:rsid w:val="0035483D"/>
    <w:rsid w:val="0036580A"/>
    <w:rsid w:val="00366D90"/>
    <w:rsid w:val="003D678E"/>
    <w:rsid w:val="0040066A"/>
    <w:rsid w:val="004027F5"/>
    <w:rsid w:val="004417A0"/>
    <w:rsid w:val="004E2219"/>
    <w:rsid w:val="0058218E"/>
    <w:rsid w:val="005D7557"/>
    <w:rsid w:val="005F70A2"/>
    <w:rsid w:val="006A5C4D"/>
    <w:rsid w:val="006B08F7"/>
    <w:rsid w:val="006B613D"/>
    <w:rsid w:val="00733600"/>
    <w:rsid w:val="00764F76"/>
    <w:rsid w:val="007A6473"/>
    <w:rsid w:val="007C2F42"/>
    <w:rsid w:val="00801F66"/>
    <w:rsid w:val="00802699"/>
    <w:rsid w:val="00806209"/>
    <w:rsid w:val="008161ED"/>
    <w:rsid w:val="00866C9F"/>
    <w:rsid w:val="0087560F"/>
    <w:rsid w:val="008B611E"/>
    <w:rsid w:val="009334BF"/>
    <w:rsid w:val="00940A67"/>
    <w:rsid w:val="00970013"/>
    <w:rsid w:val="00996794"/>
    <w:rsid w:val="00A6292D"/>
    <w:rsid w:val="00AA3AE9"/>
    <w:rsid w:val="00AB25E1"/>
    <w:rsid w:val="00B606BD"/>
    <w:rsid w:val="00BA10EF"/>
    <w:rsid w:val="00BA5FD4"/>
    <w:rsid w:val="00C208DC"/>
    <w:rsid w:val="00CC14C6"/>
    <w:rsid w:val="00D9599B"/>
    <w:rsid w:val="00DD7A03"/>
    <w:rsid w:val="00E86BB8"/>
    <w:rsid w:val="00E95D5B"/>
    <w:rsid w:val="00F17532"/>
    <w:rsid w:val="00F6232D"/>
    <w:rsid w:val="00F93844"/>
    <w:rsid w:val="00FB68E2"/>
    <w:rsid w:val="056E4CED"/>
    <w:rsid w:val="058B71E0"/>
    <w:rsid w:val="0EA325C9"/>
    <w:rsid w:val="1D6E4473"/>
    <w:rsid w:val="1F7B5217"/>
    <w:rsid w:val="21464229"/>
    <w:rsid w:val="29807879"/>
    <w:rsid w:val="2FB86DFC"/>
    <w:rsid w:val="2FB96948"/>
    <w:rsid w:val="300A304C"/>
    <w:rsid w:val="31737431"/>
    <w:rsid w:val="31BF37A2"/>
    <w:rsid w:val="330241B6"/>
    <w:rsid w:val="3327616A"/>
    <w:rsid w:val="34C45458"/>
    <w:rsid w:val="35C83C42"/>
    <w:rsid w:val="49E71FE8"/>
    <w:rsid w:val="5D0C63C4"/>
    <w:rsid w:val="5D5C78F9"/>
    <w:rsid w:val="65CE18FF"/>
    <w:rsid w:val="72837322"/>
    <w:rsid w:val="73D824BD"/>
    <w:rsid w:val="7BBB5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1"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6">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bmp"/><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10044</Words>
  <Characters>13618</Characters>
  <Lines>98</Lines>
  <Paragraphs>27</Paragraphs>
  <TotalTime>1</TotalTime>
  <ScaleCrop>false</ScaleCrop>
  <LinksUpToDate>false</LinksUpToDate>
  <CharactersWithSpaces>14037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2021-07-27T05:10:00Z</dcterms:created>
  <dc:creator>王明新TIAD</dc:creator>
  <cp:lastModifiedBy>Administrator</cp:lastModifiedBy>
  <cp:lastPrinted>2022-08-29T06:38:00Z</cp:lastPrinted>
  <dcterms:modified xsi:type="dcterms:W3CDTF">2023-11-07T08:38:26Z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0DEF186938AC4BDAAF2595D31F50DF1E</vt:lpwstr>
  </property>
</Properties>
</file>