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drawing>
          <wp:anchor distT="0" distB="0" distL="114300" distR="114300" simplePos="0" relativeHeight="251668480" behindDoc="0" locked="0" layoutInCell="1" allowOverlap="1">
            <wp:simplePos x="0" y="0"/>
            <wp:positionH relativeFrom="column">
              <wp:posOffset>-561975</wp:posOffset>
            </wp:positionH>
            <wp:positionV relativeFrom="paragraph">
              <wp:posOffset>-939165</wp:posOffset>
            </wp:positionV>
            <wp:extent cx="6706870" cy="9242425"/>
            <wp:effectExtent l="0" t="0" r="17780" b="15875"/>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3"/>
                    <a:stretch>
                      <a:fillRect/>
                    </a:stretch>
                  </pic:blipFill>
                  <pic:spPr>
                    <a:xfrm>
                      <a:off x="0" y="0"/>
                      <a:ext cx="6706870" cy="9242425"/>
                    </a:xfrm>
                    <a:prstGeom prst="rect">
                      <a:avLst/>
                    </a:prstGeom>
                  </pic:spPr>
                </pic:pic>
              </a:graphicData>
            </a:graphic>
          </wp:anchor>
        </w:drawing>
      </w:r>
      <w:r>
        <w:br w:type="page"/>
      </w:r>
    </w:p>
    <w:p>
      <w:pPr>
        <w:jc w:val="center"/>
        <w:rPr>
          <w:rFonts w:hint="eastAsia" w:ascii="黑体" w:hAnsi="黑体" w:eastAsia="黑体" w:cs="黑体"/>
          <w:sz w:val="52"/>
          <w:szCs w:val="52"/>
          <w:lang w:eastAsia="zh-CN"/>
        </w:rPr>
      </w:pPr>
    </w:p>
    <w:p>
      <w:pPr>
        <w:jc w:val="center"/>
        <w:rPr>
          <w:rFonts w:hint="eastAsia" w:ascii="黑体" w:hAnsi="黑体" w:eastAsia="黑体" w:cs="黑体"/>
          <w:sz w:val="52"/>
          <w:szCs w:val="52"/>
          <w:highlight w:val="yellow"/>
          <w:lang w:eastAsia="zh-CN"/>
        </w:rPr>
      </w:pPr>
      <w:r>
        <w:rPr>
          <w:rFonts w:hint="eastAsia" w:ascii="黑体" w:hAnsi="黑体" w:eastAsia="黑体" w:cs="黑体"/>
          <w:sz w:val="52"/>
          <w:szCs w:val="52"/>
          <w:lang w:eastAsia="zh-CN"/>
        </w:rPr>
        <w:t>保定市满城区人力资源和社会保障局</w:t>
      </w:r>
    </w:p>
    <w:p>
      <w:pPr>
        <w:jc w:val="center"/>
        <w:rPr>
          <w:rFonts w:ascii="黑体" w:hAnsi="黑体" w:eastAsia="黑体" w:cs="黑体"/>
          <w:sz w:val="52"/>
          <w:szCs w:val="52"/>
        </w:rPr>
      </w:pPr>
      <w:r>
        <w:rPr>
          <w:rFonts w:hint="eastAsia" w:ascii="黑体" w:hAnsi="黑体" w:eastAsia="黑体" w:cs="黑体"/>
          <w:sz w:val="52"/>
          <w:szCs w:val="52"/>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both"/>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both"/>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59264"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59264;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保定市</w:t>
      </w:r>
      <w:r>
        <w:rPr>
          <w:rFonts w:hint="eastAsia" w:ascii="仿宋_GB2312" w:hAnsi="Calibri" w:eastAsia="仿宋_GB2312" w:cs="ArialUnicodeMS"/>
          <w:kern w:val="0"/>
          <w:sz w:val="32"/>
          <w:szCs w:val="32"/>
        </w:rPr>
        <w:t>满城区人力资源和社会保障局由行政编制和事业编制组成。根据满办字（</w:t>
      </w:r>
      <w:r>
        <w:rPr>
          <w:rFonts w:ascii="仿宋_GB2312" w:hAnsi="Calibri" w:eastAsia="仿宋_GB2312" w:cs="ArialUnicodeMS"/>
          <w:kern w:val="0"/>
          <w:sz w:val="32"/>
          <w:szCs w:val="32"/>
        </w:rPr>
        <w:t>2019）31号关于《保定市满城区人力资源和社会保障局职能配置、内设机构和人员编制规定》的通知要求，满城区人力资源和社会保障局主要职责是:</w:t>
      </w:r>
    </w:p>
    <w:p>
      <w:pPr>
        <w:widowControl/>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（一）拟订全区人力资源和社会保障事业发展政策、规划；负责全区人力资源和社会保障的宣传和舆情研究。</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二）拟订人力资源市场发展规划和人力资源流动政策，建立统一规范的人力资源市场，促进人力资源合理流动、有效配置；拟定人员（不含公务员）调配政策和特殊人员安置政策。参与拟定干部人才援派及管理政策并组织实施。</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三）负责促进就业工作，拟订统筹城乡的就业发展规划和政策，完善公共就业服务体系，拟订就业援助制度，完善职业资格制度，统筹建立面向城乡劳动者的职业培训制度，牵头落实高校毕业生就业政策，指导非师范类大中专毕业生、毕业研究生就业工作。会同有关部门拟订高技能人才、农村实用人才培养和激励政策。</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四）统筹推进建立覆盖全区城乡的多层次社会保障体系。贯彻落实养老、失业、工伤等社会保险及其补充保险政策标准。贯彻落实养老保险省级统筹办法和全省统一的养老、失业、工伤保险关系转续办法和基金统筹办法，贯彻落实养老、失业、工伤等社会保险及其补充保险基金管理和监督制度，编制相关社会保险基金预决算草案，贯彻落实企业年金和职业年金政策，贯彻落实相关社会保险基金投资政策。</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（五）负责就业、失业和相关社会保险基金预测预警和信息引导，拟定应对预案，实施预防、调节和控制，保持就业形势稳定和社会保险基金总体收支平衡。</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六）会同有关部门拟订全区事业单位人员工资收入分配实施办法，核准和监督国有企业管理人员薪酬水平，落实最低工资制度，规范收入分配秩序。建立全区事业单位人员工资决定、正常增长和支付保障机制。组织实施和监督检查企事业人员福利和离退休政策。</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七）拟定人才工作有关目标，参与全区人才工作的指导、组织、协调和管理，承办有关人才工作。推动建立健全市场化、社会化的人才管理服务体系。负责人事考试工作。负责人才分类评价机制推进实施，牵头推进深化职称制度改革，落实专业技术人员管理、继续教育和博士后管理等政策，负责高层次专业技术人才选拔和培养，拟定吸引留学人员来满（回国）工作或定居政策。组织实施技能人才培养、评价、使用和激励制度。完善职业资格制度，健全职业技能多元化评价政策。</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八）研究拟定全区事业单位人员宏观管理政策，会同有关部门指导事业单位人事制度改革，按照管理权限制定事业单位招聘计划，负责规范事业单位岗位设置、公开招聘、聘用等人事综合管理工作，合理控制财政供养人员增长，落实事业单位工作人员和机关工勤人员管理政策。</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（九）会同有关部门拟定农民工综合性政策和规划，推动相关政策落实，协调解决重点难点问题，维护农民工合法权益。</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贯彻落实劳动、人事争议调解仲裁制度和劳动关系政策，完善劳动关系协商协调机制，贯彻落实职工工作时间、休息休假和假期相关政策，贯彻落实消除非法使用童工政策和女工、未成年工的特殊劳动保护政策，组织实施劳动监察，协调劳动维权工作，依法查处违法案件。</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（十一）负责规划和管理全区职业培训机构。</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（十二）负责全区评比达标表彰和创建示范工作的综合管理、审核备案、监督检查。组织指导区直各部门评比达标表彰活动。负责全区功勋荣誉表彰奖励获得者管理，落实享受待遇的相关政策。</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（十三）承办区委、区政府交办的其他事项。</w:t>
      </w:r>
    </w:p>
    <w:p>
      <w:pPr>
        <w:pStyle w:val="2"/>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lang w:val="en-US" w:eastAsia="zh-CN"/>
        </w:rPr>
        <w:t>二、机构设置</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 xml:space="preserve">年度本部门决算汇编范围的独立核算单位（以下简称“单位”）共 </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 xml:space="preserve"> 个，具体情况如下：</w:t>
      </w:r>
    </w:p>
    <w:p>
      <w:pPr>
        <w:spacing w:line="580" w:lineRule="exact"/>
        <w:ind w:firstLine="640" w:firstLineChars="200"/>
        <w:rPr>
          <w:rFonts w:hint="eastAsia" w:ascii="仿宋_GB2312" w:hAnsi="Calibri" w:eastAsia="仿宋_GB2312" w:cs="Arial Black"/>
          <w:kern w:val="0"/>
          <w:sz w:val="32"/>
          <w:szCs w:val="32"/>
        </w:rPr>
      </w:pP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vAlign w:val="center"/>
          </w:tcPr>
          <w:p>
            <w:pPr>
              <w:widowControl/>
              <w:jc w:val="center"/>
              <w:rPr>
                <w:rFonts w:hint="eastAsia" w:ascii="方正仿宋简体" w:hAnsi="宋体" w:eastAsia="方正仿宋简体" w:cs="宋体"/>
                <w:color w:val="000000"/>
                <w:kern w:val="0"/>
                <w:sz w:val="24"/>
                <w:szCs w:val="24"/>
                <w:lang w:val="en-US" w:eastAsia="zh-CN" w:bidi="ar-SA"/>
              </w:rPr>
            </w:pPr>
            <w:r>
              <w:rPr>
                <w:rFonts w:hint="eastAsia" w:ascii="方正仿宋简体" w:hAnsi="宋体" w:eastAsia="方正仿宋简体" w:cs="宋体"/>
                <w:color w:val="000000"/>
                <w:kern w:val="0"/>
                <w:sz w:val="24"/>
                <w:szCs w:val="24"/>
              </w:rPr>
              <w:t>保定市满城区人力资源和社会保障局</w:t>
            </w:r>
            <w:r>
              <w:rPr>
                <w:rFonts w:hint="eastAsia" w:ascii="方正仿宋简体" w:hAnsi="宋体" w:eastAsia="方正仿宋简体" w:cs="宋体"/>
                <w:color w:val="000000"/>
                <w:kern w:val="0"/>
                <w:sz w:val="24"/>
                <w:szCs w:val="24"/>
                <w:lang w:eastAsia="zh-CN"/>
              </w:rPr>
              <w:t>（本级）</w:t>
            </w:r>
          </w:p>
        </w:tc>
        <w:tc>
          <w:tcPr>
            <w:tcW w:w="2404" w:type="dxa"/>
            <w:vAlign w:val="center"/>
          </w:tcPr>
          <w:p>
            <w:pPr>
              <w:widowControl/>
              <w:jc w:val="center"/>
              <w:rPr>
                <w:rFonts w:ascii="方正仿宋简体" w:hAnsi="宋体" w:eastAsia="方正仿宋简体" w:cs="宋体"/>
                <w:color w:val="000000"/>
                <w:kern w:val="0"/>
                <w:sz w:val="24"/>
                <w:szCs w:val="24"/>
                <w:lang w:val="en-US" w:eastAsia="zh-CN" w:bidi="ar-SA"/>
              </w:rPr>
            </w:pPr>
            <w:r>
              <w:rPr>
                <w:rFonts w:hint="eastAsia" w:ascii="方正仿宋简体" w:hAnsi="宋体" w:eastAsia="方正仿宋简体" w:cs="宋体"/>
                <w:color w:val="000000"/>
                <w:kern w:val="0"/>
                <w:sz w:val="24"/>
                <w:szCs w:val="24"/>
              </w:rPr>
              <w:t>行政</w:t>
            </w:r>
          </w:p>
        </w:tc>
        <w:tc>
          <w:tcPr>
            <w:tcW w:w="2622" w:type="dxa"/>
            <w:vAlign w:val="center"/>
          </w:tcPr>
          <w:p>
            <w:pPr>
              <w:widowControl/>
              <w:jc w:val="center"/>
              <w:rPr>
                <w:rFonts w:ascii="方正仿宋简体" w:hAnsi="宋体" w:eastAsia="方正仿宋简体" w:cs="宋体"/>
                <w:color w:val="000000"/>
                <w:kern w:val="0"/>
                <w:sz w:val="24"/>
                <w:szCs w:val="24"/>
                <w:lang w:val="en-US" w:eastAsia="zh-CN" w:bidi="ar-SA"/>
              </w:rPr>
            </w:pPr>
            <w:r>
              <w:rPr>
                <w:rFonts w:hint="eastAsia" w:ascii="方正仿宋简体" w:hAnsi="宋体" w:eastAsia="方正仿宋简体" w:cs="宋体"/>
                <w:color w:val="000000"/>
                <w:kern w:val="0"/>
                <w:sz w:val="24"/>
                <w:szCs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p>
        </w:tc>
        <w:tc>
          <w:tcPr>
            <w:tcW w:w="3426" w:type="dxa"/>
            <w:vAlign w:val="center"/>
          </w:tcPr>
          <w:p>
            <w:pPr>
              <w:widowControl/>
              <w:jc w:val="center"/>
              <w:rPr>
                <w:rFonts w:ascii="方正仿宋简体" w:hAnsi="宋体" w:eastAsia="方正仿宋简体" w:cs="宋体"/>
                <w:color w:val="000000"/>
                <w:kern w:val="0"/>
                <w:sz w:val="24"/>
                <w:szCs w:val="24"/>
                <w:lang w:val="en-US" w:eastAsia="zh-CN" w:bidi="ar-SA"/>
              </w:rPr>
            </w:pPr>
          </w:p>
        </w:tc>
        <w:tc>
          <w:tcPr>
            <w:tcW w:w="2404" w:type="dxa"/>
            <w:vAlign w:val="center"/>
          </w:tcPr>
          <w:p>
            <w:pPr>
              <w:widowControl/>
              <w:jc w:val="center"/>
              <w:rPr>
                <w:rFonts w:ascii="方正仿宋简体" w:hAnsi="宋体" w:eastAsia="方正仿宋简体" w:cs="宋体"/>
                <w:color w:val="000000"/>
                <w:kern w:val="0"/>
                <w:sz w:val="24"/>
                <w:szCs w:val="24"/>
                <w:lang w:val="en-US" w:eastAsia="zh-CN" w:bidi="ar-SA"/>
              </w:rPr>
            </w:pPr>
          </w:p>
        </w:tc>
        <w:tc>
          <w:tcPr>
            <w:tcW w:w="2622" w:type="dxa"/>
            <w:vAlign w:val="center"/>
          </w:tcPr>
          <w:p>
            <w:pPr>
              <w:widowControl/>
              <w:jc w:val="center"/>
              <w:rPr>
                <w:rFonts w:ascii="方正仿宋简体" w:hAnsi="宋体" w:eastAsia="方正仿宋简体" w:cs="宋体"/>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p>
        </w:tc>
        <w:tc>
          <w:tcPr>
            <w:tcW w:w="3426" w:type="dxa"/>
            <w:vAlign w:val="center"/>
          </w:tcPr>
          <w:p>
            <w:pPr>
              <w:widowControl/>
              <w:jc w:val="center"/>
              <w:rPr>
                <w:rFonts w:ascii="方正仿宋简体" w:hAnsi="宋体" w:eastAsia="方正仿宋简体" w:cs="宋体"/>
                <w:color w:val="000000"/>
                <w:kern w:val="0"/>
                <w:sz w:val="24"/>
                <w:szCs w:val="24"/>
                <w:lang w:val="en-US" w:eastAsia="zh-CN" w:bidi="ar-SA"/>
              </w:rPr>
            </w:pPr>
          </w:p>
        </w:tc>
        <w:tc>
          <w:tcPr>
            <w:tcW w:w="2404" w:type="dxa"/>
            <w:vAlign w:val="center"/>
          </w:tcPr>
          <w:p>
            <w:pPr>
              <w:widowControl/>
              <w:jc w:val="center"/>
              <w:rPr>
                <w:rFonts w:ascii="方正仿宋简体" w:hAnsi="宋体" w:eastAsia="方正仿宋简体" w:cs="宋体"/>
                <w:color w:val="000000"/>
                <w:kern w:val="0"/>
                <w:sz w:val="24"/>
                <w:szCs w:val="24"/>
                <w:lang w:val="en-US" w:eastAsia="zh-CN" w:bidi="ar-SA"/>
              </w:rPr>
            </w:pPr>
          </w:p>
        </w:tc>
        <w:tc>
          <w:tcPr>
            <w:tcW w:w="2622" w:type="dxa"/>
            <w:vAlign w:val="center"/>
          </w:tcPr>
          <w:p>
            <w:pPr>
              <w:widowControl/>
              <w:jc w:val="center"/>
              <w:rPr>
                <w:rFonts w:ascii="方正仿宋简体" w:hAnsi="宋体" w:eastAsia="方正仿宋简体" w:cs="宋体"/>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center"/>
              <w:rPr>
                <w:rFonts w:hint="eastAsia" w:ascii="仿宋_GB2312" w:hAnsi="Calibri" w:eastAsia="仿宋_GB2312" w:cs="Arial Black"/>
                <w:kern w:val="0"/>
                <w:sz w:val="28"/>
                <w:szCs w:val="28"/>
                <w:lang w:eastAsia="zh-CN"/>
              </w:rPr>
            </w:pPr>
          </w:p>
        </w:tc>
        <w:tc>
          <w:tcPr>
            <w:tcW w:w="3426" w:type="dxa"/>
            <w:tcBorders>
              <w:bottom w:val="single" w:color="auto" w:sz="4" w:space="0"/>
            </w:tcBorders>
            <w:vAlign w:val="center"/>
          </w:tcPr>
          <w:p>
            <w:pPr>
              <w:widowControl/>
              <w:jc w:val="center"/>
              <w:rPr>
                <w:rFonts w:ascii="方正仿宋简体" w:hAnsi="宋体" w:eastAsia="方正仿宋简体" w:cs="宋体"/>
                <w:color w:val="000000"/>
                <w:kern w:val="0"/>
                <w:sz w:val="24"/>
                <w:szCs w:val="24"/>
                <w:lang w:val="en-US" w:eastAsia="zh-CN" w:bidi="ar-SA"/>
              </w:rPr>
            </w:pPr>
          </w:p>
        </w:tc>
        <w:tc>
          <w:tcPr>
            <w:tcW w:w="2404" w:type="dxa"/>
            <w:tcBorders>
              <w:bottom w:val="single" w:color="auto" w:sz="4" w:space="0"/>
            </w:tcBorders>
            <w:vAlign w:val="center"/>
          </w:tcPr>
          <w:p>
            <w:pPr>
              <w:widowControl/>
              <w:jc w:val="center"/>
              <w:rPr>
                <w:rFonts w:ascii="方正仿宋简体" w:hAnsi="宋体" w:eastAsia="方正仿宋简体" w:cs="宋体"/>
                <w:color w:val="000000"/>
                <w:kern w:val="0"/>
                <w:sz w:val="24"/>
                <w:szCs w:val="24"/>
                <w:lang w:val="en-US" w:eastAsia="zh-CN" w:bidi="ar-SA"/>
              </w:rPr>
            </w:pPr>
          </w:p>
        </w:tc>
        <w:tc>
          <w:tcPr>
            <w:tcW w:w="2622" w:type="dxa"/>
            <w:tcBorders>
              <w:bottom w:val="single" w:color="auto" w:sz="4" w:space="0"/>
            </w:tcBorders>
            <w:vAlign w:val="center"/>
          </w:tcPr>
          <w:p>
            <w:pPr>
              <w:widowControl/>
              <w:jc w:val="center"/>
              <w:rPr>
                <w:rFonts w:ascii="方正仿宋简体" w:hAnsi="宋体" w:eastAsia="方正仿宋简体" w:cs="宋体"/>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131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2336"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2336;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859.00万元</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13565.69</w:t>
      </w:r>
      <w:r>
        <w:rPr>
          <w:rFonts w:hint="eastAsia" w:ascii="仿宋_GB2312" w:hAnsi="Times New Roman" w:eastAsia="仿宋_GB2312" w:cs="Wingdings"/>
          <w:sz w:val="32"/>
          <w:szCs w:val="32"/>
        </w:rPr>
        <w:t>万元。与2019年度决算32877.04</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含结转和结余</w:t>
      </w:r>
      <w:r>
        <w:rPr>
          <w:rFonts w:hint="eastAsia" w:ascii="仿宋_GB2312" w:hAnsi="Times New Roman" w:eastAsia="仿宋_GB2312" w:cs="Wingdings"/>
          <w:sz w:val="32"/>
          <w:szCs w:val="32"/>
          <w:lang w:val="en-US" w:eastAsia="zh-CN"/>
        </w:rPr>
        <w:t>800.00万元</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相比，收支各减少</w:t>
      </w:r>
      <w:r>
        <w:rPr>
          <w:rFonts w:hint="eastAsia" w:ascii="仿宋_GB2312" w:hAnsi="Times New Roman" w:eastAsia="仿宋_GB2312" w:cs="Wingdings"/>
          <w:sz w:val="32"/>
          <w:szCs w:val="32"/>
          <w:lang w:val="en-US" w:eastAsia="zh-CN"/>
        </w:rPr>
        <w:t>19311.35</w:t>
      </w:r>
      <w:r>
        <w:rPr>
          <w:rFonts w:hint="eastAsia" w:ascii="仿宋_GB2312" w:hAnsi="Times New Roman" w:eastAsia="仿宋_GB2312" w:cs="Wingdings"/>
          <w:sz w:val="32"/>
          <w:szCs w:val="32"/>
        </w:rPr>
        <w:t>万元，下降</w:t>
      </w:r>
      <w:r>
        <w:rPr>
          <w:rFonts w:hint="eastAsia" w:ascii="仿宋_GB2312" w:hAnsi="Times New Roman" w:eastAsia="仿宋_GB2312" w:cs="Wingdings"/>
          <w:sz w:val="32"/>
          <w:szCs w:val="32"/>
          <w:lang w:val="en-US" w:eastAsia="zh-CN"/>
        </w:rPr>
        <w:t>58.74</w:t>
      </w:r>
      <w:r>
        <w:rPr>
          <w:rFonts w:hint="eastAsia" w:ascii="仿宋_GB2312" w:hAnsi="Times New Roman" w:eastAsia="仿宋_GB2312" w:cs="Wingdings"/>
          <w:sz w:val="32"/>
          <w:szCs w:val="32"/>
        </w:rPr>
        <w:t>%，主要原因</w:t>
      </w:r>
      <w:r>
        <w:rPr>
          <w:rFonts w:hint="eastAsia" w:ascii="仿宋_GB2312" w:hAnsi="Times New Roman" w:eastAsia="仿宋_GB2312" w:cs="Wingdings"/>
          <w:sz w:val="32"/>
          <w:szCs w:val="32"/>
          <w:lang w:eastAsia="zh-CN"/>
        </w:rPr>
        <w:t>是</w:t>
      </w:r>
      <w:r>
        <w:rPr>
          <w:rFonts w:hint="eastAsia" w:ascii="仿宋_GB2312" w:hAnsi="Times New Roman" w:eastAsia="仿宋_GB2312" w:cs="Wingdings"/>
          <w:sz w:val="32"/>
          <w:szCs w:val="32"/>
        </w:rPr>
        <w:t>政府机构改革，原医保所和城乡医保中心工作职能划归医疗保障局</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人员变化较大</w:t>
      </w:r>
      <w:r>
        <w:rPr>
          <w:rFonts w:hint="eastAsia" w:ascii="仿宋_GB2312" w:hAnsi="Times New Roman" w:eastAsia="仿宋_GB2312" w:cs="Wingdings"/>
          <w:sz w:val="32"/>
          <w:szCs w:val="32"/>
          <w:lang w:eastAsia="zh-CN"/>
        </w:rPr>
        <w:t>，人员经费、项目支出减少。</w:t>
      </w:r>
    </w:p>
    <w:p>
      <w:pPr>
        <w:adjustRightInd w:val="0"/>
        <w:snapToGrid w:val="0"/>
        <w:spacing w:line="600" w:lineRule="exact"/>
        <w:rPr>
          <w:rFonts w:ascii="仿宋_GB2312" w:hAnsi="Times New Roman" w:eastAsia="仿宋_GB2312" w:cs="Wingdings"/>
          <w:sz w:val="32"/>
          <w:szCs w:val="32"/>
        </w:rPr>
      </w:pPr>
      <w:r>
        <w:drawing>
          <wp:anchor distT="0" distB="0" distL="114300" distR="114300" simplePos="0" relativeHeight="251664384" behindDoc="0" locked="0" layoutInCell="1" allowOverlap="1">
            <wp:simplePos x="0" y="0"/>
            <wp:positionH relativeFrom="column">
              <wp:posOffset>785495</wp:posOffset>
            </wp:positionH>
            <wp:positionV relativeFrom="paragraph">
              <wp:posOffset>213995</wp:posOffset>
            </wp:positionV>
            <wp:extent cx="3790950" cy="2305050"/>
            <wp:effectExtent l="4445" t="4445" r="14605" b="14605"/>
            <wp:wrapNone/>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1108.05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8.72</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11598.64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91.28</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%。如图所示：</w:t>
      </w:r>
    </w:p>
    <w:p>
      <w:pPr>
        <w:adjustRightInd w:val="0"/>
        <w:snapToGrid w:val="0"/>
        <w:spacing w:line="600" w:lineRule="exact"/>
        <w:ind w:firstLine="420" w:firstLineChars="200"/>
        <w:rPr>
          <w:rFonts w:hint="eastAsia" w:ascii="仿宋_GB2312" w:hAnsi="Times New Roman" w:eastAsia="仿宋_GB2312" w:cs="Wingdings"/>
          <w:sz w:val="32"/>
          <w:szCs w:val="32"/>
        </w:rPr>
      </w:pPr>
      <w:r>
        <w:drawing>
          <wp:anchor distT="0" distB="0" distL="114300" distR="114300" simplePos="0" relativeHeight="251665408" behindDoc="0" locked="0" layoutInCell="1" allowOverlap="1">
            <wp:simplePos x="0" y="0"/>
            <wp:positionH relativeFrom="column">
              <wp:posOffset>452120</wp:posOffset>
            </wp:positionH>
            <wp:positionV relativeFrom="paragraph">
              <wp:posOffset>89535</wp:posOffset>
            </wp:positionV>
            <wp:extent cx="4780915" cy="2486025"/>
            <wp:effectExtent l="4445" t="4445" r="15240" b="5080"/>
            <wp:wrapNone/>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3" w:firstLineChars="200"/>
        <w:outlineLvl w:val="1"/>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万元,比2019年度减少</w:t>
      </w:r>
      <w:r>
        <w:rPr>
          <w:rFonts w:hint="eastAsia" w:ascii="仿宋_GB2312" w:hAnsi="Times New Roman" w:eastAsia="仿宋_GB2312" w:cs="Wingdings"/>
          <w:sz w:val="32"/>
          <w:szCs w:val="32"/>
          <w:lang w:val="en-US" w:eastAsia="zh-CN"/>
        </w:rPr>
        <w:t>19370.35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60.39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由于</w:t>
      </w:r>
      <w:r>
        <w:rPr>
          <w:rFonts w:hint="eastAsia" w:ascii="仿宋_GB2312" w:hAnsi="Times New Roman" w:eastAsia="仿宋_GB2312" w:cs="Wingdings"/>
          <w:sz w:val="32"/>
          <w:szCs w:val="32"/>
        </w:rPr>
        <w:t>政府机构改革，原医保所和城乡医保中心工作职能划归医疗保障局</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人员变化较大</w:t>
      </w:r>
      <w:r>
        <w:rPr>
          <w:rFonts w:hint="eastAsia" w:ascii="仿宋_GB2312" w:hAnsi="Times New Roman" w:eastAsia="仿宋_GB2312" w:cs="Wingdings"/>
          <w:sz w:val="32"/>
          <w:szCs w:val="32"/>
          <w:lang w:eastAsia="zh-CN"/>
        </w:rPr>
        <w:t>，人员经费、项目支出减少</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万元，减少</w:t>
      </w:r>
      <w:r>
        <w:rPr>
          <w:rFonts w:hint="eastAsia" w:ascii="仿宋_GB2312" w:hAnsi="Times New Roman" w:eastAsia="仿宋_GB2312" w:cs="Wingdings"/>
          <w:sz w:val="32"/>
          <w:szCs w:val="32"/>
          <w:lang w:val="en-US" w:eastAsia="zh-CN"/>
        </w:rPr>
        <w:t>19370.35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60.39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由于</w:t>
      </w:r>
      <w:r>
        <w:rPr>
          <w:rFonts w:hint="eastAsia" w:ascii="仿宋_GB2312" w:hAnsi="Times New Roman" w:eastAsia="仿宋_GB2312" w:cs="Wingdings"/>
          <w:sz w:val="32"/>
          <w:szCs w:val="32"/>
        </w:rPr>
        <w:t>政府机构改革，原医保所和城乡医保中心工作职能划归医疗保障局</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人员变化较大</w:t>
      </w:r>
      <w:r>
        <w:rPr>
          <w:rFonts w:hint="eastAsia" w:ascii="仿宋_GB2312" w:hAnsi="Times New Roman" w:eastAsia="仿宋_GB2312" w:cs="Wingdings"/>
          <w:sz w:val="32"/>
          <w:szCs w:val="32"/>
          <w:lang w:eastAsia="zh-CN"/>
        </w:rPr>
        <w:t>，人员经费、项目支出减少</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420" w:firstLineChars="200"/>
        <w:rPr>
          <w:rFonts w:hint="eastAsia" w:ascii="仿宋_GB2312" w:hAnsi="Times New Roman" w:eastAsia="仿宋_GB2312" w:cs="Wingdings"/>
          <w:sz w:val="32"/>
          <w:szCs w:val="32"/>
          <w:highlight w:val="yellow"/>
        </w:rPr>
      </w:pPr>
      <w:r>
        <w:drawing>
          <wp:anchor distT="0" distB="0" distL="114300" distR="114300" simplePos="0" relativeHeight="251666432" behindDoc="0" locked="0" layoutInCell="1" allowOverlap="1">
            <wp:simplePos x="0" y="0"/>
            <wp:positionH relativeFrom="column">
              <wp:posOffset>518795</wp:posOffset>
            </wp:positionH>
            <wp:positionV relativeFrom="paragraph">
              <wp:posOffset>-989965</wp:posOffset>
            </wp:positionV>
            <wp:extent cx="4610100" cy="2866390"/>
            <wp:effectExtent l="4445" t="4445" r="14605" b="5715"/>
            <wp:wrapNone/>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adjustRightInd w:val="0"/>
        <w:snapToGrid w:val="0"/>
        <w:spacing w:line="600" w:lineRule="exact"/>
        <w:ind w:firstLine="640" w:firstLineChars="200"/>
        <w:rPr>
          <w:rFonts w:hint="eastAsia" w:ascii="仿宋_GB2312" w:hAnsi="Times New Roman" w:eastAsia="仿宋_GB2312" w:cs="Wingdings"/>
          <w:sz w:val="32"/>
          <w:szCs w:val="32"/>
          <w:highlight w:val="yellow"/>
        </w:rPr>
      </w:pP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75.52</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4118.71</w:t>
      </w:r>
      <w:r>
        <w:rPr>
          <w:rFonts w:hint="eastAsia" w:ascii="仿宋_GB2312" w:hAnsi="Times New Roman" w:eastAsia="仿宋_GB2312" w:cs="Wingdings"/>
          <w:sz w:val="32"/>
          <w:szCs w:val="32"/>
        </w:rPr>
        <w:t>万元，决算数小于预算数主要原因是厉行节约，勤俭办事，减少了经费支出；本年支出</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75.52</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4118.71</w:t>
      </w:r>
      <w:r>
        <w:rPr>
          <w:rFonts w:hint="eastAsia" w:ascii="仿宋_GB2312" w:hAnsi="Times New Roman" w:eastAsia="仿宋_GB2312" w:cs="Wingdings"/>
          <w:sz w:val="32"/>
          <w:szCs w:val="32"/>
        </w:rPr>
        <w:t>万元，决算数小于预算数主要原因是主要是由于厉行节约，勤俭办事，减少了经费支出。</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12706.69</w:t>
      </w:r>
      <w:r>
        <w:rPr>
          <w:rFonts w:hint="eastAsia" w:ascii="仿宋_GB2312" w:hAnsi="Times New Roman" w:eastAsia="仿宋_GB2312" w:cs="Wingdings"/>
          <w:sz w:val="32"/>
          <w:szCs w:val="32"/>
        </w:rPr>
        <w:t>万元，主要用于以下方面：一般公共服务（类）支出</w:t>
      </w:r>
      <w:r>
        <w:rPr>
          <w:rFonts w:hint="eastAsia" w:ascii="仿宋_GB2312" w:hAnsi="Times New Roman" w:eastAsia="仿宋_GB2312" w:cs="Wingdings"/>
          <w:sz w:val="32"/>
          <w:szCs w:val="32"/>
          <w:lang w:val="en-US" w:eastAsia="zh-CN"/>
        </w:rPr>
        <w:t>783.59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6.17</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11793.87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92.81</w:t>
      </w:r>
      <w:r>
        <w:rPr>
          <w:rFonts w:hint="eastAsia" w:ascii="仿宋_GB2312" w:hAnsi="Times New Roman" w:eastAsia="仿宋_GB2312" w:cs="Wingdings"/>
          <w:sz w:val="32"/>
          <w:szCs w:val="32"/>
        </w:rPr>
        <w:t>%；卫生健康</w:t>
      </w:r>
      <w:r>
        <w:rPr>
          <w:rFonts w:hint="eastAsia" w:ascii="仿宋_GB2312" w:hAnsi="Times New Roman" w:eastAsia="仿宋_GB2312" w:cs="Wingdings"/>
          <w:sz w:val="32"/>
          <w:szCs w:val="32"/>
          <w:lang w:eastAsia="zh-CN"/>
        </w:rPr>
        <w:t>（类）</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45.75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0.36</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；节能环保（类）支出</w:t>
      </w:r>
      <w:r>
        <w:rPr>
          <w:rFonts w:hint="eastAsia" w:ascii="仿宋_GB2312" w:hAnsi="Times New Roman" w:eastAsia="仿宋_GB2312" w:cs="Wingdings"/>
          <w:sz w:val="32"/>
          <w:szCs w:val="32"/>
          <w:lang w:val="en-US" w:eastAsia="zh-CN"/>
        </w:rPr>
        <w:t>6.15万元，占0.05%；</w:t>
      </w:r>
      <w:r>
        <w:rPr>
          <w:rFonts w:hint="eastAsia" w:ascii="仿宋_GB2312" w:hAnsi="Times New Roman" w:eastAsia="仿宋_GB2312" w:cs="Wingdings"/>
          <w:sz w:val="32"/>
          <w:szCs w:val="32"/>
          <w:lang w:eastAsia="zh-CN"/>
        </w:rPr>
        <w:t>农林水（类）支出</w:t>
      </w:r>
      <w:r>
        <w:rPr>
          <w:rFonts w:hint="eastAsia" w:ascii="仿宋_GB2312" w:hAnsi="Times New Roman" w:eastAsia="仿宋_GB2312" w:cs="Wingdings"/>
          <w:sz w:val="32"/>
          <w:szCs w:val="32"/>
          <w:lang w:val="en-US" w:eastAsia="zh-CN"/>
        </w:rPr>
        <w:t>13.42万元，占0.11%；</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63.91</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0.50</w:t>
      </w:r>
      <w:r>
        <w:rPr>
          <w:rFonts w:hint="eastAsia" w:ascii="仿宋_GB2312" w:hAnsi="Times New Roman" w:eastAsia="仿宋_GB2312" w:cs="Wingdings"/>
          <w:sz w:val="32"/>
          <w:szCs w:val="32"/>
        </w:rPr>
        <w:t>%。</w:t>
      </w:r>
    </w:p>
    <w:p>
      <w:pPr>
        <w:adjustRightInd w:val="0"/>
        <w:snapToGrid w:val="0"/>
        <w:spacing w:line="600" w:lineRule="exact"/>
        <w:rPr>
          <w:rFonts w:hint="eastAsia" w:ascii="楷体_GB2312" w:hAnsi="Times New Roman" w:eastAsia="楷体_GB2312" w:cs="Mongolian Baiti"/>
          <w:b/>
          <w:bCs/>
          <w:sz w:val="32"/>
          <w:szCs w:val="32"/>
          <w:lang w:eastAsia="zh-CN"/>
        </w:rPr>
      </w:pPr>
      <w:r>
        <w:drawing>
          <wp:anchor distT="0" distB="0" distL="114300" distR="114300" simplePos="0" relativeHeight="251667456" behindDoc="0" locked="0" layoutInCell="1" allowOverlap="1">
            <wp:simplePos x="0" y="0"/>
            <wp:positionH relativeFrom="column">
              <wp:posOffset>404495</wp:posOffset>
            </wp:positionH>
            <wp:positionV relativeFrom="paragraph">
              <wp:posOffset>270510</wp:posOffset>
            </wp:positionV>
            <wp:extent cx="5076190" cy="3771265"/>
            <wp:effectExtent l="4445" t="4445" r="5715" b="15240"/>
            <wp:wrapNone/>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1108.05</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1043.04</w:t>
      </w:r>
      <w:r>
        <w:rPr>
          <w:rFonts w:hint="eastAsia" w:ascii="仿宋_GB2312" w:hAnsi="Times New Roman" w:eastAsia="仿宋_GB2312" w:cs="Wingdings"/>
          <w:sz w:val="32"/>
          <w:szCs w:val="32"/>
        </w:rPr>
        <w:t xml:space="preserve">万元，主要包括基本工资、津贴补贴、奖金、绩效工资、机关事业单位基本养老保险缴费、职业年金缴费、职工基本医疗保险缴费、其他社会保障缴费、住房公积金、其他工资福利支出、退休费、生活补助、奖励金、其他对个人和家庭的补助支出；公用经费 </w:t>
      </w:r>
      <w:r>
        <w:rPr>
          <w:rFonts w:hint="eastAsia" w:ascii="仿宋_GB2312" w:hAnsi="Times New Roman" w:eastAsia="仿宋_GB2312" w:cs="Wingdings"/>
          <w:sz w:val="32"/>
          <w:szCs w:val="32"/>
          <w:lang w:val="en-US" w:eastAsia="zh-CN"/>
        </w:rPr>
        <w:t>65.01</w:t>
      </w:r>
      <w:r>
        <w:rPr>
          <w:rFonts w:hint="eastAsia" w:ascii="仿宋_GB2312" w:hAnsi="Times New Roman" w:eastAsia="仿宋_GB2312" w:cs="Wingdings"/>
          <w:sz w:val="32"/>
          <w:szCs w:val="32"/>
        </w:rPr>
        <w:t>万元，主要包括办公费、邮电费、取暖费、公务用车运行维护费、其他交通费用、其他商品和服务支出。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10.00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3.33万</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33.30</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6.67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66.70</w:t>
      </w:r>
      <w:r>
        <w:rPr>
          <w:rFonts w:hint="eastAsia" w:ascii="仿宋_GB2312" w:hAnsi="Times New Roman" w:eastAsia="仿宋_GB2312" w:cs="Wingdings"/>
          <w:sz w:val="32"/>
          <w:szCs w:val="32"/>
        </w:rPr>
        <w:t>%，主要是由于认真贯彻落实中央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精神和厉行节约要求，从严控制“三公”经费开支，全年实际支出比预算有所节约；较2019年度减少</w:t>
      </w:r>
      <w:r>
        <w:rPr>
          <w:rFonts w:hint="eastAsia" w:ascii="仿宋_GB2312" w:hAnsi="Times New Roman" w:eastAsia="仿宋_GB2312" w:cs="Wingdings"/>
          <w:sz w:val="32"/>
          <w:szCs w:val="32"/>
          <w:lang w:val="en-US" w:eastAsia="zh-CN"/>
        </w:rPr>
        <w:t>2.74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45.14</w:t>
      </w:r>
      <w:r>
        <w:rPr>
          <w:rFonts w:hint="eastAsia" w:ascii="仿宋_GB2312" w:hAnsi="Times New Roman" w:eastAsia="仿宋_GB2312" w:cs="Wingdings"/>
          <w:sz w:val="32"/>
          <w:szCs w:val="32"/>
        </w:rPr>
        <w:t>%，主要是由于认真贯彻落实中央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精神和厉行节约要求，从严控制“三公”经费开支，全年实际支出比</w:t>
      </w:r>
      <w:r>
        <w:rPr>
          <w:rFonts w:hint="eastAsia" w:ascii="仿宋_GB2312" w:hAnsi="Times New Roman" w:eastAsia="仿宋_GB2312" w:cs="Wingdings"/>
          <w:sz w:val="32"/>
          <w:szCs w:val="32"/>
          <w:lang w:eastAsia="zh-CN"/>
        </w:rPr>
        <w:t>去年</w:t>
      </w:r>
      <w:r>
        <w:rPr>
          <w:rFonts w:hint="eastAsia" w:ascii="仿宋_GB2312" w:hAnsi="Times New Roman" w:eastAsia="仿宋_GB2312" w:cs="Wingdings"/>
          <w:sz w:val="32"/>
          <w:szCs w:val="32"/>
        </w:rPr>
        <w:t>有所节约。</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Times New Roman" w:eastAsia="仿宋_GB2312" w:cs="Wingdings"/>
          <w:sz w:val="32"/>
          <w:szCs w:val="32"/>
        </w:rPr>
        <w:t>本部门2020</w:t>
      </w:r>
      <w:r>
        <w:rPr>
          <w:rFonts w:hint="eastAsia" w:ascii="仿宋_GB2312" w:hAnsi="Times New Roman" w:eastAsia="仿宋_GB2312" w:cs="Wingdings"/>
          <w:sz w:val="32"/>
          <w:szCs w:val="32"/>
          <w:lang w:val="en-US" w:eastAsia="zh-CN"/>
        </w:rPr>
        <w:t>年因公出国（境）费</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因公出国（境）费支出与年初预算持平</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主要是本部门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年度未发生因公出国（境）经费支出；</w:t>
      </w:r>
      <w:r>
        <w:rPr>
          <w:rFonts w:hint="eastAsia" w:ascii="仿宋_GB2312" w:hAnsi="Times New Roman" w:eastAsia="仿宋_GB2312" w:cs="Wingdings"/>
          <w:sz w:val="32"/>
          <w:szCs w:val="32"/>
          <w:lang w:eastAsia="zh-CN"/>
        </w:rPr>
        <w:t>与</w:t>
      </w:r>
      <w:r>
        <w:rPr>
          <w:rFonts w:hint="eastAsia" w:ascii="仿宋_GB2312" w:hAnsi="Times New Roman" w:eastAsia="仿宋_GB2312" w:cs="Wingdings"/>
          <w:sz w:val="32"/>
          <w:szCs w:val="32"/>
          <w:lang w:val="en-US" w:eastAsia="zh-CN"/>
        </w:rPr>
        <w:t>2019年度决算支出持平，主要是</w:t>
      </w:r>
      <w:r>
        <w:rPr>
          <w:rFonts w:hint="eastAsia" w:ascii="仿宋_GB2312" w:hAnsi="Times New Roman" w:eastAsia="仿宋_GB2312" w:cs="Wingdings"/>
          <w:sz w:val="32"/>
          <w:szCs w:val="32"/>
        </w:rPr>
        <w:t>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w:t>
      </w:r>
      <w:r>
        <w:rPr>
          <w:rFonts w:hint="eastAsia" w:ascii="仿宋_GB2312" w:hAnsi="Times New Roman" w:eastAsia="仿宋_GB2312" w:cs="Wingdings"/>
          <w:sz w:val="32"/>
          <w:szCs w:val="32"/>
          <w:lang w:eastAsia="zh-CN"/>
        </w:rPr>
        <w:t>和</w:t>
      </w:r>
      <w:r>
        <w:rPr>
          <w:rFonts w:hint="eastAsia" w:ascii="仿宋_GB2312" w:hAnsi="Times New Roman" w:eastAsia="仿宋_GB2312" w:cs="Wingdings"/>
          <w:sz w:val="32"/>
          <w:szCs w:val="32"/>
          <w:lang w:val="en-US" w:eastAsia="zh-CN"/>
        </w:rPr>
        <w:t>2019年度均</w:t>
      </w:r>
      <w:r>
        <w:rPr>
          <w:rFonts w:hint="eastAsia" w:ascii="仿宋_GB2312" w:hAnsi="Times New Roman" w:eastAsia="仿宋_GB2312" w:cs="Wingdings"/>
          <w:sz w:val="32"/>
          <w:szCs w:val="32"/>
        </w:rPr>
        <w:t>未发生因公出国（境）经费支出。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Times New Roman" w:eastAsia="仿宋_GB2312" w:cs="Wingdings"/>
          <w:sz w:val="32"/>
          <w:szCs w:val="32"/>
          <w:lang w:eastAsia="zh-CN"/>
        </w:rPr>
        <w:t>本部门2020</w:t>
      </w:r>
      <w:r>
        <w:rPr>
          <w:rFonts w:hint="eastAsia" w:ascii="仿宋_GB2312" w:hAnsi="Times New Roman" w:eastAsia="仿宋_GB2312" w:cs="Wingdings"/>
          <w:sz w:val="32"/>
          <w:szCs w:val="32"/>
          <w:lang w:val="en-US" w:eastAsia="zh-CN"/>
        </w:rPr>
        <w:t>年</w:t>
      </w:r>
      <w:r>
        <w:rPr>
          <w:rFonts w:hint="eastAsia" w:ascii="仿宋_GB2312" w:hAnsi="Times New Roman" w:eastAsia="仿宋_GB2312" w:cs="Wingdings"/>
          <w:sz w:val="32"/>
          <w:szCs w:val="32"/>
        </w:rPr>
        <w:t>公务用车购置及运行维护费</w:t>
      </w:r>
      <w:r>
        <w:rPr>
          <w:rFonts w:hint="eastAsia" w:ascii="仿宋_GB2312" w:hAnsi="Times New Roman" w:eastAsia="仿宋_GB2312" w:cs="Wingdings"/>
          <w:sz w:val="32"/>
          <w:szCs w:val="32"/>
          <w:lang w:eastAsia="zh-CN"/>
        </w:rPr>
        <w:t>支出</w:t>
      </w:r>
      <w:r>
        <w:rPr>
          <w:rFonts w:hint="eastAsia" w:ascii="仿宋_GB2312" w:hAnsi="Times New Roman" w:eastAsia="仿宋_GB2312" w:cs="Wingdings"/>
          <w:sz w:val="32"/>
          <w:szCs w:val="32"/>
          <w:lang w:val="en-US" w:eastAsia="zh-CN"/>
        </w:rPr>
        <w:t>3.33</w:t>
      </w:r>
      <w:r>
        <w:rPr>
          <w:rFonts w:hint="eastAsia" w:ascii="仿宋_GB2312" w:hAnsi="Times New Roman" w:eastAsia="仿宋_GB2312" w:cs="Wingdings"/>
          <w:sz w:val="32"/>
          <w:szCs w:val="32"/>
          <w:lang w:eastAsia="zh-CN"/>
        </w:rPr>
        <w:t>万元，完成预算的</w:t>
      </w:r>
      <w:r>
        <w:rPr>
          <w:rFonts w:hint="eastAsia" w:ascii="仿宋_GB2312" w:hAnsi="Times New Roman" w:eastAsia="仿宋_GB2312" w:cs="Wingdings"/>
          <w:sz w:val="32"/>
          <w:szCs w:val="32"/>
          <w:lang w:val="en-US" w:eastAsia="zh-CN"/>
        </w:rPr>
        <w:t>33.30</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6.67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66.70</w:t>
      </w:r>
      <w:r>
        <w:rPr>
          <w:rFonts w:hint="eastAsia" w:ascii="仿宋_GB2312" w:hAnsi="Times New Roman" w:eastAsia="仿宋_GB2312" w:cs="Wingdings"/>
          <w:sz w:val="32"/>
          <w:szCs w:val="32"/>
        </w:rPr>
        <w:t>%,主要是由于认真贯彻落实中央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精神和厉行节约要求，从严控制“三公”经费开支，全年实际支出比预算有所节约；较上年减少</w:t>
      </w:r>
      <w:r>
        <w:rPr>
          <w:rFonts w:hint="eastAsia" w:ascii="仿宋_GB2312" w:hAnsi="Times New Roman" w:eastAsia="仿宋_GB2312" w:cs="Wingdings"/>
          <w:sz w:val="32"/>
          <w:szCs w:val="32"/>
          <w:lang w:val="en-US" w:eastAsia="zh-CN"/>
        </w:rPr>
        <w:t>2.74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45.14</w:t>
      </w:r>
      <w:r>
        <w:rPr>
          <w:rFonts w:hint="eastAsia" w:ascii="仿宋_GB2312" w:hAnsi="Times New Roman" w:eastAsia="仿宋_GB2312" w:cs="Wingdings"/>
          <w:sz w:val="32"/>
          <w:szCs w:val="32"/>
        </w:rPr>
        <w:t>%,主要是由于认真贯彻落实中央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精神和厉行节约要求，从严控制“三公”经费开支，全年实际支出比</w:t>
      </w:r>
      <w:r>
        <w:rPr>
          <w:rFonts w:hint="eastAsia" w:ascii="仿宋_GB2312" w:hAnsi="Times New Roman" w:eastAsia="仿宋_GB2312" w:cs="Wingdings"/>
          <w:sz w:val="32"/>
          <w:szCs w:val="32"/>
          <w:lang w:eastAsia="zh-CN"/>
        </w:rPr>
        <w:t>去年</w:t>
      </w:r>
      <w:r>
        <w:rPr>
          <w:rFonts w:hint="eastAsia" w:ascii="仿宋_GB2312" w:hAnsi="Times New Roman" w:eastAsia="仿宋_GB2312" w:cs="Wingdings"/>
          <w:sz w:val="32"/>
          <w:szCs w:val="32"/>
        </w:rPr>
        <w:t>有所节约。</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w:t>
      </w:r>
      <w:r>
        <w:rPr>
          <w:rFonts w:hint="eastAsia" w:ascii="仿宋_GB2312" w:hAnsi="Times New Roman" w:eastAsia="仿宋_GB2312" w:cs="Wingdings"/>
          <w:sz w:val="32"/>
          <w:szCs w:val="32"/>
          <w:lang w:eastAsia="zh-CN"/>
        </w:rPr>
        <w:t>与年初预算持平</w:t>
      </w:r>
      <w:r>
        <w:rPr>
          <w:rFonts w:hint="eastAsia" w:ascii="仿宋_GB2312" w:hAnsi="Times New Roman" w:eastAsia="仿宋_GB2312" w:cs="Wingdings"/>
          <w:sz w:val="32"/>
          <w:szCs w:val="32"/>
        </w:rPr>
        <w:t>，主要是本部门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年度未发生公务用车购置经费支出；</w:t>
      </w:r>
      <w:r>
        <w:rPr>
          <w:rFonts w:hint="eastAsia" w:ascii="仿宋_GB2312" w:hAnsi="Times New Roman" w:eastAsia="仿宋_GB2312" w:cs="Wingdings"/>
          <w:sz w:val="32"/>
          <w:szCs w:val="32"/>
          <w:lang w:eastAsia="zh-CN"/>
        </w:rPr>
        <w:t>与</w:t>
      </w:r>
      <w:r>
        <w:rPr>
          <w:rFonts w:hint="eastAsia" w:ascii="仿宋_GB2312" w:hAnsi="Times New Roman" w:eastAsia="仿宋_GB2312" w:cs="Wingdings"/>
          <w:sz w:val="32"/>
          <w:szCs w:val="32"/>
          <w:lang w:val="en-US" w:eastAsia="zh-CN"/>
        </w:rPr>
        <w:t>2019年度决算支出持平，</w:t>
      </w:r>
      <w:r>
        <w:rPr>
          <w:rFonts w:hint="eastAsia" w:ascii="仿宋_GB2312" w:hAnsi="Times New Roman" w:eastAsia="仿宋_GB2312" w:cs="Wingdings"/>
          <w:sz w:val="32"/>
          <w:szCs w:val="32"/>
        </w:rPr>
        <w:t>主要是本部门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w:t>
      </w:r>
      <w:r>
        <w:rPr>
          <w:rFonts w:hint="eastAsia" w:ascii="仿宋_GB2312" w:hAnsi="Times New Roman" w:eastAsia="仿宋_GB2312" w:cs="Wingdings"/>
          <w:sz w:val="32"/>
          <w:szCs w:val="32"/>
          <w:lang w:eastAsia="zh-CN"/>
        </w:rPr>
        <w:t>和</w:t>
      </w:r>
      <w:r>
        <w:rPr>
          <w:rFonts w:hint="eastAsia" w:ascii="仿宋_GB2312" w:hAnsi="Times New Roman" w:eastAsia="仿宋_GB2312" w:cs="Wingdings"/>
          <w:sz w:val="32"/>
          <w:szCs w:val="32"/>
          <w:lang w:val="en-US" w:eastAsia="zh-CN"/>
        </w:rPr>
        <w:t>2019年度均</w:t>
      </w:r>
      <w:r>
        <w:rPr>
          <w:rFonts w:hint="eastAsia" w:ascii="仿宋_GB2312" w:hAnsi="Times New Roman" w:eastAsia="仿宋_GB2312" w:cs="Wingdings"/>
          <w:sz w:val="32"/>
          <w:szCs w:val="32"/>
        </w:rPr>
        <w:t>未发生公务用车购置费支出。</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,发生运行维护费支出3.33万元，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6.67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66.70</w:t>
      </w:r>
      <w:r>
        <w:rPr>
          <w:rFonts w:hint="eastAsia" w:ascii="仿宋_GB2312" w:hAnsi="Times New Roman" w:eastAsia="仿宋_GB2312" w:cs="Wingdings"/>
          <w:sz w:val="32"/>
          <w:szCs w:val="32"/>
        </w:rPr>
        <w:t>%,主要是由于认真贯彻落实中央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精神和厉行节约要求，从严控制“三公”经费开支，全年实际支出比预算有所节约；较上年减少</w:t>
      </w:r>
      <w:r>
        <w:rPr>
          <w:rFonts w:hint="eastAsia" w:ascii="仿宋_GB2312" w:hAnsi="Times New Roman" w:eastAsia="仿宋_GB2312" w:cs="Wingdings"/>
          <w:sz w:val="32"/>
          <w:szCs w:val="32"/>
          <w:lang w:val="en-US" w:eastAsia="zh-CN"/>
        </w:rPr>
        <w:t>2.74</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45.14</w:t>
      </w:r>
      <w:r>
        <w:rPr>
          <w:rFonts w:hint="eastAsia" w:ascii="仿宋_GB2312" w:hAnsi="Times New Roman" w:eastAsia="仿宋_GB2312" w:cs="Wingdings"/>
          <w:sz w:val="32"/>
          <w:szCs w:val="32"/>
        </w:rPr>
        <w:t>%，主要是由于认真贯彻落实中央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精神和厉行节约要求，从严控制“三公”经费开支，全年实际支出比</w:t>
      </w:r>
      <w:r>
        <w:rPr>
          <w:rFonts w:hint="eastAsia" w:ascii="仿宋_GB2312" w:hAnsi="Times New Roman" w:eastAsia="仿宋_GB2312" w:cs="Wingdings"/>
          <w:sz w:val="32"/>
          <w:szCs w:val="32"/>
          <w:lang w:eastAsia="zh-CN"/>
        </w:rPr>
        <w:t>去年</w:t>
      </w:r>
      <w:r>
        <w:rPr>
          <w:rFonts w:hint="eastAsia" w:ascii="仿宋_GB2312" w:hAnsi="Times New Roman" w:eastAsia="仿宋_GB2312" w:cs="Wingdings"/>
          <w:sz w:val="32"/>
          <w:szCs w:val="32"/>
        </w:rPr>
        <w:t>有所节约。</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Times New Roman" w:eastAsia="仿宋_GB2312" w:cs="Wingdings"/>
          <w:sz w:val="32"/>
          <w:szCs w:val="32"/>
        </w:rPr>
        <w:t>本部门2020年公务接待费支出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w:t>
      </w:r>
      <w:r>
        <w:rPr>
          <w:rFonts w:hint="eastAsia" w:ascii="仿宋_GB2312" w:hAnsi="Times New Roman" w:eastAsia="仿宋_GB2312" w:cs="Wingdings"/>
          <w:sz w:val="32"/>
          <w:szCs w:val="32"/>
          <w:lang w:eastAsia="zh-CN"/>
        </w:rPr>
        <w:t>，与年初预算持平，</w:t>
      </w:r>
      <w:r>
        <w:rPr>
          <w:rFonts w:hint="eastAsia" w:ascii="仿宋_GB2312" w:hAnsi="Times New Roman" w:eastAsia="仿宋_GB2312" w:cs="Wingdings"/>
          <w:sz w:val="32"/>
          <w:szCs w:val="32"/>
        </w:rPr>
        <w:t>主要是本部门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年度未发生公务接待费支出；</w:t>
      </w:r>
      <w:r>
        <w:rPr>
          <w:rFonts w:hint="eastAsia" w:ascii="仿宋_GB2312" w:hAnsi="Times New Roman" w:eastAsia="仿宋_GB2312" w:cs="Wingdings"/>
          <w:sz w:val="32"/>
          <w:szCs w:val="32"/>
          <w:lang w:eastAsia="zh-CN"/>
        </w:rPr>
        <w:t>与</w:t>
      </w:r>
      <w:r>
        <w:rPr>
          <w:rFonts w:hint="eastAsia" w:ascii="仿宋_GB2312" w:hAnsi="Times New Roman" w:eastAsia="仿宋_GB2312" w:cs="Wingdings"/>
          <w:sz w:val="32"/>
          <w:szCs w:val="32"/>
          <w:lang w:val="en-US" w:eastAsia="zh-CN"/>
        </w:rPr>
        <w:t>2019年度决算支出持平，</w:t>
      </w:r>
      <w:r>
        <w:rPr>
          <w:rFonts w:hint="eastAsia" w:ascii="仿宋_GB2312" w:hAnsi="Times New Roman" w:eastAsia="仿宋_GB2312" w:cs="Wingdings"/>
          <w:sz w:val="32"/>
          <w:szCs w:val="32"/>
        </w:rPr>
        <w:t>主要是本部门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w:t>
      </w:r>
      <w:r>
        <w:rPr>
          <w:rFonts w:hint="eastAsia" w:ascii="仿宋_GB2312" w:hAnsi="Times New Roman" w:eastAsia="仿宋_GB2312" w:cs="Wingdings"/>
          <w:sz w:val="32"/>
          <w:szCs w:val="32"/>
          <w:lang w:eastAsia="zh-CN"/>
        </w:rPr>
        <w:t>和</w:t>
      </w:r>
      <w:r>
        <w:rPr>
          <w:rFonts w:hint="eastAsia" w:ascii="仿宋_GB2312" w:hAnsi="Times New Roman" w:eastAsia="仿宋_GB2312" w:cs="Wingdings"/>
          <w:sz w:val="32"/>
          <w:szCs w:val="32"/>
          <w:lang w:val="en-US" w:eastAsia="zh-CN"/>
        </w:rPr>
        <w:t>2019年度均</w:t>
      </w:r>
      <w:r>
        <w:rPr>
          <w:rFonts w:hint="eastAsia" w:ascii="仿宋_GB2312" w:hAnsi="Times New Roman" w:eastAsia="仿宋_GB2312" w:cs="Wingdings"/>
          <w:sz w:val="32"/>
          <w:szCs w:val="32"/>
        </w:rPr>
        <w:t>未发生公务接待费支出。</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根据预算绩效管理要求，本部门组织对2020年度项目支出全面开展绩效自评，其中，一般公共预算一级项目</w:t>
      </w:r>
      <w:r>
        <w:rPr>
          <w:rFonts w:hint="eastAsia" w:ascii="仿宋_GB2312" w:hAnsi="Times New Roman" w:eastAsia="仿宋_GB2312" w:cs="Wingdings"/>
          <w:sz w:val="32"/>
          <w:szCs w:val="32"/>
          <w:lang w:val="en-US" w:eastAsia="zh-CN"/>
        </w:rPr>
        <w:t>35</w:t>
      </w:r>
      <w:r>
        <w:rPr>
          <w:rFonts w:hint="eastAsia" w:ascii="仿宋_GB2312" w:hAnsi="Times New Roman" w:eastAsia="仿宋_GB2312" w:cs="Wingdings"/>
          <w:sz w:val="32"/>
          <w:szCs w:val="32"/>
        </w:rPr>
        <w:t>个，共涉及资金</w:t>
      </w:r>
      <w:r>
        <w:rPr>
          <w:rFonts w:hint="eastAsia" w:ascii="仿宋_GB2312" w:hAnsi="Times New Roman" w:eastAsia="仿宋_GB2312" w:cs="Wingdings"/>
          <w:sz w:val="32"/>
          <w:szCs w:val="32"/>
          <w:lang w:val="en-US" w:eastAsia="zh-CN"/>
        </w:rPr>
        <w:t>19321.80</w:t>
      </w:r>
      <w:r>
        <w:rPr>
          <w:rFonts w:hint="eastAsia" w:ascii="仿宋_GB2312" w:hAnsi="Times New Roman" w:eastAsia="仿宋_GB2312" w:cs="Wingdings"/>
          <w:sz w:val="32"/>
          <w:szCs w:val="32"/>
        </w:rPr>
        <w:t>万元，占一般公共预算项目支出总额的</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无</w:t>
      </w:r>
      <w:r>
        <w:rPr>
          <w:rFonts w:hint="eastAsia" w:ascii="仿宋_GB2312" w:hAnsi="Times New Roman" w:eastAsia="仿宋_GB2312" w:cs="Wingdings"/>
          <w:sz w:val="32"/>
          <w:szCs w:val="32"/>
        </w:rPr>
        <w:t>政府性基金预算</w:t>
      </w:r>
      <w:r>
        <w:rPr>
          <w:rFonts w:hint="eastAsia" w:ascii="仿宋_GB2312" w:hAnsi="Times New Roman" w:eastAsia="仿宋_GB2312" w:cs="Wingdings"/>
          <w:sz w:val="32"/>
          <w:szCs w:val="32"/>
          <w:lang w:eastAsia="zh-CN"/>
        </w:rPr>
        <w:t>。</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组织</w:t>
      </w:r>
      <w:r>
        <w:rPr>
          <w:rFonts w:hint="eastAsia" w:ascii="仿宋_GB2312" w:hAnsi="Times New Roman" w:eastAsia="仿宋_GB2312" w:cs="Wingdings"/>
          <w:sz w:val="32"/>
          <w:szCs w:val="32"/>
          <w:lang w:eastAsia="zh-CN"/>
        </w:rPr>
        <w:t>对</w:t>
      </w:r>
      <w:r>
        <w:rPr>
          <w:rFonts w:hint="eastAsia" w:ascii="仿宋_GB2312" w:hAnsi="Times New Roman" w:eastAsia="仿宋_GB2312" w:cs="Wingdings"/>
          <w:sz w:val="32"/>
          <w:szCs w:val="32"/>
          <w:lang w:val="en-US" w:eastAsia="zh-CN"/>
        </w:rPr>
        <w:t>2020年</w:t>
      </w:r>
      <w:r>
        <w:rPr>
          <w:rFonts w:hint="eastAsia" w:ascii="仿宋_GB2312" w:hAnsi="Times New Roman" w:eastAsia="仿宋_GB2312" w:cs="Wingdings"/>
          <w:sz w:val="32"/>
          <w:szCs w:val="32"/>
        </w:rPr>
        <w:t>城乡居民</w:t>
      </w:r>
      <w:r>
        <w:rPr>
          <w:rFonts w:hint="eastAsia" w:ascii="仿宋_GB2312" w:hAnsi="Times New Roman" w:eastAsia="仿宋_GB2312" w:cs="Wingdings"/>
          <w:sz w:val="32"/>
          <w:szCs w:val="32"/>
          <w:lang w:eastAsia="zh-CN"/>
        </w:rPr>
        <w:t>基本</w:t>
      </w:r>
      <w:r>
        <w:rPr>
          <w:rFonts w:hint="eastAsia" w:ascii="仿宋_GB2312" w:hAnsi="Times New Roman" w:eastAsia="仿宋_GB2312" w:cs="Wingdings"/>
          <w:sz w:val="32"/>
          <w:szCs w:val="32"/>
        </w:rPr>
        <w:t>养老保险市级配套补助资金</w:t>
      </w:r>
      <w:r>
        <w:rPr>
          <w:rFonts w:hint="eastAsia" w:ascii="仿宋_GB2312" w:hAnsi="Times New Roman" w:eastAsia="仿宋_GB2312" w:cs="Wingdings"/>
          <w:sz w:val="32"/>
          <w:szCs w:val="32"/>
          <w:lang w:val="en-US" w:eastAsia="zh-CN"/>
        </w:rPr>
        <w:t xml:space="preserve"> 保财社【2019】80号</w:t>
      </w:r>
      <w:r>
        <w:rPr>
          <w:rFonts w:hint="eastAsia" w:ascii="仿宋_GB2312" w:hAnsi="Times New Roman" w:eastAsia="仿宋_GB2312" w:cs="Wingdings"/>
          <w:sz w:val="32"/>
          <w:szCs w:val="32"/>
        </w:rPr>
        <w:t>1个项目开展了部门评价，涉及一般公共预算支出</w:t>
      </w:r>
      <w:r>
        <w:rPr>
          <w:rFonts w:hint="eastAsia" w:ascii="仿宋_GB2312" w:hAnsi="Times New Roman" w:eastAsia="仿宋_GB2312" w:cs="Wingdings"/>
          <w:sz w:val="32"/>
          <w:szCs w:val="32"/>
          <w:lang w:val="en-US" w:eastAsia="zh-CN"/>
        </w:rPr>
        <w:t>389</w:t>
      </w:r>
      <w:r>
        <w:rPr>
          <w:rFonts w:hint="eastAsia" w:ascii="仿宋_GB2312" w:hAnsi="Times New Roman" w:eastAsia="仿宋_GB2312" w:cs="Wingdings"/>
          <w:sz w:val="32"/>
          <w:szCs w:val="32"/>
        </w:rPr>
        <w:t>万元。</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本部门在今年部门决算公开中反映</w:t>
      </w:r>
      <w:r>
        <w:rPr>
          <w:rFonts w:hint="eastAsia" w:ascii="仿宋_GB2312" w:hAnsi="Times New Roman" w:eastAsia="仿宋_GB2312" w:cs="Wingdings"/>
          <w:sz w:val="32"/>
          <w:szCs w:val="32"/>
          <w:lang w:val="en-US" w:eastAsia="zh-CN"/>
        </w:rPr>
        <w:t>2020年</w:t>
      </w:r>
      <w:r>
        <w:rPr>
          <w:rFonts w:hint="eastAsia" w:ascii="仿宋_GB2312" w:hAnsi="Times New Roman" w:eastAsia="仿宋_GB2312" w:cs="Wingdings"/>
          <w:sz w:val="32"/>
          <w:szCs w:val="32"/>
        </w:rPr>
        <w:t>城乡居民</w:t>
      </w:r>
      <w:r>
        <w:rPr>
          <w:rFonts w:hint="eastAsia" w:ascii="仿宋_GB2312" w:hAnsi="Times New Roman" w:eastAsia="仿宋_GB2312" w:cs="Wingdings"/>
          <w:sz w:val="32"/>
          <w:szCs w:val="32"/>
          <w:lang w:eastAsia="zh-CN"/>
        </w:rPr>
        <w:t>基本</w:t>
      </w:r>
      <w:r>
        <w:rPr>
          <w:rFonts w:hint="eastAsia" w:ascii="仿宋_GB2312" w:hAnsi="Times New Roman" w:eastAsia="仿宋_GB2312" w:cs="Wingdings"/>
          <w:sz w:val="32"/>
          <w:szCs w:val="32"/>
        </w:rPr>
        <w:t>养老保险市级配套补助资金</w:t>
      </w:r>
      <w:r>
        <w:rPr>
          <w:rFonts w:hint="eastAsia" w:ascii="仿宋_GB2312" w:hAnsi="Times New Roman" w:eastAsia="仿宋_GB2312" w:cs="Wingdings"/>
          <w:sz w:val="32"/>
          <w:szCs w:val="32"/>
          <w:lang w:val="en-US" w:eastAsia="zh-CN"/>
        </w:rPr>
        <w:t xml:space="preserve"> 保财社【2019】80号</w:t>
      </w:r>
      <w:r>
        <w:rPr>
          <w:rFonts w:hint="eastAsia" w:ascii="仿宋_GB2312" w:hAnsi="Times New Roman" w:eastAsia="仿宋_GB2312" w:cs="Wingdings"/>
          <w:sz w:val="32"/>
          <w:szCs w:val="32"/>
        </w:rPr>
        <w:t>项目、城乡居民基本养老保险</w:t>
      </w:r>
      <w:r>
        <w:rPr>
          <w:rFonts w:hint="eastAsia" w:ascii="仿宋_GB2312" w:hAnsi="Times New Roman" w:eastAsia="仿宋_GB2312" w:cs="Wingdings"/>
          <w:sz w:val="32"/>
          <w:szCs w:val="32"/>
          <w:lang w:eastAsia="zh-CN"/>
        </w:rPr>
        <w:t>低保特困等</w:t>
      </w:r>
      <w:r>
        <w:rPr>
          <w:rFonts w:hint="eastAsia" w:ascii="仿宋_GB2312" w:hAnsi="Times New Roman" w:eastAsia="仿宋_GB2312" w:cs="Wingdings"/>
          <w:sz w:val="32"/>
          <w:szCs w:val="32"/>
        </w:rPr>
        <w:t>人员缴费补贴2个项目绩效自评结果。</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（1）</w:t>
      </w:r>
      <w:r>
        <w:rPr>
          <w:rFonts w:hint="eastAsia" w:ascii="仿宋_GB2312" w:hAnsi="Times New Roman" w:eastAsia="仿宋_GB2312" w:cs="Wingdings"/>
          <w:sz w:val="32"/>
          <w:szCs w:val="32"/>
          <w:lang w:val="en-US" w:eastAsia="zh-CN"/>
        </w:rPr>
        <w:t>2020年</w:t>
      </w:r>
      <w:r>
        <w:rPr>
          <w:rFonts w:hint="eastAsia" w:ascii="仿宋_GB2312" w:hAnsi="Times New Roman" w:eastAsia="仿宋_GB2312" w:cs="Wingdings"/>
          <w:sz w:val="32"/>
          <w:szCs w:val="32"/>
        </w:rPr>
        <w:t>城乡居民</w:t>
      </w:r>
      <w:r>
        <w:rPr>
          <w:rFonts w:hint="eastAsia" w:ascii="仿宋_GB2312" w:hAnsi="Times New Roman" w:eastAsia="仿宋_GB2312" w:cs="Wingdings"/>
          <w:sz w:val="32"/>
          <w:szCs w:val="32"/>
          <w:lang w:eastAsia="zh-CN"/>
        </w:rPr>
        <w:t>基本</w:t>
      </w:r>
      <w:r>
        <w:rPr>
          <w:rFonts w:hint="eastAsia" w:ascii="仿宋_GB2312" w:hAnsi="Times New Roman" w:eastAsia="仿宋_GB2312" w:cs="Wingdings"/>
          <w:sz w:val="32"/>
          <w:szCs w:val="32"/>
        </w:rPr>
        <w:t>养老保险市级配套补助资金</w:t>
      </w:r>
      <w:r>
        <w:rPr>
          <w:rFonts w:hint="eastAsia" w:ascii="仿宋_GB2312" w:hAnsi="Times New Roman" w:eastAsia="仿宋_GB2312" w:cs="Wingdings"/>
          <w:sz w:val="32"/>
          <w:szCs w:val="32"/>
          <w:lang w:val="en-US" w:eastAsia="zh-CN"/>
        </w:rPr>
        <w:t xml:space="preserve"> 保财社【2019】80号</w:t>
      </w:r>
      <w:r>
        <w:rPr>
          <w:rFonts w:hint="eastAsia" w:ascii="仿宋_GB2312" w:hAnsi="Times New Roman" w:eastAsia="仿宋_GB2312" w:cs="Wingdings"/>
          <w:sz w:val="32"/>
          <w:szCs w:val="32"/>
        </w:rPr>
        <w:t>项目自评综述：根据年初设定的绩效目标，</w:t>
      </w:r>
      <w:r>
        <w:rPr>
          <w:rFonts w:hint="eastAsia" w:ascii="仿宋_GB2312" w:hAnsi="Times New Roman" w:eastAsia="仿宋_GB2312" w:cs="Wingdings"/>
          <w:sz w:val="32"/>
          <w:szCs w:val="32"/>
          <w:lang w:val="en-US" w:eastAsia="zh-CN"/>
        </w:rPr>
        <w:t>2020年</w:t>
      </w:r>
      <w:r>
        <w:rPr>
          <w:rFonts w:hint="eastAsia" w:ascii="仿宋_GB2312" w:hAnsi="Times New Roman" w:eastAsia="仿宋_GB2312" w:cs="Wingdings"/>
          <w:sz w:val="32"/>
          <w:szCs w:val="32"/>
        </w:rPr>
        <w:t>城乡居民</w:t>
      </w:r>
      <w:r>
        <w:rPr>
          <w:rFonts w:hint="eastAsia" w:ascii="仿宋_GB2312" w:hAnsi="Times New Roman" w:eastAsia="仿宋_GB2312" w:cs="Wingdings"/>
          <w:sz w:val="32"/>
          <w:szCs w:val="32"/>
          <w:lang w:eastAsia="zh-CN"/>
        </w:rPr>
        <w:t>基本</w:t>
      </w:r>
      <w:r>
        <w:rPr>
          <w:rFonts w:hint="eastAsia" w:ascii="仿宋_GB2312" w:hAnsi="Times New Roman" w:eastAsia="仿宋_GB2312" w:cs="Wingdings"/>
          <w:sz w:val="32"/>
          <w:szCs w:val="32"/>
        </w:rPr>
        <w:t>养老保险市级配套补助资金</w:t>
      </w:r>
      <w:r>
        <w:rPr>
          <w:rFonts w:hint="eastAsia" w:ascii="仿宋_GB2312" w:hAnsi="Times New Roman" w:eastAsia="仿宋_GB2312" w:cs="Wingdings"/>
          <w:sz w:val="32"/>
          <w:szCs w:val="32"/>
          <w:lang w:val="en-US" w:eastAsia="zh-CN"/>
        </w:rPr>
        <w:t xml:space="preserve"> 保财社【2019】80号项目</w:t>
      </w:r>
      <w:r>
        <w:rPr>
          <w:rFonts w:hint="eastAsia" w:ascii="仿宋_GB2312" w:hAnsi="Times New Roman" w:eastAsia="仿宋_GB2312" w:cs="Wingdings"/>
          <w:sz w:val="32"/>
          <w:szCs w:val="32"/>
        </w:rPr>
        <w:t>绩效自评得分为100分。全年预算数为</w:t>
      </w:r>
      <w:r>
        <w:rPr>
          <w:rFonts w:hint="eastAsia" w:ascii="仿宋_GB2312" w:hAnsi="Times New Roman" w:eastAsia="仿宋_GB2312" w:cs="Wingdings"/>
          <w:sz w:val="32"/>
          <w:szCs w:val="32"/>
          <w:lang w:val="en-US" w:eastAsia="zh-CN"/>
        </w:rPr>
        <w:t>389.00</w:t>
      </w:r>
      <w:r>
        <w:rPr>
          <w:rFonts w:hint="eastAsia" w:ascii="仿宋_GB2312" w:hAnsi="Times New Roman" w:eastAsia="仿宋_GB2312" w:cs="Wingdings"/>
          <w:sz w:val="32"/>
          <w:szCs w:val="32"/>
        </w:rPr>
        <w:t>万元，执行数为</w:t>
      </w:r>
      <w:r>
        <w:rPr>
          <w:rFonts w:hint="eastAsia" w:ascii="仿宋_GB2312" w:hAnsi="Times New Roman" w:eastAsia="仿宋_GB2312" w:cs="Wingdings"/>
          <w:sz w:val="32"/>
          <w:szCs w:val="32"/>
          <w:lang w:val="en-US" w:eastAsia="zh-CN"/>
        </w:rPr>
        <w:t>389.00</w:t>
      </w:r>
      <w:r>
        <w:rPr>
          <w:rFonts w:hint="eastAsia" w:ascii="仿宋_GB2312" w:hAnsi="Times New Roman" w:eastAsia="仿宋_GB2312" w:cs="Wingdings"/>
          <w:sz w:val="32"/>
          <w:szCs w:val="32"/>
        </w:rPr>
        <w:t>万元，完成预算的100%。项目绩效目标完成情况：一是及时足额发放基础养老金调标部分；二是各项缴费补贴及时补贴到位。</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Times New Roman" w:eastAsia="仿宋_GB2312" w:cs="Wingdings"/>
          <w:sz w:val="32"/>
          <w:szCs w:val="32"/>
        </w:rPr>
        <w:t>（2）城乡居民基本养老保险</w:t>
      </w:r>
      <w:r>
        <w:rPr>
          <w:rFonts w:hint="eastAsia" w:ascii="仿宋_GB2312" w:hAnsi="Times New Roman" w:eastAsia="仿宋_GB2312" w:cs="Wingdings"/>
          <w:sz w:val="32"/>
          <w:szCs w:val="32"/>
          <w:lang w:eastAsia="zh-CN"/>
        </w:rPr>
        <w:t>低保特困等</w:t>
      </w:r>
      <w:r>
        <w:rPr>
          <w:rFonts w:hint="eastAsia" w:ascii="仿宋_GB2312" w:hAnsi="Times New Roman" w:eastAsia="仿宋_GB2312" w:cs="Wingdings"/>
          <w:sz w:val="32"/>
          <w:szCs w:val="32"/>
        </w:rPr>
        <w:t>人员缴费补贴项目自评综述：根据年初设定的绩效目标，城乡居民基本养老保险</w:t>
      </w:r>
      <w:r>
        <w:rPr>
          <w:rFonts w:hint="eastAsia" w:ascii="仿宋_GB2312" w:hAnsi="Times New Roman" w:eastAsia="仿宋_GB2312" w:cs="Wingdings"/>
          <w:sz w:val="32"/>
          <w:szCs w:val="32"/>
          <w:lang w:eastAsia="zh-CN"/>
        </w:rPr>
        <w:t>低保特困等</w:t>
      </w:r>
      <w:r>
        <w:rPr>
          <w:rFonts w:hint="eastAsia" w:ascii="仿宋_GB2312" w:hAnsi="Times New Roman" w:eastAsia="仿宋_GB2312" w:cs="Wingdings"/>
          <w:sz w:val="32"/>
          <w:szCs w:val="32"/>
        </w:rPr>
        <w:t>人员缴费补贴绩效自评得分为100分。全年预算数为</w:t>
      </w:r>
      <w:r>
        <w:rPr>
          <w:rFonts w:hint="eastAsia" w:ascii="仿宋_GB2312" w:hAnsi="Times New Roman" w:eastAsia="仿宋_GB2312" w:cs="Wingdings"/>
          <w:sz w:val="32"/>
          <w:szCs w:val="32"/>
          <w:lang w:val="en-US" w:eastAsia="zh-CN"/>
        </w:rPr>
        <w:t>8.00</w:t>
      </w:r>
      <w:r>
        <w:rPr>
          <w:rFonts w:hint="eastAsia" w:ascii="仿宋_GB2312" w:hAnsi="Times New Roman" w:eastAsia="仿宋_GB2312" w:cs="Wingdings"/>
          <w:sz w:val="32"/>
          <w:szCs w:val="32"/>
        </w:rPr>
        <w:t>万元，执行数为</w:t>
      </w:r>
      <w:r>
        <w:rPr>
          <w:rFonts w:hint="eastAsia" w:ascii="仿宋_GB2312" w:hAnsi="Times New Roman" w:eastAsia="仿宋_GB2312" w:cs="Wingdings"/>
          <w:sz w:val="32"/>
          <w:szCs w:val="32"/>
          <w:lang w:val="en-US" w:eastAsia="zh-CN"/>
        </w:rPr>
        <w:t>8.00</w:t>
      </w:r>
      <w:r>
        <w:rPr>
          <w:rFonts w:hint="eastAsia" w:ascii="仿宋_GB2312" w:hAnsi="Times New Roman" w:eastAsia="仿宋_GB2312" w:cs="Wingdings"/>
          <w:sz w:val="32"/>
          <w:szCs w:val="32"/>
        </w:rPr>
        <w:t>万元，完成预算的100%。项目绩效目标完成情况：帮助贫困人员参加社会保险，基本实现法定人员全覆盖，助力参保贫困人员精准脱贫。</w:t>
      </w:r>
    </w:p>
    <w:p>
      <w:pPr>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（三）财政评价项目绩效评价结果</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bCs/>
          <w:sz w:val="32"/>
          <w:szCs w:val="32"/>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本部门2020年度机关运行经费支出</w:t>
      </w:r>
      <w:r>
        <w:rPr>
          <w:rFonts w:hint="eastAsia" w:ascii="仿宋_GB2312" w:hAnsi="Times New Roman" w:eastAsia="仿宋_GB2312" w:cs="Wingdings"/>
          <w:sz w:val="32"/>
          <w:szCs w:val="32"/>
          <w:lang w:val="en-US" w:eastAsia="zh-CN"/>
        </w:rPr>
        <w:t>65.01</w:t>
      </w:r>
      <w:r>
        <w:rPr>
          <w:rFonts w:hint="eastAsia" w:ascii="仿宋_GB2312" w:hAnsi="Times New Roman" w:eastAsia="仿宋_GB2312" w:cs="Wingdings"/>
          <w:sz w:val="32"/>
          <w:szCs w:val="32"/>
        </w:rPr>
        <w:t>万元，比2019年度减少</w:t>
      </w:r>
      <w:r>
        <w:rPr>
          <w:rFonts w:hint="eastAsia" w:ascii="仿宋_GB2312" w:hAnsi="Times New Roman" w:eastAsia="仿宋_GB2312" w:cs="Wingdings"/>
          <w:sz w:val="32"/>
          <w:szCs w:val="32"/>
          <w:lang w:val="en-US" w:eastAsia="zh-CN"/>
        </w:rPr>
        <w:t>58.43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47.33</w:t>
      </w:r>
      <w:r>
        <w:rPr>
          <w:rFonts w:hint="eastAsia" w:ascii="仿宋_GB2312" w:hAnsi="Times New Roman" w:eastAsia="仿宋_GB2312" w:cs="Wingdings"/>
          <w:sz w:val="32"/>
          <w:szCs w:val="32"/>
        </w:rPr>
        <w:t>%。主要原因是</w:t>
      </w:r>
      <w:bookmarkStart w:id="0" w:name="_GoBack"/>
      <w:bookmarkEnd w:id="0"/>
      <w:r>
        <w:rPr>
          <w:rFonts w:hint="eastAsia" w:ascii="仿宋_GB2312" w:hAnsi="Times New Roman" w:eastAsia="仿宋_GB2312" w:cs="Wingdings"/>
          <w:sz w:val="32"/>
          <w:szCs w:val="32"/>
        </w:rPr>
        <w:t>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精神和厉行节约要求，从严控制经费开支，全年实际支出比去年有所节约。</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Times New Roman" w:eastAsia="黑体" w:cs="Times New Roman"/>
          <w:sz w:val="32"/>
          <w:szCs w:val="40"/>
        </w:rPr>
        <w:t>八、政府采购情况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本部门2020年度政府采购支出总额</w:t>
      </w:r>
      <w:r>
        <w:rPr>
          <w:rFonts w:hint="eastAsia" w:ascii="仿宋_GB2312" w:hAnsi="Times New Roman" w:eastAsia="仿宋_GB2312" w:cs="Wingdings"/>
          <w:sz w:val="32"/>
          <w:szCs w:val="32"/>
          <w:lang w:val="en-US" w:eastAsia="zh-CN"/>
        </w:rPr>
        <w:t>89.45</w:t>
      </w:r>
      <w:r>
        <w:rPr>
          <w:rFonts w:hint="eastAsia" w:ascii="仿宋_GB2312" w:hAnsi="Times New Roman" w:eastAsia="仿宋_GB2312" w:cs="Wingdings"/>
          <w:sz w:val="32"/>
          <w:szCs w:val="32"/>
        </w:rPr>
        <w:t>万元，从采购类型来看，政府采购货物支出</w:t>
      </w:r>
      <w:r>
        <w:rPr>
          <w:rFonts w:hint="eastAsia" w:ascii="仿宋_GB2312" w:hAnsi="Times New Roman" w:eastAsia="仿宋_GB2312" w:cs="Wingdings"/>
          <w:sz w:val="32"/>
          <w:szCs w:val="32"/>
          <w:lang w:val="en-US" w:eastAsia="zh-CN"/>
        </w:rPr>
        <w:t>89.45</w:t>
      </w:r>
      <w:r>
        <w:rPr>
          <w:rFonts w:hint="eastAsia" w:ascii="仿宋_GB2312" w:hAnsi="Times New Roman" w:eastAsia="仿宋_GB2312" w:cs="Wingdings"/>
          <w:sz w:val="32"/>
          <w:szCs w:val="32"/>
        </w:rPr>
        <w:t xml:space="preserve"> 万元、政府采购工程支出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万元、政府采购服务支出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万元。授予中小企业合同金</w:t>
      </w:r>
      <w:r>
        <w:rPr>
          <w:rFonts w:hint="eastAsia" w:ascii="仿宋_GB2312" w:hAnsi="Times New Roman" w:eastAsia="仿宋_GB2312" w:cs="Wingdings"/>
          <w:sz w:val="32"/>
          <w:szCs w:val="32"/>
          <w:lang w:val="en-US" w:eastAsia="zh-CN"/>
        </w:rPr>
        <w:t>89.45</w:t>
      </w:r>
      <w:r>
        <w:rPr>
          <w:rFonts w:hint="eastAsia" w:ascii="仿宋_GB2312" w:hAnsi="Times New Roman" w:eastAsia="仿宋_GB2312" w:cs="Wingdings"/>
          <w:sz w:val="32"/>
          <w:szCs w:val="32"/>
        </w:rPr>
        <w:t>万元，占政府采购支出总额的</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%，其中授予小微企业合同金额</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 xml:space="preserve">万元，占政府采购支出总额的 </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截至2020年12月31日，本部门共有车辆</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辆，较去年无变化，主要是由于认真贯彻落实中央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精神和厉行节约要求，从严控制经费开支。其中，副部（省）级及以上领导用车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辆，主要领导干部用车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辆，机要通信用车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辆，应急保障用车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辆，执法执勤用车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辆，特种专业技术用车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辆，离退休干部用车</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辆，其他用车</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辆，其他用车主要是下乡监察、开会用车；</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Times New Roman" w:eastAsia="仿宋_GB2312" w:cs="Wingdings"/>
          <w:sz w:val="32"/>
          <w:szCs w:val="32"/>
        </w:rPr>
        <w:t>单位价值50万元以上通用设备</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台（套），较去年无变化，主要是由于认真贯彻落实中央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 xml:space="preserve">精神和厉行节约要求，从严控制经费开支 </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单位价值100万元以上专用设备</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台（套）</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较去年无变化，主要是由于认真贯彻落实中央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精神和厉行节约要求，从严控制经费开支。</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1.本部门</w:t>
      </w:r>
      <w:r>
        <w:rPr>
          <w:rFonts w:hint="eastAsia" w:ascii="仿宋_GB2312" w:hAnsi="Times New Roman" w:eastAsia="仿宋_GB2312" w:cs="Wingdings"/>
          <w:sz w:val="32"/>
          <w:szCs w:val="32"/>
          <w:lang w:val="en-US" w:eastAsia="zh-CN"/>
        </w:rPr>
        <w:t>2020</w:t>
      </w:r>
      <w:r>
        <w:rPr>
          <w:rFonts w:hint="eastAsia" w:ascii="仿宋_GB2312" w:hAnsi="Times New Roman" w:eastAsia="仿宋_GB2312" w:cs="Wingdings"/>
          <w:sz w:val="32"/>
          <w:szCs w:val="32"/>
        </w:rPr>
        <w:t>年度</w:t>
      </w:r>
      <w:r>
        <w:rPr>
          <w:rFonts w:hint="eastAsia" w:ascii="仿宋_GB2312" w:hAnsi="Times New Roman" w:eastAsia="仿宋_GB2312" w:cs="Wingdings"/>
          <w:sz w:val="32"/>
          <w:szCs w:val="32"/>
          <w:lang w:eastAsia="zh-CN"/>
        </w:rPr>
        <w:t>未发生</w:t>
      </w:r>
      <w:r>
        <w:rPr>
          <w:rFonts w:hint="eastAsia" w:ascii="仿宋_GB2312" w:hAnsi="Times New Roman" w:eastAsia="仿宋_GB2312" w:cs="Wingdings"/>
          <w:sz w:val="32"/>
          <w:szCs w:val="32"/>
        </w:rPr>
        <w:t>政府性基金预算、国有资本经营预算收支及结转结余情况，故政府性基金预算财政拨款收入支出决算表、国有资本经营预算财政拨款支出决算表以空表列示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 xml:space="preserve"> </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2. 由于决算公开表格中金额数值应当保留两位小数，公开数据为四舍五入计算结果，个别数据合计项与分项之和存在小数点后差额，特此说明。</w:t>
      </w:r>
    </w:p>
    <w:p>
      <w:pPr>
        <w:adjustRightInd w:val="0"/>
        <w:snapToGrid w:val="0"/>
        <w:spacing w:line="600" w:lineRule="exact"/>
        <w:ind w:firstLine="640" w:firstLineChars="200"/>
        <w:rPr>
          <w:rFonts w:hint="eastAsia" w:ascii="仿宋_GB2312" w:hAnsi="Times New Roman" w:eastAsia="仿宋_GB2312" w:cs="Wingdings"/>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0288"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0288;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p>
    <w:p>
      <w:pPr>
        <w:rPr>
          <w:rFonts w:hint="eastAsia" w:ascii="黑体" w:hAnsi="黑体" w:eastAsia="黑体" w:cs="黑体"/>
          <w:sz w:val="56"/>
          <w:szCs w:val="72"/>
          <w:lang w:val="en-US" w:eastAsia="zh-CN"/>
        </w:rPr>
      </w:pPr>
      <w:r>
        <w:rPr>
          <w:sz w:val="72"/>
        </w:rPr>
        <mc:AlternateContent>
          <mc:Choice Requires="wps">
            <w:drawing>
              <wp:anchor distT="0" distB="0" distL="114300" distR="114300" simplePos="0" relativeHeight="251663360" behindDoc="0" locked="0" layoutInCell="1" allowOverlap="1">
                <wp:simplePos x="0" y="0"/>
                <wp:positionH relativeFrom="column">
                  <wp:posOffset>-1027430</wp:posOffset>
                </wp:positionH>
                <wp:positionV relativeFrom="paragraph">
                  <wp:posOffset>1151255</wp:posOffset>
                </wp:positionV>
                <wp:extent cx="7793355" cy="3341370"/>
                <wp:effectExtent l="6350" t="6350" r="10795" b="2413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3360;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r>
        <w:rPr>
          <w:rFonts w:hint="eastAsia" w:ascii="黑体" w:hAnsi="黑体" w:eastAsia="黑体" w:cs="黑体"/>
          <w:sz w:val="56"/>
          <w:szCs w:val="72"/>
          <w:lang w:val="en-US" w:eastAsia="zh-CN"/>
        </w:rPr>
        <w:t xml:space="preserve"> </w:t>
      </w:r>
    </w:p>
    <w:p>
      <w:pPr>
        <w:rPr>
          <w:rFonts w:hint="eastAsia" w:ascii="黑体" w:hAnsi="黑体" w:eastAsia="黑体" w:cs="黑体"/>
          <w:sz w:val="56"/>
          <w:szCs w:val="72"/>
          <w:lang w:val="en-US" w:eastAsia="zh-CN"/>
        </w:rPr>
      </w:pPr>
    </w:p>
    <w:p>
      <w:pPr>
        <w:rPr>
          <w:rFonts w:hint="eastAsia" w:ascii="黑体" w:hAnsi="黑体" w:eastAsia="黑体" w:cs="黑体"/>
          <w:sz w:val="56"/>
          <w:szCs w:val="72"/>
          <w:lang w:val="en-US" w:eastAsia="zh-CN"/>
        </w:rPr>
      </w:pPr>
    </w:p>
    <w:p>
      <w:pPr>
        <w:rPr>
          <w:rFonts w:hint="eastAsia" w:ascii="黑体" w:hAnsi="黑体" w:eastAsia="黑体" w:cs="黑体"/>
          <w:sz w:val="56"/>
          <w:szCs w:val="72"/>
          <w:lang w:val="en-US" w:eastAsia="zh-CN"/>
        </w:rPr>
      </w:pPr>
    </w:p>
    <w:p>
      <w:pPr>
        <w:rPr>
          <w:rFonts w:hint="eastAsia" w:ascii="黑体" w:hAnsi="黑体" w:eastAsia="黑体" w:cs="黑体"/>
          <w:sz w:val="56"/>
          <w:szCs w:val="72"/>
          <w:lang w:val="en-US" w:eastAsia="zh-CN"/>
        </w:rPr>
      </w:pPr>
    </w:p>
    <w:p>
      <w:pPr>
        <w:rPr>
          <w:rFonts w:hint="eastAsia" w:ascii="黑体" w:hAnsi="黑体" w:eastAsia="黑体" w:cs="黑体"/>
          <w:sz w:val="56"/>
          <w:szCs w:val="72"/>
          <w:lang w:val="en-US" w:eastAsia="zh-CN"/>
        </w:rPr>
        <w:sectPr>
          <w:pgSz w:w="11906" w:h="16838"/>
          <w:pgMar w:top="2098" w:right="1531" w:bottom="1984" w:left="1531" w:header="851" w:footer="992" w:gutter="0"/>
          <w:pgNumType w:fmt="numberInDash"/>
          <w:cols w:space="0" w:num="1"/>
          <w:titlePg/>
          <w:docGrid w:type="lines" w:linePitch="312" w:charSpace="0"/>
        </w:sectPr>
      </w:pPr>
    </w:p>
    <w:p>
      <w:pPr>
        <w:rPr>
          <w:rFonts w:hint="eastAsia" w:ascii="黑体" w:hAnsi="黑体" w:eastAsia="黑体" w:cs="黑体"/>
          <w:sz w:val="56"/>
          <w:szCs w:val="72"/>
          <w:lang w:eastAsia="zh-CN"/>
        </w:rPr>
      </w:pPr>
      <w:r>
        <w:rPr>
          <w:rFonts w:hint="eastAsia" w:ascii="黑体" w:hAnsi="黑体" w:eastAsia="黑体" w:cs="黑体"/>
          <w:sz w:val="56"/>
          <w:szCs w:val="72"/>
          <w:lang w:eastAsia="zh-CN"/>
        </w:rPr>
        <w:pict>
          <v:shape id="_x0000_s1026" o:spid="_x0000_s1026" o:spt="75" type="#_x0000_t75" style="position:absolute;left:0pt;margin-left:-23.25pt;margin-top:-1.5pt;height:728.05pt;width:478.5pt;z-index:251664384;mso-width-relative:page;mso-height-relative:page;" o:ole="t" filled="f" o:preferrelative="t" stroked="f" coordsize="21600,21600">
            <v:path/>
            <v:fill on="f" focussize="0,0"/>
            <v:stroke on="f"/>
            <v:imagedata r:id="rId20" o:title=""/>
            <o:lock v:ext="edit" aspectratio="t"/>
          </v:shape>
          <o:OLEObject Type="Embed" ProgID="Excel.Sheet.8" ShapeID="_x0000_s1026" DrawAspect="Content" ObjectID="_1468075725" r:id="rId19">
            <o:LockedField>false</o:LockedField>
          </o:OLEObject>
        </w:pict>
      </w:r>
    </w:p>
    <w:p>
      <w:pPr>
        <w:rPr>
          <w:rFonts w:hint="eastAsia" w:ascii="黑体" w:hAnsi="黑体" w:eastAsia="黑体" w:cs="黑体"/>
          <w:sz w:val="56"/>
          <w:szCs w:val="72"/>
          <w:lang w:eastAsia="zh-CN"/>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28" o:spid="_x0000_s1028" o:spt="75" type="#_x0000_t75" style="position:absolute;left:0pt;margin-left:-32.5pt;margin-top:-54.75pt;height:777.75pt;width:517.5pt;z-index:251664384;mso-width-relative:page;mso-height-relative:page;" o:ole="t" filled="f" o:preferrelative="t" stroked="f" coordsize="21600,21600">
            <v:path/>
            <v:fill on="f" focussize="0,0"/>
            <v:stroke on="f"/>
            <v:imagedata r:id="rId22" o:title=""/>
            <o:lock v:ext="edit" aspectratio="t"/>
          </v:shape>
          <o:OLEObject Type="Embed" ProgID="Excel.Sheet.12" ShapeID="_x0000_s1028" DrawAspect="Content" ObjectID="_1468075726" r:id="rId21">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29" o:spid="_x0000_s1029" o:spt="75" type="#_x0000_t75" style="position:absolute;left:0pt;margin-left:-33.75pt;margin-top:-64.5pt;height:777.75pt;width:520.5pt;z-index:251664384;mso-width-relative:page;mso-height-relative:page;" o:ole="t" filled="f" o:preferrelative="t" stroked="f" coordsize="21600,21600">
            <v:path/>
            <v:fill on="f" focussize="0,0"/>
            <v:stroke on="f"/>
            <v:imagedata r:id="rId24" o:title=""/>
            <o:lock v:ext="edit" aspectratio="t"/>
          </v:shape>
          <o:OLEObject Type="Embed" ProgID="Excel.Sheet.12" ShapeID="_x0000_s1029" DrawAspect="Content" ObjectID="_1468075727" r:id="rId23">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30" o:spid="_x0000_s1030" o:spt="75" type="#_x0000_t75" style="position:absolute;left:0pt;margin-left:-15pt;margin-top:-54pt;height:739.5pt;width:492.75pt;z-index:251664384;mso-width-relative:page;mso-height-relative:page;" o:ole="t" filled="f" o:preferrelative="t" stroked="f" coordsize="21600,21600">
            <v:path/>
            <v:fill on="f" focussize="0,0"/>
            <v:stroke on="f"/>
            <v:imagedata r:id="rId26" o:title=""/>
            <o:lock v:ext="edit" aspectratio="t"/>
          </v:shape>
          <o:OLEObject Type="Embed" ProgID="Excel.Sheet.12" ShapeID="_x0000_s1030" DrawAspect="Content" ObjectID="_1468075728" r:id="rId25">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32" o:spid="_x0000_s1032" o:spt="75" type="#_x0000_t75" style="position:absolute;left:0pt;margin-left:-2.25pt;margin-top:-18.75pt;height:669pt;width:548.25pt;z-index:251664384;mso-width-relative:page;mso-height-relative:page;" o:ole="t" filled="f" o:preferrelative="t" stroked="f" coordsize="21600,21600">
            <v:path/>
            <v:fill on="f" focussize="0,0"/>
            <v:stroke on="f"/>
            <v:imagedata r:id="rId28" o:title=""/>
            <o:lock v:ext="edit" aspectratio="t"/>
          </v:shape>
          <o:OLEObject Type="Embed" ProgID="Excel.Sheet.12" ShapeID="_x0000_s1032" DrawAspect="Content" ObjectID="_1468075729" r:id="rId27">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33" o:spid="_x0000_s1033" o:spt="75" type="#_x0000_t75" style="position:absolute;left:0pt;margin-left:-37.5pt;margin-top:-42.75pt;height:649.4pt;width:519pt;z-index:251664384;mso-width-relative:page;mso-height-relative:page;" o:ole="t" filled="f" o:preferrelative="t" stroked="f" coordsize="21600,21600">
            <v:path/>
            <v:fill on="f" focussize="0,0"/>
            <v:stroke on="f"/>
            <v:imagedata r:id="rId30" o:title=""/>
            <o:lock v:ext="edit" aspectratio="t"/>
          </v:shape>
          <o:OLEObject Type="Embed" ProgID="Excel.Sheet.12" ShapeID="_x0000_s1033" DrawAspect="Content" ObjectID="_1468075730" r:id="rId29">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4518"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eastAsia="zh-CN" w:bidi="ar"/>
              </w:rPr>
              <w:t>保定市满城区人力资源和社会保障局</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10.00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10.00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10.00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3.33</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3.33</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3.33</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35" o:spid="_x0000_s1035" o:spt="75" type="#_x0000_t75" style="position:absolute;left:0pt;margin-left:-18pt;margin-top:3pt;height:237pt;width:475.5pt;z-index:251664384;mso-width-relative:page;mso-height-relative:page;" o:ole="t" filled="f" o:preferrelative="t" stroked="f" coordsize="21600,21600">
            <v:path/>
            <v:fill on="f" focussize="0,0"/>
            <v:stroke on="f"/>
            <v:imagedata r:id="rId32" o:title=""/>
            <o:lock v:ext="edit" aspectratio="t"/>
          </v:shape>
          <o:OLEObject Type="Embed" ProgID="Excel.Sheet.12" ShapeID="_x0000_s1035" DrawAspect="Content" ObjectID="_1468075731" r:id="rId31">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r>
        <w:rPr>
          <w:rFonts w:hint="eastAsia" w:ascii="仿宋_GB2312" w:hAnsi="Cambria" w:eastAsia="仿宋_GB2312" w:cs="Arial Black"/>
          <w:kern w:val="0"/>
          <w:sz w:val="32"/>
          <w:szCs w:val="32"/>
          <w:lang w:eastAsia="zh-CN"/>
        </w:rPr>
        <w:pict>
          <v:shape id="_x0000_s1036" o:spid="_x0000_s1036" o:spt="75" type="#_x0000_t75" style="position:absolute;left:0pt;margin-left:-24.75pt;margin-top:9pt;height:256.5pt;width:492.75pt;z-index:251664384;mso-width-relative:page;mso-height-relative:page;" o:ole="t" filled="f" o:preferrelative="t" stroked="f" coordsize="21600,21600">
            <v:path/>
            <v:fill on="f" focussize="0,0"/>
            <v:stroke on="f"/>
            <v:imagedata r:id="rId34" o:title=""/>
            <o:lock v:ext="edit" aspectratio="t"/>
          </v:shape>
          <o:OLEObject Type="Embed" ProgID="Excel.Sheet.12" ShapeID="_x0000_s1036" DrawAspect="Content" ObjectID="_1468075732" r:id="rId33">
            <o:LockedField>false</o:LockedField>
          </o:OLEObject>
        </w:pict>
      </w: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p>
      <w:pPr>
        <w:tabs>
          <w:tab w:val="left" w:pos="235"/>
        </w:tabs>
        <w:spacing w:line="600" w:lineRule="exact"/>
        <w:jc w:val="left"/>
        <w:rPr>
          <w:rFonts w:hint="eastAsia" w:ascii="仿宋_GB2312" w:hAnsi="Cambria" w:eastAsia="仿宋_GB2312" w:cs="Arial Black"/>
          <w:kern w:val="0"/>
          <w:sz w:val="32"/>
          <w:szCs w:val="32"/>
          <w:lang w:eastAsia="zh-CN"/>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UnicodeMS">
    <w:altName w:val="Malgun Gothic"/>
    <w:panose1 w:val="00000000000000000000"/>
    <w:charset w:val="81"/>
    <w:family w:val="auto"/>
    <w:pitch w:val="default"/>
    <w:sig w:usb0="00000000" w:usb1="00000000" w:usb2="00000010" w:usb3="00000000" w:csb0="00080000" w:csb1="00000000"/>
  </w:font>
  <w:font w:name="Arial Black">
    <w:panose1 w:val="020B0A04020102020204"/>
    <w:charset w:val="00"/>
    <w:family w:val="swiss"/>
    <w:pitch w:val="default"/>
    <w:sig w:usb0="00000287" w:usb1="00000000" w:usb2="00000000" w:usb3="00000000" w:csb0="2000009F" w:csb1="DFD70000"/>
  </w:font>
  <w:font w:name="方正仿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5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NTY4MzNjZWMzM2RiZWFiNTRkMDdhNzM2NzU5YzgifQ=="/>
  </w:docVars>
  <w:rsids>
    <w:rsidRoot w:val="34C45458"/>
    <w:rsid w:val="00061A05"/>
    <w:rsid w:val="0018668E"/>
    <w:rsid w:val="001B73D2"/>
    <w:rsid w:val="001E62BF"/>
    <w:rsid w:val="00293E7B"/>
    <w:rsid w:val="002D1F4F"/>
    <w:rsid w:val="00366D90"/>
    <w:rsid w:val="003D678E"/>
    <w:rsid w:val="00801F66"/>
    <w:rsid w:val="009334BF"/>
    <w:rsid w:val="0146793D"/>
    <w:rsid w:val="02321DE7"/>
    <w:rsid w:val="058B71E0"/>
    <w:rsid w:val="058D6FD9"/>
    <w:rsid w:val="065239E2"/>
    <w:rsid w:val="06B55F80"/>
    <w:rsid w:val="074F53B8"/>
    <w:rsid w:val="0BE3664B"/>
    <w:rsid w:val="0C7366F2"/>
    <w:rsid w:val="0D6D0AAF"/>
    <w:rsid w:val="0E4A0EB1"/>
    <w:rsid w:val="0EA325C9"/>
    <w:rsid w:val="0FDA73BD"/>
    <w:rsid w:val="110260E6"/>
    <w:rsid w:val="1134564D"/>
    <w:rsid w:val="124179FE"/>
    <w:rsid w:val="16113B9C"/>
    <w:rsid w:val="193A3A53"/>
    <w:rsid w:val="196107F8"/>
    <w:rsid w:val="19885D45"/>
    <w:rsid w:val="19A86B84"/>
    <w:rsid w:val="1B8D1985"/>
    <w:rsid w:val="1C506D02"/>
    <w:rsid w:val="1C8F5291"/>
    <w:rsid w:val="1FB54E94"/>
    <w:rsid w:val="20650033"/>
    <w:rsid w:val="207B1203"/>
    <w:rsid w:val="20F43C93"/>
    <w:rsid w:val="213F4726"/>
    <w:rsid w:val="216E5495"/>
    <w:rsid w:val="22A10162"/>
    <w:rsid w:val="23727991"/>
    <w:rsid w:val="24181052"/>
    <w:rsid w:val="27284385"/>
    <w:rsid w:val="276A0E4A"/>
    <w:rsid w:val="28206CA1"/>
    <w:rsid w:val="28932F71"/>
    <w:rsid w:val="29165B14"/>
    <w:rsid w:val="29DA2D66"/>
    <w:rsid w:val="2B031598"/>
    <w:rsid w:val="2D5E150D"/>
    <w:rsid w:val="2F7E1959"/>
    <w:rsid w:val="2FB96948"/>
    <w:rsid w:val="309417A9"/>
    <w:rsid w:val="330538DC"/>
    <w:rsid w:val="3327616A"/>
    <w:rsid w:val="33610172"/>
    <w:rsid w:val="33DE6F9F"/>
    <w:rsid w:val="34C45458"/>
    <w:rsid w:val="34ED136B"/>
    <w:rsid w:val="35C83C42"/>
    <w:rsid w:val="3648465B"/>
    <w:rsid w:val="36EA5B4B"/>
    <w:rsid w:val="380650A9"/>
    <w:rsid w:val="39243D8B"/>
    <w:rsid w:val="3A32616E"/>
    <w:rsid w:val="3AD65953"/>
    <w:rsid w:val="3C520F7F"/>
    <w:rsid w:val="3D4A774E"/>
    <w:rsid w:val="3DA734C3"/>
    <w:rsid w:val="3EA719FD"/>
    <w:rsid w:val="3F0C2AEE"/>
    <w:rsid w:val="3F2A6F16"/>
    <w:rsid w:val="3F7072D7"/>
    <w:rsid w:val="3FC70E64"/>
    <w:rsid w:val="42900424"/>
    <w:rsid w:val="450203C6"/>
    <w:rsid w:val="45374882"/>
    <w:rsid w:val="45AF7B87"/>
    <w:rsid w:val="469924B2"/>
    <w:rsid w:val="498C270D"/>
    <w:rsid w:val="49CE61CF"/>
    <w:rsid w:val="4D4174B0"/>
    <w:rsid w:val="4DE231C5"/>
    <w:rsid w:val="507656E4"/>
    <w:rsid w:val="50E673EC"/>
    <w:rsid w:val="518E359C"/>
    <w:rsid w:val="51D02C1B"/>
    <w:rsid w:val="554D1D43"/>
    <w:rsid w:val="55CD6091"/>
    <w:rsid w:val="55ED7F1C"/>
    <w:rsid w:val="57354F79"/>
    <w:rsid w:val="58707414"/>
    <w:rsid w:val="58A61395"/>
    <w:rsid w:val="5A436545"/>
    <w:rsid w:val="5ABF1185"/>
    <w:rsid w:val="5B000C77"/>
    <w:rsid w:val="5B4B2BCB"/>
    <w:rsid w:val="5B9D30CE"/>
    <w:rsid w:val="5C9D7B51"/>
    <w:rsid w:val="5D0C63C4"/>
    <w:rsid w:val="5F835BF2"/>
    <w:rsid w:val="60FD2CCF"/>
    <w:rsid w:val="61BC72C3"/>
    <w:rsid w:val="646D1360"/>
    <w:rsid w:val="665F418F"/>
    <w:rsid w:val="673B1CF0"/>
    <w:rsid w:val="69911C51"/>
    <w:rsid w:val="6A4D24FC"/>
    <w:rsid w:val="6BF064C1"/>
    <w:rsid w:val="6CF74F5F"/>
    <w:rsid w:val="6D522C52"/>
    <w:rsid w:val="6E4A3B75"/>
    <w:rsid w:val="71642D21"/>
    <w:rsid w:val="728A37C6"/>
    <w:rsid w:val="73D824BD"/>
    <w:rsid w:val="73F667F0"/>
    <w:rsid w:val="754A2B0D"/>
    <w:rsid w:val="76C35186"/>
    <w:rsid w:val="789C17FE"/>
    <w:rsid w:val="7CE347A7"/>
    <w:rsid w:val="7D852166"/>
    <w:rsid w:val="7E925B64"/>
    <w:rsid w:val="7ED60003"/>
    <w:rsid w:val="7EEC0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0.emf"/><Relationship Id="rId33" Type="http://schemas.openxmlformats.org/officeDocument/2006/relationships/oleObject" Target="embeddings/oleObject8.bin"/><Relationship Id="rId32" Type="http://schemas.openxmlformats.org/officeDocument/2006/relationships/image" Target="media/image9.emf"/><Relationship Id="rId31" Type="http://schemas.openxmlformats.org/officeDocument/2006/relationships/oleObject" Target="embeddings/oleObject7.bin"/><Relationship Id="rId30" Type="http://schemas.openxmlformats.org/officeDocument/2006/relationships/image" Target="media/image8.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7.emf"/><Relationship Id="rId27" Type="http://schemas.openxmlformats.org/officeDocument/2006/relationships/oleObject" Target="embeddings/oleObject5.bin"/><Relationship Id="rId26" Type="http://schemas.openxmlformats.org/officeDocument/2006/relationships/image" Target="media/image6.emf"/><Relationship Id="rId25" Type="http://schemas.openxmlformats.org/officeDocument/2006/relationships/oleObject" Target="embeddings/oleObject4.bin"/><Relationship Id="rId24" Type="http://schemas.openxmlformats.org/officeDocument/2006/relationships/image" Target="media/image5.emf"/><Relationship Id="rId23" Type="http://schemas.openxmlformats.org/officeDocument/2006/relationships/oleObject" Target="embeddings/oleObject3.bin"/><Relationship Id="rId22" Type="http://schemas.openxmlformats.org/officeDocument/2006/relationships/image" Target="media/image4.emf"/><Relationship Id="rId21" Type="http://schemas.openxmlformats.org/officeDocument/2006/relationships/oleObject" Target="embeddings/oleObject2.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2019-2020年收支总计对比情况（图1）</a:t>
            </a:r>
          </a:p>
        </c:rich>
      </c:tx>
      <c:layout>
        <c:manualLayout>
          <c:xMode val="edge"/>
          <c:yMode val="edge"/>
          <c:x val="0.199583333333333"/>
          <c:y val="0.880787037037037"/>
        </c:manualLayout>
      </c:layout>
      <c:overlay val="0"/>
      <c:spPr>
        <a:noFill/>
        <a:ln>
          <a:noFill/>
        </a:ln>
        <a:effectLst/>
      </c:spPr>
    </c:title>
    <c:autoTitleDeleted val="0"/>
    <c:plotArea>
      <c:layout>
        <c:manualLayout>
          <c:layoutTarget val="inner"/>
          <c:xMode val="edge"/>
          <c:yMode val="edge"/>
          <c:x val="0.100083333333333"/>
          <c:y val="0.133101851851852"/>
          <c:w val="0.869361111111111"/>
          <c:h val="0.625092592592593"/>
        </c:manualLayout>
      </c:layout>
      <c:barChart>
        <c:barDir val="col"/>
        <c:grouping val="clustered"/>
        <c:varyColors val="0"/>
        <c:ser>
          <c:idx val="0"/>
          <c:order val="0"/>
          <c:tx>
            <c:strRef>
              <c:f>'[新建 XLS 工作表.xls]Sheet1'!$E$1:$E$2</c:f>
              <c:strCache>
                <c:ptCount val="1"/>
                <c:pt idx="0">
                  <c:v>2019-2020年收支总计对比情况（图1） 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工作表.xls]Sheet1'!$D$3:$D$4</c:f>
              <c:strCache>
                <c:ptCount val="2"/>
                <c:pt idx="0">
                  <c:v>2019年</c:v>
                </c:pt>
                <c:pt idx="1">
                  <c:v>2020年</c:v>
                </c:pt>
              </c:strCache>
            </c:strRef>
          </c:cat>
          <c:val>
            <c:numRef>
              <c:f>'[新建 XLS 工作表.xls]Sheet1'!$E$3:$E$4</c:f>
              <c:numCache>
                <c:formatCode>General</c:formatCode>
                <c:ptCount val="2"/>
                <c:pt idx="0">
                  <c:v>32877.04</c:v>
                </c:pt>
                <c:pt idx="1">
                  <c:v>13565.69</c:v>
                </c:pt>
              </c:numCache>
            </c:numRef>
          </c:val>
        </c:ser>
        <c:dLbls>
          <c:showLegendKey val="0"/>
          <c:showVal val="1"/>
          <c:showCatName val="0"/>
          <c:showSerName val="0"/>
          <c:showPercent val="0"/>
          <c:showBubbleSize val="0"/>
        </c:dLbls>
        <c:gapWidth val="219"/>
        <c:overlap val="-27"/>
        <c:axId val="610043897"/>
        <c:axId val="816057578"/>
      </c:barChart>
      <c:catAx>
        <c:axId val="6100438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6057578"/>
        <c:crosses val="autoZero"/>
        <c:auto val="1"/>
        <c:lblAlgn val="ctr"/>
        <c:lblOffset val="100"/>
        <c:noMultiLvlLbl val="0"/>
      </c:catAx>
      <c:valAx>
        <c:axId val="81605757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004389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支出决算构成情况（按支出性质）</a:t>
            </a:r>
          </a:p>
        </c:rich>
      </c:tx>
      <c:layout>
        <c:manualLayout>
          <c:xMode val="edge"/>
          <c:yMode val="edge"/>
          <c:x val="0.212429378531073"/>
          <c:y val="0.887915006640106"/>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72881355932203"/>
          <c:y val="0.00956175298804781"/>
          <c:w val="0.825282485875706"/>
          <c:h val="0.653386454183267"/>
        </c:manualLayout>
      </c:layout>
      <c:pie3DChart>
        <c:varyColors val="1"/>
        <c:ser>
          <c:idx val="0"/>
          <c:order val="0"/>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dLbl>
              <c:idx val="2"/>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'[新建 XLS 工作表.xls]Sheet1'!$C$6:$D$8</c:f>
              <c:multiLvlStrCache>
                <c:ptCount val="3"/>
                <c:lvl>
                  <c:pt idx="0">
                    <c:v>1108.05万元</c:v>
                  </c:pt>
                  <c:pt idx="1">
                    <c:v>11598.64万元</c:v>
                  </c:pt>
                  <c:pt idx="2">
                    <c:v>0万元</c:v>
                  </c:pt>
                </c:lvl>
                <c:lvl>
                  <c:pt idx="0">
                    <c:v>基本支出 </c:v>
                  </c:pt>
                  <c:pt idx="1">
                    <c:v>项目支出</c:v>
                  </c:pt>
                  <c:pt idx="2">
                    <c:v>经营支出</c:v>
                  </c:pt>
                </c:lvl>
              </c:multiLvlStrCache>
            </c:multiLvlStrRef>
          </c:cat>
          <c:val>
            <c:numRef>
              <c:f>'[新建 XLS 工作表.xls]Sheet1'!$E$6:$E$8</c:f>
              <c:numCache>
                <c:formatCode>0.00%</c:formatCode>
                <c:ptCount val="3"/>
                <c:pt idx="0">
                  <c:v>0.0872</c:v>
                </c:pt>
                <c:pt idx="1">
                  <c:v>0.9128</c:v>
                </c:pt>
                <c:pt idx="2" c:formatCode="0%">
                  <c:v>0</c:v>
                </c:pt>
              </c:numCache>
            </c:numRef>
          </c:val>
        </c:ser>
        <c:dLbls>
          <c:showLegendKey val="0"/>
          <c:showVal val="0"/>
          <c:showCatName val="0"/>
          <c:showSerName val="0"/>
          <c:showPercent val="0"/>
          <c:showBubbleSize val="0"/>
        </c:dLbls>
      </c:pie3DChart>
      <c:spPr>
        <a:noFill/>
        <a:ln>
          <a:noFill/>
        </a:ln>
        <a:effectLst/>
      </c:spPr>
    </c:plotArea>
    <c:legend>
      <c:legendPos val="b"/>
      <c:layout>
        <c:manualLayout>
          <c:xMode val="edge"/>
          <c:yMode val="edge"/>
          <c:x val="0.109322033898305"/>
          <c:y val="0.738645418326693"/>
          <c:w val="0.78135593220339"/>
          <c:h val="0.12749003984063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 </a:t>
            </a:r>
          </a:p>
        </c:rich>
      </c:tx>
      <c:layout>
        <c:manualLayout>
          <c:xMode val="edge"/>
          <c:yMode val="edge"/>
          <c:x val="0.288541666666667"/>
          <c:y val="0.90162037037037"/>
        </c:manualLayout>
      </c:layout>
      <c:overlay val="0"/>
      <c:spPr>
        <a:noFill/>
        <a:ln>
          <a:noFill/>
        </a:ln>
        <a:effectLst/>
      </c:spPr>
    </c:title>
    <c:autoTitleDeleted val="0"/>
    <c:plotArea>
      <c:layout>
        <c:manualLayout>
          <c:layoutTarget val="inner"/>
          <c:xMode val="edge"/>
          <c:yMode val="edge"/>
          <c:x val="0.100083333333333"/>
          <c:y val="0.0703703703703704"/>
          <c:w val="0.869361111111111"/>
          <c:h val="0.710972222222222"/>
        </c:manualLayout>
      </c:layout>
      <c:barChart>
        <c:barDir val="col"/>
        <c:grouping val="clustered"/>
        <c:varyColors val="0"/>
        <c:ser>
          <c:idx val="0"/>
          <c:order val="0"/>
          <c:tx>
            <c:strRef>
              <c:f>'[新建 XLS 工作表.xls]Sheet1'!$D$3:$D$4</c:f>
              <c:strCache>
                <c:ptCount val="1"/>
                <c:pt idx="0">
                  <c:v>财政拨款收支 金额：万元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工作表.xls]Sheet1'!$C$5:$C$8</c:f>
              <c:strCache>
                <c:ptCount val="4"/>
                <c:pt idx="0">
                  <c:v>2019年收入</c:v>
                </c:pt>
                <c:pt idx="1">
                  <c:v>2020年收入</c:v>
                </c:pt>
                <c:pt idx="2">
                  <c:v>2019年支出</c:v>
                </c:pt>
                <c:pt idx="3">
                  <c:v>2020年支出</c:v>
                </c:pt>
              </c:strCache>
            </c:strRef>
          </c:cat>
          <c:val>
            <c:numRef>
              <c:f>'[新建 XLS 工作表.xls]Sheet1'!$D$5:$D$8</c:f>
              <c:numCache>
                <c:formatCode>General</c:formatCode>
                <c:ptCount val="4"/>
                <c:pt idx="0">
                  <c:v>32077.04</c:v>
                </c:pt>
                <c:pt idx="1">
                  <c:v>12706.69</c:v>
                </c:pt>
                <c:pt idx="2">
                  <c:v>32077.04</c:v>
                </c:pt>
                <c:pt idx="3">
                  <c:v>12706.69</c:v>
                </c:pt>
              </c:numCache>
            </c:numRef>
          </c:val>
        </c:ser>
        <c:dLbls>
          <c:showLegendKey val="0"/>
          <c:showVal val="1"/>
          <c:showCatName val="0"/>
          <c:showSerName val="0"/>
          <c:showPercent val="0"/>
          <c:showBubbleSize val="0"/>
        </c:dLbls>
        <c:gapWidth val="219"/>
        <c:overlap val="-27"/>
        <c:axId val="809280689"/>
        <c:axId val="608179605"/>
      </c:barChart>
      <c:catAx>
        <c:axId val="8092806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8179605"/>
        <c:crosses val="autoZero"/>
        <c:auto val="1"/>
        <c:lblAlgn val="ctr"/>
        <c:lblOffset val="100"/>
        <c:noMultiLvlLbl val="0"/>
      </c:catAx>
      <c:valAx>
        <c:axId val="60817960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2806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财政拨款支出决算结构情况 </a:t>
            </a:r>
          </a:p>
        </c:rich>
      </c:tx>
      <c:layout>
        <c:manualLayout>
          <c:xMode val="edge"/>
          <c:yMode val="edge"/>
          <c:x val="0.250750562922191"/>
          <c:y val="0.927708794012587"/>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101105829372029"/>
          <c:y val="0.0790259612345411"/>
          <c:w val="0.831563672754566"/>
          <c:h val="0.609801039612834"/>
        </c:manualLayout>
      </c:layout>
      <c:pie3DChart>
        <c:varyColors val="1"/>
        <c:ser>
          <c:idx val="0"/>
          <c:order val="0"/>
          <c:tx>
            <c:strRef>
              <c:f>'[新建 XLS 工作表.xls]Sheet2'!$C$2:$C$3</c:f>
              <c:strCache>
                <c:ptCount val="1"/>
                <c:pt idx="0">
                  <c:v>财政拨款支出决算结构 比重</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explosion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Pt>
            <c:idx val="4"/>
            <c:bubble3D val="0"/>
            <c:spPr>
              <a:solidFill>
                <a:schemeClr val="accent5"/>
              </a:solidFill>
              <a:ln w="25400">
                <a:solidFill>
                  <a:schemeClr val="lt1"/>
                </a:solidFill>
              </a:ln>
              <a:effectLst/>
              <a:scene3d>
                <a:camera prst="orthographicFront"/>
                <a:lightRig rig="threePt" dir="t"/>
              </a:scene3d>
              <a:sp3d contourW="25400"/>
            </c:spPr>
          </c:dPt>
          <c:dPt>
            <c:idx val="5"/>
            <c:bubble3D val="0"/>
            <c:spPr>
              <a:solidFill>
                <a:schemeClr val="accent6"/>
              </a:solidFill>
              <a:ln w="25400">
                <a:solidFill>
                  <a:schemeClr val="lt1"/>
                </a:solidFill>
              </a:ln>
              <a:effectLst/>
              <a:scene3d>
                <a:camera prst="orthographicFront"/>
                <a:lightRig rig="threePt" dir="t"/>
              </a:scene3d>
              <a:sp3d contourW="25400"/>
            </c:spPr>
          </c:dPt>
          <c:dLbls>
            <c:dLbl>
              <c:idx val="3"/>
              <c:layout>
                <c:manualLayout>
                  <c:x val="-0.033775331498624"/>
                  <c:y val="-0.083348270299336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00675506629973"/>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69101826369777"/>
                  <c:y val="-0.08065961641871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工作表.xls]Sheet2'!$B$4:$B$9</c:f>
              <c:strCache>
                <c:ptCount val="6"/>
                <c:pt idx="0">
                  <c:v>一般公共服务（类）</c:v>
                </c:pt>
                <c:pt idx="1">
                  <c:v>社会保障和就业（类）</c:v>
                </c:pt>
                <c:pt idx="2">
                  <c:v>卫生健康支出（类）</c:v>
                </c:pt>
                <c:pt idx="3">
                  <c:v>节能环保（类）</c:v>
                </c:pt>
                <c:pt idx="4">
                  <c:v>农林水（类）</c:v>
                </c:pt>
                <c:pt idx="5">
                  <c:v>住房保障（类）</c:v>
                </c:pt>
              </c:strCache>
            </c:strRef>
          </c:cat>
          <c:val>
            <c:numRef>
              <c:f>'[新建 XLS 工作表.xls]Sheet2'!$C$4:$C$9</c:f>
              <c:numCache>
                <c:formatCode>0.00%</c:formatCode>
                <c:ptCount val="6"/>
                <c:pt idx="0">
                  <c:v>0.0617</c:v>
                </c:pt>
                <c:pt idx="1">
                  <c:v>0.9281</c:v>
                </c:pt>
                <c:pt idx="2">
                  <c:v>0.0036</c:v>
                </c:pt>
                <c:pt idx="3">
                  <c:v>0.0005</c:v>
                </c:pt>
                <c:pt idx="4">
                  <c:v>0.0011</c:v>
                </c:pt>
                <c:pt idx="5">
                  <c:v>0.005</c:v>
                </c:pt>
              </c:numCache>
            </c:numRef>
          </c:val>
        </c:ser>
        <c:dLbls>
          <c:showLegendKey val="0"/>
          <c:showVal val="1"/>
          <c:showCatName val="0"/>
          <c:showSerName val="0"/>
          <c:showPercent val="0"/>
          <c:showBubbleSize val="0"/>
        </c:dLbls>
      </c:pie3DChart>
      <c:spPr>
        <a:noFill/>
        <a:ln>
          <a:noFill/>
        </a:ln>
        <a:effectLst/>
      </c:spPr>
    </c:plotArea>
    <c:legend>
      <c:legendPos val="b"/>
      <c:layout>
        <c:manualLayout>
          <c:xMode val="edge"/>
          <c:yMode val="edge"/>
          <c:x val="0.1257192894671"/>
          <c:y val="0.72970066320129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32"/>
    <customShpInfo spid="_x0000_s1033"/>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6423</Words>
  <Characters>6987</Characters>
  <Lines>82</Lines>
  <Paragraphs>23</Paragraphs>
  <TotalTime>2</TotalTime>
  <ScaleCrop>false</ScaleCrop>
  <LinksUpToDate>false</LinksUpToDate>
  <CharactersWithSpaces>7034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%E5%A4%AA%E9%98%B3%E9%A3%8E</cp:lastModifiedBy>
  <dcterms:modified xsi:type="dcterms:W3CDTF">2023-11-07T09:20:20Z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65FA352BAB5146309CB066C800874C19</vt:lpwstr>
  </property>
</Properties>
</file>