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pPr>
                    <w:rPr>
                      <w:rFonts w:hint="default" w:eastAsia="等线"/>
                      <w:sz w:val="52"/>
                      <w:szCs w:val="52"/>
                      <w:lang w:val="en-US" w:eastAsia="zh-CN"/>
                    </w:rPr>
                  </w:pPr>
                  <w:r>
                    <w:rPr>
                      <w:rFonts w:hint="eastAsia"/>
                      <w:sz w:val="52"/>
                      <w:szCs w:val="52"/>
                      <w:lang w:val="en-US" w:eastAsia="zh-CN"/>
                    </w:rPr>
                    <w:t>2019</w:t>
                  </w:r>
                </w:p>
              </w:txbxContent>
            </v:textbox>
          </v:shape>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6192;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rect id="矩形 14" o:spid="_x0000_s1035" o:spt="1" style="position:absolute;left:0pt;margin-left:-37.7pt;margin-top:130.4pt;height:71.15pt;width:155.4pt;z-index:251659264;mso-width-relative:page;mso-height-relative:page;" filled="f" stroked="f" coordsize="21600,21600">
            <v:path/>
            <v:fill on="f" focussize="0,0"/>
            <v:stroke on="f"/>
            <v:imagedata o:title=""/>
            <o:lock v:ext="edit" aspectratio="f"/>
            <v:textbox>
              <w:txbxContent>
                <w:p>
                  <w:pPr>
                    <w:spacing w:line="360" w:lineRule="auto"/>
                    <w:jc w:val="both"/>
                    <w:rPr>
                      <w:kern w:val="0"/>
                      <w:sz w:val="28"/>
                      <w:szCs w:val="28"/>
                    </w:rPr>
                  </w:pPr>
                </w:p>
              </w:txbxContent>
            </v:textbox>
          </v:rect>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 xml:space="preserve">中共保定市满城区直属机关工作委员会 </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仿宋" w:eastAsia="仿宋_GB2312"/>
          <w:sz w:val="32"/>
          <w:szCs w:val="32"/>
        </w:rPr>
      </w:pPr>
      <w:r>
        <w:rPr>
          <w:rFonts w:hint="eastAsia" w:ascii="仿宋_GB2312" w:hAnsi="仿宋" w:eastAsia="仿宋_GB2312"/>
          <w:sz w:val="32"/>
          <w:szCs w:val="32"/>
        </w:rPr>
        <w:t>（一）提出区直机关党的建设规划，指导区直机关基层党组织抓好党的思想、组织、作风建设。（二）指导区直机关基层党组织实施对党员特别是党员领导干部的监督，定期了解并及时向区委反映区直各部门领导班子和领导干部的情况和问题。（三）负责区直各部门机关基层党组织的批建、换届、选举、书记、副书记、委员的审批。（四）负责县区各部门机关党组织发展党员计划、发展党员和预备党员转正的审批，入党积极分子及预备党员的培训。（五）负责区直机关党组织的纪律检查工作，审议科级党员干部违反党纪问题，审批一般党员违反党纪的处理决定。（六）领导区直机关工会、共青团区直机关工作委员会、区直机关妇女工作委员会等群众组织的工作，负责区直机关计划生育工作。（七）领导组织区直机关和企事业单位民兵的思想教育和军事训练，负责非农户口青年应征入伍及民兵整组工作。（八）指导区直机关基层党组织围绕经济建设和区委中心工作，做好宣传和思想政治工作。（九）完成区委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中共保定市满城区直属机关工作委员会</w:t>
            </w:r>
          </w:p>
        </w:tc>
        <w:tc>
          <w:tcPr>
            <w:tcW w:w="244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万元，主要原因</w:t>
      </w:r>
      <w:r>
        <w:rPr>
          <w:rFonts w:hint="eastAsia" w:ascii="仿宋_GB2312" w:hAnsi="仿宋_GB2312" w:eastAsia="仿宋_GB2312" w:cs="仿宋_GB2312"/>
          <w:sz w:val="32"/>
          <w:szCs w:val="32"/>
        </w:rPr>
        <w:t>是2019年机关工委新分设决算账户</w:t>
      </w:r>
      <w:r>
        <w:rPr>
          <w:rFonts w:hint="eastAsia" w:ascii="仿宋_GB2312" w:hAnsi="Times New Roman" w:eastAsia="仿宋_GB2312" w:cs="DengXian-Regular"/>
          <w:sz w:val="32"/>
          <w:szCs w:val="32"/>
        </w:rPr>
        <w:t>。支出总计（含结转和结余）</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万元，主要原因是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万元，其中：财政拨款收入</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万元，其中：基本支出</w:t>
      </w:r>
      <w:r>
        <w:rPr>
          <w:rFonts w:hint="eastAsia" w:ascii="仿宋_GB2312" w:hAnsi="仿宋_GB2312" w:eastAsia="仿宋_GB2312" w:cs="仿宋_GB2312"/>
          <w:sz w:val="32"/>
          <w:szCs w:val="32"/>
        </w:rPr>
        <w:t>75.43</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黑体" w:hAnsi="Calibri" w:eastAsia="黑体"/>
          <w:b/>
          <w:bCs/>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年度形成的财政拨款收支均为一般公共预算财政拨款，其中本年收入75.43万元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年度增加75.43万元，主要是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；本年支出75.43万元，增加75.43万元，主要是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宋体" w:hAnsi="宋体" w:cs="宋体"/>
          <w:sz w:val="32"/>
          <w:szCs w:val="32"/>
        </w:rPr>
        <w:t>80.05</w:t>
      </w:r>
      <w:r>
        <w:rPr>
          <w:rFonts w:hint="eastAsia" w:ascii="仿宋_GB2312" w:hAnsi="Times New Roman" w:eastAsia="仿宋_GB2312" w:cs="DengXian-Regular"/>
          <w:sz w:val="32"/>
          <w:szCs w:val="32"/>
        </w:rPr>
        <w:t>万元，完成年初预算的94.23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比年初预算减少4.62万元，决算数小于预算数主要原因是1名在岗人员退休，减少了人员经费支出；本年支出75.43万元，完成年初预算的94.23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比年初预算减少4.62万元，决算数小于预算数主要原因是1名在岗人员退休，减少了人员经费支出。</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pStyle w:val="14"/>
        <w:ind w:firstLine="640" w:firstLineChars="200"/>
        <w:rPr>
          <w:rFonts w:ascii="仿宋_GB2312" w:hAnsi="仿宋_GB2312" w:eastAsia="仿宋_GB2312" w:cs="仿宋_GB2312"/>
          <w:kern w:val="2"/>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年度财政拨款支出75.43万元，主要用于以下方面：一般公共服务（类）支出</w:t>
      </w:r>
      <w:r>
        <w:rPr>
          <w:rFonts w:hint="eastAsia" w:ascii="仿宋_GB2312" w:hAnsi="仿宋_GB2312" w:eastAsia="仿宋_GB2312" w:cs="仿宋_GB2312"/>
          <w:kern w:val="2"/>
          <w:sz w:val="32"/>
          <w:szCs w:val="32"/>
        </w:rPr>
        <w:t>63.36</w:t>
      </w:r>
      <w:r>
        <w:rPr>
          <w:rFonts w:hint="eastAsia" w:ascii="仿宋_GB2312" w:hAnsi="Times New Roman" w:eastAsia="仿宋_GB2312" w:cs="DengXian-Regular"/>
          <w:sz w:val="32"/>
          <w:szCs w:val="32"/>
        </w:rPr>
        <w:t>万元，占</w:t>
      </w:r>
      <w:r>
        <w:rPr>
          <w:rFonts w:hint="eastAsia" w:ascii="仿宋_GB2312" w:hAnsi="仿宋_GB2312" w:eastAsia="仿宋_GB2312" w:cs="仿宋_GB2312"/>
          <w:kern w:val="2"/>
          <w:sz w:val="32"/>
          <w:szCs w:val="32"/>
        </w:rPr>
        <w:t>83.00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hint="eastAsia" w:ascii="仿宋_GB2312" w:hAnsi="仿宋_GB2312" w:eastAsia="仿宋_GB2312" w:cs="仿宋_GB2312"/>
          <w:kern w:val="2"/>
          <w:sz w:val="32"/>
          <w:szCs w:val="32"/>
        </w:rPr>
        <w:t>7.30</w:t>
      </w:r>
      <w:r>
        <w:rPr>
          <w:rFonts w:hint="eastAsia" w:ascii="仿宋_GB2312" w:hAnsi="Times New Roman" w:eastAsia="仿宋_GB2312" w:cs="DengXian-Regular"/>
          <w:sz w:val="32"/>
          <w:szCs w:val="32"/>
        </w:rPr>
        <w:t>万元，占</w:t>
      </w:r>
      <w:r>
        <w:rPr>
          <w:rFonts w:hint="eastAsia" w:ascii="仿宋_GB2312" w:hAnsi="仿宋_GB2312" w:eastAsia="仿宋_GB2312" w:cs="仿宋_GB2312"/>
          <w:kern w:val="2"/>
          <w:sz w:val="32"/>
          <w:szCs w:val="32"/>
        </w:rPr>
        <w:t>9.68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仿宋_GB2312" w:eastAsia="仿宋_GB2312" w:cs="仿宋_GB2312"/>
          <w:kern w:val="2"/>
          <w:sz w:val="32"/>
          <w:szCs w:val="32"/>
        </w:rPr>
        <w:t>2.78</w:t>
      </w:r>
      <w:r>
        <w:rPr>
          <w:rFonts w:hint="eastAsia" w:ascii="仿宋_GB2312" w:hAnsi="Times New Roman" w:eastAsia="仿宋_GB2312" w:cs="DengXian-Regular"/>
          <w:sz w:val="32"/>
          <w:szCs w:val="32"/>
        </w:rPr>
        <w:t>万元，占</w:t>
      </w:r>
      <w:r>
        <w:rPr>
          <w:rFonts w:hint="eastAsia" w:ascii="仿宋_GB2312" w:hAnsi="仿宋_GB2312" w:eastAsia="仿宋_GB2312" w:cs="仿宋_GB2312"/>
          <w:kern w:val="2"/>
          <w:sz w:val="32"/>
          <w:szCs w:val="32"/>
        </w:rPr>
        <w:t>3.69</w:t>
      </w:r>
      <w:r>
        <w:rPr>
          <w:rFonts w:ascii="仿宋_GB2312" w:hAnsi="Times New Roman" w:eastAsia="仿宋_GB2312" w:cs="DengXian-Regular"/>
          <w:sz w:val="32"/>
          <w:szCs w:val="32"/>
        </w:rPr>
        <w:t>%;</w:t>
      </w:r>
      <w:r>
        <w:rPr>
          <w:rFonts w:hint="eastAsia" w:ascii="仿宋_GB2312" w:hAnsi="仿宋_GB2312" w:eastAsia="仿宋_GB2312" w:cs="仿宋_GB2312"/>
          <w:kern w:val="2"/>
          <w:sz w:val="32"/>
          <w:szCs w:val="32"/>
        </w:rPr>
        <w:t>卫生健康支出1.98万元，占总支出的2.62%。</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年度财政拨款基本支出75.43万元，其中：人员经费</w:t>
      </w:r>
      <w:r>
        <w:rPr>
          <w:rFonts w:ascii="仿宋_GB2312" w:hAnsi="Times New Roman" w:eastAsia="仿宋_GB2312" w:cs="DengXian-Regular"/>
          <w:sz w:val="32"/>
          <w:szCs w:val="32"/>
        </w:rPr>
        <w:t xml:space="preserve"> </w:t>
      </w:r>
      <w:r>
        <w:rPr>
          <w:rFonts w:hint="eastAsia" w:ascii="仿宋_GB2312" w:hAnsi="仿宋_GB2312" w:eastAsia="仿宋_GB2312" w:cs="仿宋_GB2312"/>
          <w:sz w:val="32"/>
          <w:szCs w:val="32"/>
        </w:rPr>
        <w:t>66.81</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退休费、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仿宋_GB2312" w:eastAsia="仿宋_GB2312" w:cs="仿宋_GB2312"/>
          <w:sz w:val="32"/>
          <w:szCs w:val="32"/>
        </w:rPr>
        <w:t>8.62</w:t>
      </w:r>
      <w:r>
        <w:rPr>
          <w:rFonts w:hint="eastAsia" w:ascii="仿宋_GB2312" w:hAnsi="Times New Roman" w:eastAsia="仿宋_GB2312" w:cs="DengXian-Regular"/>
          <w:sz w:val="32"/>
          <w:szCs w:val="32"/>
        </w:rPr>
        <w:t>万元，主要包括办公费、印刷费、邮电费、取暖费、物业管理费、培训费、公务用车运行维护费、其他交通费用、其他商品和服务支出、办公设备购置、其他资本性支出。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仿宋_GB2312" w:eastAsia="仿宋_GB2312" w:cs="仿宋_GB2312"/>
          <w:sz w:val="32"/>
          <w:szCs w:val="32"/>
        </w:rPr>
        <w:t>1.06</w:t>
      </w:r>
      <w:r>
        <w:rPr>
          <w:rFonts w:hint="eastAsia" w:ascii="仿宋_GB2312" w:hAnsi="Times New Roman" w:eastAsia="仿宋_GB2312" w:cs="DengXian-Regular"/>
          <w:sz w:val="32"/>
          <w:szCs w:val="32"/>
        </w:rPr>
        <w:t>万元，完成预算的</w:t>
      </w:r>
      <w:r>
        <w:rPr>
          <w:rFonts w:hint="eastAsia" w:ascii="仿宋_GB2312" w:hAnsi="仿宋_GB2312" w:eastAsia="仿宋_GB2312" w:cs="仿宋_GB2312"/>
          <w:sz w:val="32"/>
          <w:szCs w:val="32"/>
        </w:rPr>
        <w:t>60.45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较预算减少0.69万元，降低39.55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由于严格执行中央八项规定，减少公务用车运行费用</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年度增加1.06万元，主要是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无本单位组织的出国（境）团组。因公出国（境）费支出较预算增加0万元；较上年增加0万元。</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（二）公务用车购置及运行维护费支出1.06万元。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年度公务用车购置及运行维护费较预算减少0.69万元，降低39.55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由于严格执行中央八项规定，减少公务用车运行费用</w:t>
      </w:r>
      <w:r>
        <w:rPr>
          <w:rFonts w:hint="eastAsia" w:ascii="仿宋_GB2312" w:hAnsi="Times New Roman" w:eastAsia="仿宋_GB2312" w:cs="DengXian-Regular"/>
          <w:sz w:val="32"/>
          <w:szCs w:val="32"/>
        </w:rPr>
        <w:t>；较上年减少1.06万元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rPr>
        <w:t>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年度单位公务用车保有量1辆。公车运行维护费支出较预算减少0.69万元，降低39.55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由于严格执行中央八项规定，减少公务用车运行费用</w:t>
      </w:r>
      <w:r>
        <w:rPr>
          <w:rFonts w:hint="eastAsia" w:ascii="仿宋_GB2312" w:hAnsi="Times New Roman" w:eastAsia="仿宋_GB2312" w:cs="DengXian-Regular"/>
          <w:sz w:val="32"/>
          <w:szCs w:val="32"/>
        </w:rPr>
        <w:t>；较上年增加1.06万元，主要是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年度公务接待共0批次、0人次。公务接待费支出较预算减少0.18万元，降低100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由于严格执行中央八项规定，减少公务接待费用</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rPr>
        <w:t>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年度一般公共预算项目支出全面开展绩效自评，其中，一级项目4个，二级项目0个，共涉及资金75.43万元，占一般公共预算项目支出总额的100%。</w:t>
      </w:r>
      <w:r>
        <w:rPr>
          <w:rFonts w:hint="eastAsia" w:ascii="仿宋_GB2312" w:eastAsia="仿宋_GB2312" w:cs="DengXian-Regular"/>
          <w:sz w:val="32"/>
          <w:szCs w:val="32"/>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本部门在今年部门决算公开中反映一般公共服务支出等4个项目绩效自评结果。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项目自评综述：根据年初设定的绩效目标，项目绩效自评得分为100分。全年预算数为</w:t>
      </w:r>
      <w:r>
        <w:rPr>
          <w:rFonts w:hint="eastAsia" w:ascii="宋体" w:hAnsi="宋体" w:cs="宋体"/>
          <w:sz w:val="32"/>
          <w:szCs w:val="32"/>
        </w:rPr>
        <w:t>80.05</w:t>
      </w:r>
      <w:r>
        <w:rPr>
          <w:rFonts w:hint="eastAsia" w:ascii="仿宋_GB2312" w:hAnsi="仿宋_GB2312" w:eastAsia="仿宋_GB2312" w:cs="仿宋_GB2312"/>
          <w:sz w:val="32"/>
          <w:szCs w:val="32"/>
        </w:rPr>
        <w:t>万元，执行数为75.43万元，完成预算的</w:t>
      </w:r>
      <w:r>
        <w:rPr>
          <w:rFonts w:hint="eastAsia" w:ascii="仿宋_GB2312" w:hAnsi="Times New Roman" w:eastAsia="仿宋_GB2312" w:cs="DengXian-Regular"/>
          <w:sz w:val="32"/>
          <w:szCs w:val="32"/>
        </w:rPr>
        <w:t>94.23</w:t>
      </w:r>
      <w:r>
        <w:rPr>
          <w:rFonts w:ascii="仿宋_GB2312" w:hAnsi="Times New Roman" w:eastAsia="仿宋_GB2312" w:cs="DengXian-Regular"/>
          <w:sz w:val="32"/>
          <w:szCs w:val="32"/>
        </w:rPr>
        <w:t>%</w:t>
      </w:r>
      <w:r>
        <w:rPr>
          <w:rFonts w:hint="eastAsia" w:ascii="仿宋_GB2312" w:hAnsi="仿宋_GB2312" w:eastAsia="仿宋_GB2312" w:cs="仿宋_GB2312"/>
          <w:sz w:val="32"/>
          <w:szCs w:val="32"/>
        </w:rPr>
        <w:t>。项目绩效目标完成情况：一是人员经费支出未超年初预算；二是三公经费支出比年初预算减少，未发现问题。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一般公共服务支出项目绩效自评综述：较好地完成年初预算，并按照八项规定压缩“三公”经费开支。</w:t>
      </w:r>
    </w:p>
    <w:p>
      <w:pPr>
        <w:keepNext/>
        <w:keepLines/>
        <w:snapToGrid w:val="0"/>
        <w:spacing w:line="58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sz w:val="32"/>
          <w:szCs w:val="32"/>
        </w:rPr>
        <w:t>：优</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仿宋_GB2312" w:eastAsia="仿宋_GB2312" w:cs="仿宋_GB2312"/>
          <w:sz w:val="32"/>
          <w:szCs w:val="32"/>
        </w:rPr>
        <w:t>8.62</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仿宋_GB2312" w:eastAsia="仿宋_GB2312" w:cs="仿宋_GB2312"/>
          <w:sz w:val="32"/>
          <w:szCs w:val="32"/>
        </w:rPr>
        <w:t>8.62</w:t>
      </w:r>
      <w:r>
        <w:rPr>
          <w:rFonts w:hint="eastAsia" w:ascii="仿宋_GB2312" w:hAnsi="Times New Roman" w:eastAsia="仿宋_GB2312" w:cs="DengXian-Regular"/>
          <w:sz w:val="32"/>
          <w:szCs w:val="32"/>
        </w:rPr>
        <w:t>万元。主要原因是</w:t>
      </w:r>
      <w:r>
        <w:rPr>
          <w:rFonts w:hint="eastAsia" w:ascii="仿宋_GB2312" w:hAnsi="仿宋_GB2312" w:eastAsia="仿宋_GB2312" w:cs="仿宋_GB2312"/>
          <w:sz w:val="32"/>
          <w:szCs w:val="32"/>
        </w:rPr>
        <w:t>2019年机关工委新分设决算账户</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hAnsi="仿宋_GB2312" w:eastAsia="仿宋_GB2312" w:cs="仿宋_GB2312"/>
          <w:sz w:val="32"/>
          <w:szCs w:val="32"/>
        </w:rPr>
        <w:t>8.62</w:t>
      </w:r>
      <w:r>
        <w:rPr>
          <w:rFonts w:hint="eastAsia" w:ascii="仿宋_GB2312" w:eastAsia="仿宋_GB2312" w:cs="DengXian-Regular"/>
          <w:sz w:val="32"/>
          <w:szCs w:val="32"/>
        </w:rPr>
        <w:t>万元，比年初预算数减少</w:t>
      </w:r>
      <w:r>
        <w:rPr>
          <w:rFonts w:hint="eastAsia" w:ascii="仿宋_GB2312" w:hAnsi="Times New Roman" w:eastAsia="仿宋_GB2312" w:cs="DengXian-Regular"/>
          <w:sz w:val="32"/>
          <w:szCs w:val="32"/>
        </w:rPr>
        <w:t>0.4</w:t>
      </w:r>
      <w:r>
        <w:rPr>
          <w:rFonts w:hint="eastAsia" w:ascii="仿宋_GB2312" w:hAnsi="Times New Roman" w:eastAsia="仿宋_GB2312" w:cs="DengXian-Regular"/>
          <w:sz w:val="32"/>
          <w:szCs w:val="32"/>
          <w:lang w:val="en-US" w:eastAsia="zh-CN"/>
        </w:rPr>
        <w:t>0</w:t>
      </w:r>
      <w:r>
        <w:rPr>
          <w:rFonts w:hint="eastAsia" w:ascii="仿宋_GB2312" w:eastAsia="仿宋_GB2312" w:cs="DengXian-Regular"/>
          <w:sz w:val="32"/>
          <w:szCs w:val="32"/>
        </w:rPr>
        <w:t>万元，降低4.43</w:t>
      </w:r>
      <w:r>
        <w:rPr>
          <w:rFonts w:ascii="仿宋_GB2312" w:eastAsia="仿宋_GB2312" w:cs="DengXian-Regular"/>
          <w:sz w:val="32"/>
          <w:szCs w:val="32"/>
        </w:rPr>
        <w:t>%</w:t>
      </w:r>
      <w:r>
        <w:rPr>
          <w:rFonts w:hint="eastAsia" w:ascii="仿宋_GB2312" w:eastAsia="仿宋_GB2312" w:cs="DengXian-Regular"/>
          <w:sz w:val="32"/>
          <w:szCs w:val="32"/>
        </w:rPr>
        <w:t>。主要</w:t>
      </w:r>
      <w:bookmarkStart w:id="0" w:name="_GoBack"/>
      <w:r>
        <w:rPr>
          <w:rFonts w:hint="eastAsia" w:ascii="仿宋_GB2312" w:eastAsia="仿宋_GB2312" w:cs="DengXian-Regular"/>
          <w:sz w:val="32"/>
          <w:szCs w:val="32"/>
        </w:rPr>
        <w:t>原因是</w:t>
      </w:r>
      <w:bookmarkEnd w:id="0"/>
      <w:r>
        <w:rPr>
          <w:rFonts w:hint="eastAsia" w:ascii="仿宋_GB2312" w:hAnsi="Times New Roman" w:eastAsia="仿宋_GB2312" w:cs="DengXian-Regular"/>
          <w:sz w:val="32"/>
          <w:szCs w:val="32"/>
        </w:rPr>
        <w:t>1名在岗人员退休，减少了机关运行经费支出</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日，本部门共有车辆1辆，与上年没有变化。其中，应急保障用车1辆。单位价值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万元以上通用设备0台（套），与上年没有变化，单位价值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万元以上专用设备0台（套）与上年没有变化。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年度国有资本经营预算财政拨款无收支及结转结余情况，故公开0</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75.43</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63.36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7.30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75.43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75.43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75.43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75.43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850" w:type="dxa"/>
        <w:jc w:val="center"/>
        <w:tblLayout w:type="autofit"/>
        <w:tblCellMar>
          <w:top w:w="0" w:type="dxa"/>
          <w:left w:w="0" w:type="dxa"/>
          <w:bottom w:w="0" w:type="dxa"/>
          <w:right w:w="0" w:type="dxa"/>
        </w:tblCellMar>
      </w:tblPr>
      <w:tblGrid>
        <w:gridCol w:w="112"/>
        <w:gridCol w:w="228"/>
        <w:gridCol w:w="340"/>
        <w:gridCol w:w="340"/>
        <w:gridCol w:w="2220"/>
        <w:gridCol w:w="1080"/>
        <w:gridCol w:w="940"/>
        <w:gridCol w:w="780"/>
        <w:gridCol w:w="660"/>
        <w:gridCol w:w="760"/>
        <w:gridCol w:w="960"/>
        <w:gridCol w:w="1160"/>
        <w:gridCol w:w="270"/>
      </w:tblGrid>
      <w:tr>
        <w:tblPrEx>
          <w:tblCellMar>
            <w:top w:w="0" w:type="dxa"/>
            <w:left w:w="0" w:type="dxa"/>
            <w:bottom w:w="0" w:type="dxa"/>
            <w:right w:w="0" w:type="dxa"/>
          </w:tblCellMar>
        </w:tblPrEx>
        <w:trPr>
          <w:gridBefore w:val="1"/>
          <w:gridAfter w:val="1"/>
          <w:wBefore w:w="112" w:type="dxa"/>
          <w:wAfter w:w="270" w:type="dxa"/>
          <w:trHeight w:val="670" w:hRule="atLeast"/>
          <w:jc w:val="center"/>
        </w:trPr>
        <w:tc>
          <w:tcPr>
            <w:tcW w:w="946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108" w:type="dxa"/>
            <w:bottom w:w="0" w:type="dxa"/>
            <w:right w:w="108" w:type="dxa"/>
          </w:tblCellMar>
        </w:tblPrEx>
        <w:trPr>
          <w:trHeight w:val="390" w:hRule="atLeast"/>
          <w:jc w:val="center"/>
        </w:trPr>
        <w:tc>
          <w:tcPr>
            <w:tcW w:w="3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p>
        </w:tc>
        <w:tc>
          <w:tcPr>
            <w:tcW w:w="6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3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jc w:val="center"/>
        </w:trPr>
        <w:tc>
          <w:tcPr>
            <w:tcW w:w="4320" w:type="dxa"/>
            <w:gridSpan w:val="6"/>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shd w:val="clear" w:color="auto" w:fill="auto"/>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3240"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94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7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6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7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43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jc w:val="center"/>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22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40"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6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7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43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jc w:val="center"/>
        </w:trPr>
        <w:tc>
          <w:tcPr>
            <w:tcW w:w="3240"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585"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570"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党委办公厅（室）及相关机构事务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2013101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73.03</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73.03</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73.03</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73.03</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660"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630"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3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9850" w:type="dxa"/>
            <w:gridSpan w:val="13"/>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r>
        <w:br w:type="page"/>
      </w:r>
    </w:p>
    <w:tbl>
      <w:tblPr>
        <w:tblStyle w:val="6"/>
        <w:tblW w:w="9710" w:type="dxa"/>
        <w:jc w:val="center"/>
        <w:tblLayout w:type="fixed"/>
        <w:tblCellMar>
          <w:top w:w="0" w:type="dxa"/>
          <w:left w:w="0" w:type="dxa"/>
          <w:bottom w:w="0" w:type="dxa"/>
          <w:right w:w="0" w:type="dxa"/>
        </w:tblCellMar>
      </w:tblPr>
      <w:tblGrid>
        <w:gridCol w:w="339"/>
        <w:gridCol w:w="339"/>
        <w:gridCol w:w="294"/>
        <w:gridCol w:w="50"/>
        <w:gridCol w:w="111"/>
        <w:gridCol w:w="1358"/>
        <w:gridCol w:w="889"/>
        <w:gridCol w:w="271"/>
        <w:gridCol w:w="629"/>
        <w:gridCol w:w="532"/>
        <w:gridCol w:w="288"/>
        <w:gridCol w:w="879"/>
        <w:gridCol w:w="819"/>
        <w:gridCol w:w="341"/>
        <w:gridCol w:w="639"/>
        <w:gridCol w:w="522"/>
        <w:gridCol w:w="907"/>
        <w:gridCol w:w="466"/>
        <w:gridCol w:w="37"/>
      </w:tblGrid>
      <w:tr>
        <w:tblPrEx>
          <w:tblCellMar>
            <w:top w:w="0" w:type="dxa"/>
            <w:left w:w="0" w:type="dxa"/>
            <w:bottom w:w="0" w:type="dxa"/>
            <w:right w:w="0" w:type="dxa"/>
          </w:tblCellMar>
        </w:tblPrEx>
        <w:trPr>
          <w:gridAfter w:val="1"/>
          <w:wAfter w:w="37" w:type="dxa"/>
          <w:trHeight w:val="612" w:hRule="atLeast"/>
          <w:jc w:val="center"/>
        </w:trPr>
        <w:tc>
          <w:tcPr>
            <w:tcW w:w="9673"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72"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108" w:type="dxa"/>
            <w:bottom w:w="0" w:type="dxa"/>
            <w:right w:w="108" w:type="dxa"/>
          </w:tblCellMar>
        </w:tblPrEx>
        <w:trPr>
          <w:gridAfter w:val="2"/>
          <w:wAfter w:w="503" w:type="dxa"/>
          <w:trHeight w:val="255" w:hRule="atLeast"/>
          <w:jc w:val="center"/>
        </w:trPr>
        <w:tc>
          <w:tcPr>
            <w:tcW w:w="33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3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58"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0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8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9"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p>
        </w:tc>
      </w:tr>
      <w:tr>
        <w:tblPrEx>
          <w:tblCellMar>
            <w:top w:w="0" w:type="dxa"/>
            <w:left w:w="108" w:type="dxa"/>
            <w:bottom w:w="0" w:type="dxa"/>
            <w:right w:w="108" w:type="dxa"/>
          </w:tblCellMar>
        </w:tblPrEx>
        <w:trPr>
          <w:gridAfter w:val="2"/>
          <w:wAfter w:w="503" w:type="dxa"/>
          <w:trHeight w:val="255" w:hRule="atLeast"/>
          <w:jc w:val="center"/>
        </w:trPr>
        <w:tc>
          <w:tcPr>
            <w:tcW w:w="4280" w:type="dxa"/>
            <w:gridSpan w:val="9"/>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82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8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9"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82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7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81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98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42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358" w:type="dxa"/>
            <w:gridSpan w:val="3"/>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5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5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7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1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9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429"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gridAfter w:val="2"/>
          <w:wAfter w:w="503" w:type="dxa"/>
          <w:trHeight w:val="58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4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党委办公厅（室）及相关机构事务</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1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2013101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30"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90"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60"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1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2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10"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9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10"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3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65"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358"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08" w:hRule="atLeast"/>
          <w:jc w:val="center"/>
        </w:trPr>
        <w:tc>
          <w:tcPr>
            <w:tcW w:w="102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58"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2"/>
          <w:wAfter w:w="503" w:type="dxa"/>
          <w:trHeight w:val="308" w:hRule="atLeast"/>
          <w:jc w:val="center"/>
        </w:trPr>
        <w:tc>
          <w:tcPr>
            <w:tcW w:w="9207" w:type="dxa"/>
            <w:gridSpan w:val="17"/>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700"/>
        <w:gridCol w:w="709"/>
        <w:gridCol w:w="64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部门：机关工委</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75.43</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63.36</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63.36</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7.30</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7.30</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2.78</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75.43</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75.43</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75.43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75.43</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75.43</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75.43</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75.43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223"/>
        <w:gridCol w:w="223"/>
        <w:gridCol w:w="223"/>
        <w:gridCol w:w="223"/>
        <w:gridCol w:w="223"/>
        <w:gridCol w:w="8875"/>
      </w:tblGrid>
      <w:tr>
        <w:tblPrEx>
          <w:tblCellMar>
            <w:top w:w="0" w:type="dxa"/>
            <w:left w:w="0" w:type="dxa"/>
            <w:bottom w:w="0" w:type="dxa"/>
            <w:right w:w="0" w:type="dxa"/>
          </w:tblCellMar>
        </w:tblPrEx>
        <w:trPr>
          <w:trHeight w:val="600" w:hRule="atLeast"/>
          <w:jc w:val="center"/>
        </w:trPr>
        <w:tc>
          <w:tcPr>
            <w:tcW w:w="999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bl>
    <w:p/>
    <w:tbl>
      <w:tblPr>
        <w:tblStyle w:val="6"/>
        <w:tblW w:w="8440" w:type="dxa"/>
        <w:tblInd w:w="93" w:type="dxa"/>
        <w:tblLayout w:type="autofit"/>
        <w:tblCellMar>
          <w:top w:w="0" w:type="dxa"/>
          <w:left w:w="108" w:type="dxa"/>
          <w:bottom w:w="0" w:type="dxa"/>
          <w:right w:w="108" w:type="dxa"/>
        </w:tblCellMar>
      </w:tblPr>
      <w:tblGrid>
        <w:gridCol w:w="1020"/>
        <w:gridCol w:w="4000"/>
        <w:gridCol w:w="1140"/>
        <w:gridCol w:w="1100"/>
        <w:gridCol w:w="1180"/>
      </w:tblGrid>
      <w:tr>
        <w:tblPrEx>
          <w:tblCellMar>
            <w:top w:w="0" w:type="dxa"/>
            <w:left w:w="108" w:type="dxa"/>
            <w:bottom w:w="0" w:type="dxa"/>
            <w:right w:w="108" w:type="dxa"/>
          </w:tblCellMar>
        </w:tblPrEx>
        <w:trPr>
          <w:trHeight w:val="255" w:hRule="atLeast"/>
        </w:trPr>
        <w:tc>
          <w:tcPr>
            <w:tcW w:w="502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11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5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34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000"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02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502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75.43</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党委办公厅（室）及相关机构事务</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2013101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63.36</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7.30</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5.94</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r>
        <w:br w:type="page"/>
      </w:r>
    </w:p>
    <w:tbl>
      <w:tblPr>
        <w:tblStyle w:val="6"/>
        <w:tblW w:w="10103" w:type="dxa"/>
        <w:jc w:val="center"/>
        <w:tblLayout w:type="fixed"/>
        <w:tblCellMar>
          <w:top w:w="0" w:type="dxa"/>
          <w:left w:w="0" w:type="dxa"/>
          <w:bottom w:w="0" w:type="dxa"/>
          <w:right w:w="0" w:type="dxa"/>
        </w:tblCellMar>
      </w:tblPr>
      <w:tblGrid>
        <w:gridCol w:w="896"/>
        <w:gridCol w:w="1932"/>
        <w:gridCol w:w="783"/>
        <w:gridCol w:w="655"/>
        <w:gridCol w:w="1727"/>
        <w:gridCol w:w="640"/>
        <w:gridCol w:w="744"/>
        <w:gridCol w:w="2159"/>
        <w:gridCol w:w="567"/>
      </w:tblGrid>
      <w:tr>
        <w:tblPrEx>
          <w:tblCellMar>
            <w:top w:w="0" w:type="dxa"/>
            <w:left w:w="0" w:type="dxa"/>
            <w:bottom w:w="0" w:type="dxa"/>
            <w:right w:w="0" w:type="dxa"/>
          </w:tblCellMar>
        </w:tblPrEx>
        <w:trPr>
          <w:trHeight w:val="662" w:hRule="atLeast"/>
          <w:jc w:val="center"/>
        </w:trPr>
        <w:tc>
          <w:tcPr>
            <w:tcW w:w="10103"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2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ascii="Arial" w:hAnsi="Arial" w:cs="Arial"/>
                <w:color w:val="000000"/>
                <w:sz w:val="20"/>
                <w:szCs w:val="20"/>
              </w:rPr>
              <w:t>中共保定市满城区直属机关工作委员会</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2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492"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72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1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2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51.36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17.73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12.61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30203</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31003</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30207</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31005</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31006</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31008</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30213</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31010</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15.45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31013</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14.06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30227</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39906</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0.02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39908</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对民间非营利组织和群众性自治组织补贴</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30240</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30299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66.81</w:t>
            </w:r>
          </w:p>
        </w:tc>
        <w:tc>
          <w:tcPr>
            <w:tcW w:w="592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公用经费合计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8.62</w:t>
            </w:r>
          </w:p>
        </w:tc>
      </w:tr>
    </w:tbl>
    <w:p>
      <w:r>
        <w:br w:type="page"/>
      </w:r>
    </w:p>
    <w:tbl>
      <w:tblPr>
        <w:tblStyle w:val="6"/>
        <w:tblW w:w="9220" w:type="dxa"/>
        <w:jc w:val="center"/>
        <w:tblLayout w:type="autofit"/>
        <w:tblCellMar>
          <w:top w:w="0" w:type="dxa"/>
          <w:left w:w="0" w:type="dxa"/>
          <w:bottom w:w="0" w:type="dxa"/>
          <w:right w:w="0" w:type="dxa"/>
        </w:tblCellMar>
      </w:tblPr>
      <w:tblGrid>
        <w:gridCol w:w="4030"/>
        <w:gridCol w:w="1220"/>
        <w:gridCol w:w="871"/>
        <w:gridCol w:w="656"/>
        <w:gridCol w:w="871"/>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0.18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1.06</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Arial"/>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4030"/>
        <w:gridCol w:w="36"/>
        <w:gridCol w:w="36"/>
        <w:gridCol w:w="910"/>
        <w:gridCol w:w="750"/>
        <w:gridCol w:w="750"/>
        <w:gridCol w:w="750"/>
        <w:gridCol w:w="750"/>
        <w:gridCol w:w="750"/>
        <w:gridCol w:w="7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2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本部门本年度无相关收支及结转结余情况，按要求以空表列示。</w:t>
      </w:r>
      <w:r>
        <w:br w:type="page"/>
      </w:r>
    </w:p>
    <w:tbl>
      <w:tblPr>
        <w:tblStyle w:val="6"/>
        <w:tblW w:w="9915" w:type="dxa"/>
        <w:jc w:val="center"/>
        <w:tblLayout w:type="autofit"/>
        <w:tblCellMar>
          <w:top w:w="0" w:type="dxa"/>
          <w:left w:w="0" w:type="dxa"/>
          <w:bottom w:w="0" w:type="dxa"/>
          <w:right w:w="0" w:type="dxa"/>
        </w:tblCellMar>
      </w:tblPr>
      <w:tblGrid>
        <w:gridCol w:w="4030"/>
        <w:gridCol w:w="36"/>
        <w:gridCol w:w="36"/>
        <w:gridCol w:w="3523"/>
        <w:gridCol w:w="470"/>
        <w:gridCol w:w="910"/>
        <w:gridCol w:w="91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本部门本年度无相关支出情况，按要求以空表列示。</w:t>
      </w:r>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思源黑体 HW Bold">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VhZDYwZjkyZWIzOWU2ZmI4NDEyYjJhZmY2NDc1NDIifQ=="/>
  </w:docVars>
  <w:rsids>
    <w:rsidRoot w:val="6AAF1C96"/>
    <w:rsid w:val="00007946"/>
    <w:rsid w:val="0007063E"/>
    <w:rsid w:val="00071ADD"/>
    <w:rsid w:val="00073392"/>
    <w:rsid w:val="00073F4E"/>
    <w:rsid w:val="00086C89"/>
    <w:rsid w:val="000A39FB"/>
    <w:rsid w:val="000D1092"/>
    <w:rsid w:val="0011621C"/>
    <w:rsid w:val="00117746"/>
    <w:rsid w:val="00163F95"/>
    <w:rsid w:val="00180A9A"/>
    <w:rsid w:val="001829C0"/>
    <w:rsid w:val="00184809"/>
    <w:rsid w:val="00192112"/>
    <w:rsid w:val="001B0127"/>
    <w:rsid w:val="001C12D5"/>
    <w:rsid w:val="001C69F7"/>
    <w:rsid w:val="001E45D3"/>
    <w:rsid w:val="002650EC"/>
    <w:rsid w:val="002A5E4A"/>
    <w:rsid w:val="002A6C46"/>
    <w:rsid w:val="002C19B5"/>
    <w:rsid w:val="002F6A9E"/>
    <w:rsid w:val="002F7768"/>
    <w:rsid w:val="0032551B"/>
    <w:rsid w:val="00371224"/>
    <w:rsid w:val="003A4EE8"/>
    <w:rsid w:val="004132CE"/>
    <w:rsid w:val="00442CC2"/>
    <w:rsid w:val="00444B84"/>
    <w:rsid w:val="00446244"/>
    <w:rsid w:val="00473C20"/>
    <w:rsid w:val="004C567C"/>
    <w:rsid w:val="004C6B74"/>
    <w:rsid w:val="004D61CB"/>
    <w:rsid w:val="005011D6"/>
    <w:rsid w:val="00503F2E"/>
    <w:rsid w:val="00507026"/>
    <w:rsid w:val="00552226"/>
    <w:rsid w:val="00566120"/>
    <w:rsid w:val="00582E6D"/>
    <w:rsid w:val="0058602C"/>
    <w:rsid w:val="005954D5"/>
    <w:rsid w:val="005A53FA"/>
    <w:rsid w:val="005D1293"/>
    <w:rsid w:val="005D3740"/>
    <w:rsid w:val="00622C8C"/>
    <w:rsid w:val="00644D5F"/>
    <w:rsid w:val="006727AD"/>
    <w:rsid w:val="00691425"/>
    <w:rsid w:val="006A516E"/>
    <w:rsid w:val="006B0830"/>
    <w:rsid w:val="007053ED"/>
    <w:rsid w:val="00716E2B"/>
    <w:rsid w:val="0072015C"/>
    <w:rsid w:val="007237AD"/>
    <w:rsid w:val="00770F18"/>
    <w:rsid w:val="00773B74"/>
    <w:rsid w:val="0078290C"/>
    <w:rsid w:val="007C06CA"/>
    <w:rsid w:val="007C46B3"/>
    <w:rsid w:val="007D4F5D"/>
    <w:rsid w:val="00804702"/>
    <w:rsid w:val="008163FB"/>
    <w:rsid w:val="0082605B"/>
    <w:rsid w:val="00854359"/>
    <w:rsid w:val="00855C36"/>
    <w:rsid w:val="00857DBE"/>
    <w:rsid w:val="008701BC"/>
    <w:rsid w:val="00883D92"/>
    <w:rsid w:val="008A5362"/>
    <w:rsid w:val="008F21F1"/>
    <w:rsid w:val="008F221B"/>
    <w:rsid w:val="008F5A2D"/>
    <w:rsid w:val="00921602"/>
    <w:rsid w:val="0095140E"/>
    <w:rsid w:val="00957EA1"/>
    <w:rsid w:val="00966E5B"/>
    <w:rsid w:val="009B4EF0"/>
    <w:rsid w:val="009C0F54"/>
    <w:rsid w:val="009C4C73"/>
    <w:rsid w:val="009D271F"/>
    <w:rsid w:val="009F7854"/>
    <w:rsid w:val="00A4337A"/>
    <w:rsid w:val="00A53AF6"/>
    <w:rsid w:val="00A929C2"/>
    <w:rsid w:val="00AD097F"/>
    <w:rsid w:val="00AE20AC"/>
    <w:rsid w:val="00B72E42"/>
    <w:rsid w:val="00B844F4"/>
    <w:rsid w:val="00B95FBD"/>
    <w:rsid w:val="00BA06A1"/>
    <w:rsid w:val="00BA770A"/>
    <w:rsid w:val="00BB274E"/>
    <w:rsid w:val="00BF4D15"/>
    <w:rsid w:val="00C054DE"/>
    <w:rsid w:val="00C679A9"/>
    <w:rsid w:val="00C7541C"/>
    <w:rsid w:val="00C81B51"/>
    <w:rsid w:val="00C86398"/>
    <w:rsid w:val="00CB7BAF"/>
    <w:rsid w:val="00CC0FAA"/>
    <w:rsid w:val="00CD0736"/>
    <w:rsid w:val="00CE3A12"/>
    <w:rsid w:val="00CE3BAF"/>
    <w:rsid w:val="00D1570F"/>
    <w:rsid w:val="00D32830"/>
    <w:rsid w:val="00D70AB5"/>
    <w:rsid w:val="00DA4B36"/>
    <w:rsid w:val="00DB7153"/>
    <w:rsid w:val="00DB7F05"/>
    <w:rsid w:val="00E028C3"/>
    <w:rsid w:val="00E14F77"/>
    <w:rsid w:val="00E3076B"/>
    <w:rsid w:val="00E36978"/>
    <w:rsid w:val="00E75CD2"/>
    <w:rsid w:val="00E82A1E"/>
    <w:rsid w:val="00E970E4"/>
    <w:rsid w:val="00EC06F4"/>
    <w:rsid w:val="00EE4E36"/>
    <w:rsid w:val="00F665F4"/>
    <w:rsid w:val="00FB1D00"/>
    <w:rsid w:val="00FC5459"/>
    <w:rsid w:val="00FD225F"/>
    <w:rsid w:val="00FE6862"/>
    <w:rsid w:val="00FF16EE"/>
    <w:rsid w:val="012657A3"/>
    <w:rsid w:val="22E03993"/>
    <w:rsid w:val="248E0A7D"/>
    <w:rsid w:val="25B37D65"/>
    <w:rsid w:val="31C2036A"/>
    <w:rsid w:val="320D02A5"/>
    <w:rsid w:val="348E566F"/>
    <w:rsid w:val="3A226944"/>
    <w:rsid w:val="3AEE6A48"/>
    <w:rsid w:val="3C1620AA"/>
    <w:rsid w:val="3D07299E"/>
    <w:rsid w:val="3D8F080F"/>
    <w:rsid w:val="44CE1FA4"/>
    <w:rsid w:val="487F73ED"/>
    <w:rsid w:val="4A347EAE"/>
    <w:rsid w:val="52600405"/>
    <w:rsid w:val="529B4319"/>
    <w:rsid w:val="57773DD6"/>
    <w:rsid w:val="578B79AB"/>
    <w:rsid w:val="5CCD3FD5"/>
    <w:rsid w:val="61FA5F9D"/>
    <w:rsid w:val="64CD6910"/>
    <w:rsid w:val="6789158D"/>
    <w:rsid w:val="67D81BA4"/>
    <w:rsid w:val="6AAF1C96"/>
    <w:rsid w:val="71465378"/>
    <w:rsid w:val="75681757"/>
    <w:rsid w:val="75A346A8"/>
    <w:rsid w:val="79722730"/>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Default"/>
    <w:qForma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6"/>
    <customShpInfo spid="_x0000_s1038"/>
    <customShpInfo spid="_x0000_s1039"/>
    <customShpInfo spid="_x0000_s1037"/>
    <customShpInfo spid="_x0000_s1041"/>
    <customShpInfo spid="_x0000_s1042"/>
    <customShpInfo spid="_x0000_s1040"/>
    <customShpInfo spid="_x0000_s1043"/>
    <customShpInfo spid="_x0000_s1035"/>
    <customShpInfo spid="_x0000_s1053"/>
    <customShpInfo spid="_x0000_s1061"/>
    <customShpInfo spid="_x0000_s1062"/>
    <customShpInfo spid="_x0000_s1088"/>
    <customShpInfo spid="_x0000_s1089"/>
    <customShpInfo spid="_x0000_s110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74DD4B-8E6D-409F-916B-BE9064B3A441}">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28</Pages>
  <Words>1610</Words>
  <Characters>9178</Characters>
  <Lines>76</Lines>
  <Paragraphs>21</Paragraphs>
  <TotalTime>27</TotalTime>
  <ScaleCrop>false</ScaleCrop>
  <LinksUpToDate>false</LinksUpToDate>
  <CharactersWithSpaces>10767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2021-05-07T07:20:00Z</cp:lastPrinted>
  <dcterms:modified xsi:type="dcterms:W3CDTF">2023-11-07T09:01:00Z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0AC3EEFAF5C646D7AE5283C9E614C5FF</vt:lpwstr>
  </property>
</Properties>
</file>