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mc:AlternateContent>
          <mc:Choice Requires="wps">
            <w:drawing>
              <wp:anchor distT="0" distB="0" distL="114300" distR="114300" simplePos="0" relativeHeight="251667456" behindDoc="0" locked="0" layoutInCell="1" allowOverlap="1">
                <wp:simplePos x="0" y="0"/>
                <wp:positionH relativeFrom="column">
                  <wp:posOffset>1628775</wp:posOffset>
                </wp:positionH>
                <wp:positionV relativeFrom="paragraph">
                  <wp:posOffset>7872730</wp:posOffset>
                </wp:positionV>
                <wp:extent cx="2131695" cy="5175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2131695" cy="517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楷体_GB2312" w:hAnsi="楷体_GB2312" w:eastAsia="楷体_GB2312" w:cs="楷体_GB2312"/>
                                <w:sz w:val="44"/>
                                <w:szCs w:val="52"/>
                              </w:rPr>
                            </w:pPr>
                            <w:r>
                              <w:rPr>
                                <w:rFonts w:hint="eastAsia" w:ascii="楷体_GB2312" w:hAnsi="楷体_GB2312" w:eastAsia="楷体_GB2312" w:cs="楷体_GB2312"/>
                                <w:sz w:val="44"/>
                                <w:szCs w:val="52"/>
                              </w:rPr>
                              <w:t>2021年</w:t>
                            </w:r>
                            <w:r>
                              <w:rPr>
                                <w:rFonts w:hint="eastAsia" w:ascii="楷体_GB2312" w:hAnsi="楷体_GB2312" w:eastAsia="楷体_GB2312" w:cs="楷体_GB2312"/>
                                <w:sz w:val="44"/>
                                <w:szCs w:val="52"/>
                                <w:lang w:val="en-US" w:eastAsia="zh-CN"/>
                              </w:rPr>
                              <w:t>10</w:t>
                            </w:r>
                            <w:r>
                              <w:rPr>
                                <w:rFonts w:hint="eastAsia" w:ascii="楷体_GB2312" w:hAnsi="楷体_GB2312" w:eastAsia="楷体_GB2312" w:cs="楷体_GB2312"/>
                                <w:sz w:val="44"/>
                                <w:szCs w:val="52"/>
                              </w:rPr>
                              <w:t>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25pt;margin-top:619.9pt;height:40.75pt;width:167.85pt;z-index:251667456;mso-width-relative:page;mso-height-relative:page;" filled="f" stroked="f" coordsize="21600,21600" o:gfxdata="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5cw25dwAAAANAQAADwAAAAAAAAABACAAAAAiAAAA&#10;ZHJzL2Rvd25yZXYueG1sUEsBAhQAFAAAAAgAh07iQD1iiZQ8AgAAZgQAAA4AAAAAAAAAAQAgAAAA&#10;KwEAAGRycy9lMm9Eb2MueG1sUEsFBgAAAAAGAAYAWQEAANkFAAAAAA==&#10;">
                <v:fill on="f" focussize="0,0"/>
                <v:stroke on="f" weight="0.5pt"/>
                <v:imagedata o:title=""/>
                <o:lock v:ext="edit" aspectratio="f"/>
                <v:textbox>
                  <w:txbxContent>
                    <w:p>
                      <w:pPr>
                        <w:jc w:val="center"/>
                        <w:rPr>
                          <w:rFonts w:ascii="楷体_GB2312" w:hAnsi="楷体_GB2312" w:eastAsia="楷体_GB2312" w:cs="楷体_GB2312"/>
                          <w:sz w:val="44"/>
                          <w:szCs w:val="52"/>
                        </w:rPr>
                      </w:pPr>
                      <w:r>
                        <w:rPr>
                          <w:rFonts w:hint="eastAsia" w:ascii="楷体_GB2312" w:hAnsi="楷体_GB2312" w:eastAsia="楷体_GB2312" w:cs="楷体_GB2312"/>
                          <w:sz w:val="44"/>
                          <w:szCs w:val="52"/>
                        </w:rPr>
                        <w:t>2021年</w:t>
                      </w:r>
                      <w:r>
                        <w:rPr>
                          <w:rFonts w:hint="eastAsia" w:ascii="楷体_GB2312" w:hAnsi="楷体_GB2312" w:eastAsia="楷体_GB2312" w:cs="楷体_GB2312"/>
                          <w:sz w:val="44"/>
                          <w:szCs w:val="52"/>
                          <w:lang w:val="en-US" w:eastAsia="zh-CN"/>
                        </w:rPr>
                        <w:t>10</w:t>
                      </w:r>
                      <w:r>
                        <w:rPr>
                          <w:rFonts w:hint="eastAsia" w:ascii="楷体_GB2312" w:hAnsi="楷体_GB2312" w:eastAsia="楷体_GB2312" w:cs="楷体_GB2312"/>
                          <w:sz w:val="44"/>
                          <w:szCs w:val="52"/>
                        </w:rPr>
                        <w:t>月</w:t>
                      </w:r>
                    </w:p>
                  </w:txbxContent>
                </v:textbox>
              </v:shape>
            </w:pict>
          </mc:Fallback>
        </mc:AlternateContent>
      </w:r>
      <w:r>
        <w:drawing>
          <wp:anchor distT="0" distB="0" distL="114300" distR="114300" simplePos="0" relativeHeight="251666432" behindDoc="1" locked="0" layoutInCell="1" allowOverlap="1">
            <wp:simplePos x="0" y="0"/>
            <wp:positionH relativeFrom="column">
              <wp:posOffset>-997585</wp:posOffset>
            </wp:positionH>
            <wp:positionV relativeFrom="paragraph">
              <wp:posOffset>-1360170</wp:posOffset>
            </wp:positionV>
            <wp:extent cx="7592060" cy="10739755"/>
            <wp:effectExtent l="0" t="0" r="8890" b="4445"/>
            <wp:wrapNone/>
            <wp:docPr id="4" name="图片 4" descr="决算封面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决算封面无"/>
                    <pic:cNvPicPr>
                      <a:picLocks noChangeAspect="1"/>
                    </pic:cNvPicPr>
                  </pic:nvPicPr>
                  <pic:blipFill>
                    <a:blip r:embed="rId13"/>
                    <a:stretch>
                      <a:fillRect/>
                    </a:stretch>
                  </pic:blipFill>
                  <pic:spPr>
                    <a:xfrm>
                      <a:off x="0" y="0"/>
                      <a:ext cx="7592060" cy="10739755"/>
                    </a:xfrm>
                    <a:prstGeom prst="rect">
                      <a:avLst/>
                    </a:prstGeom>
                  </pic:spPr>
                </pic:pic>
              </a:graphicData>
            </a:graphic>
          </wp:anchor>
        </w:drawing>
      </w:r>
      <w:r>
        <w:drawing>
          <wp:anchor distT="0" distB="0" distL="114300" distR="114300" simplePos="0" relativeHeight="251659264" behindDoc="1" locked="0" layoutInCell="1" allowOverlap="1">
            <wp:simplePos x="0" y="0"/>
            <wp:positionH relativeFrom="column">
              <wp:posOffset>-973455</wp:posOffset>
            </wp:positionH>
            <wp:positionV relativeFrom="page">
              <wp:posOffset>3810</wp:posOffset>
            </wp:positionV>
            <wp:extent cx="7559675" cy="10689590"/>
            <wp:effectExtent l="0" t="0" r="14605" b="889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14"/>
                    <a:srcRect/>
                    <a:stretch>
                      <a:fillRect/>
                    </a:stretch>
                  </pic:blipFill>
                  <pic:spPr>
                    <a:xfrm>
                      <a:off x="0" y="0"/>
                      <a:ext cx="7559675" cy="10689590"/>
                    </a:xfrm>
                    <a:prstGeom prst="rect">
                      <a:avLst/>
                    </a:prstGeom>
                  </pic:spPr>
                </pic:pic>
              </a:graphicData>
            </a:graphic>
          </wp:anchor>
        </w:drawing>
      </w:r>
      <w:r>
        <w:br w:type="page"/>
      </w:r>
    </w:p>
    <w:p>
      <w:pPr>
        <w:jc w:val="cente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jc w:val="center"/>
        <w:rPr>
          <w:rFonts w:ascii="黑体" w:hAnsi="黑体" w:eastAsia="黑体" w:cs="黑体"/>
          <w:sz w:val="72"/>
          <w:szCs w:val="96"/>
          <w:highlight w:val="yellow"/>
        </w:r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保定市自然资源和规划局满城区分局</w:t>
      </w: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hint="default" w:ascii="楷体_GB2312" w:hAnsi="楷体_GB2312" w:eastAsia="楷体_GB2312" w:cs="楷体_GB2312"/>
          <w:color w:val="000000" w:themeColor="text1"/>
          <w:kern w:val="0"/>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2098" w:right="1531" w:bottom="1984"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w:t>
      </w:r>
      <w:r>
        <w:rPr>
          <w:rFonts w:hint="eastAsia" w:ascii="楷体_GB2312" w:hAnsi="楷体_GB2312" w:eastAsia="楷体_GB2312" w:cs="楷体_GB2312"/>
          <w:color w:val="000000" w:themeColor="text1"/>
          <w:kern w:val="0"/>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十月</w:t>
      </w:r>
    </w:p>
    <w:p>
      <w:pPr>
        <w:rPr>
          <w:rFonts w:ascii="黑体" w:hAnsi="黑体" w:eastAsia="黑体" w:cs="黑体"/>
          <w:sz w:val="56"/>
          <w:szCs w:val="72"/>
          <w:highlight w:val="yellow"/>
        </w:rPr>
        <w:sectPr>
          <w:headerReference r:id="rId4" w:type="first"/>
          <w:footerReference r:id="rId6" w:type="first"/>
          <w:headerReference r:id="rId3" w:type="default"/>
          <w:footerReference r:id="rId5" w:type="default"/>
          <w:type w:val="continuous"/>
          <w:pgSz w:w="11906" w:h="16838"/>
          <w:pgMar w:top="2098" w:right="1531" w:bottom="1984" w:left="1531" w:header="851" w:footer="992" w:gutter="0"/>
          <w:cols w:space="0" w:num="1"/>
          <w:titlePg/>
          <w:docGrid w:type="lines" w:linePitch="312" w:charSpace="0"/>
        </w:sectPr>
      </w:pPr>
    </w:p>
    <w:p>
      <w:pPr>
        <w:jc w:val="center"/>
        <w:rPr>
          <w:rFonts w:ascii="仿宋" w:hAnsi="仿宋" w:eastAsia="仿宋" w:cs="Times New Roman"/>
          <w:sz w:val="24"/>
        </w:rPr>
      </w:pPr>
      <w:r>
        <w:rPr>
          <w:rFonts w:hint="eastAsia" w:ascii="仿宋" w:hAnsi="仿宋" w:eastAsia="仿宋" w:cs="Times New Roman"/>
          <w:b/>
          <w:sz w:val="24"/>
        </w:rPr>
        <w:t>目    录</w:t>
      </w:r>
    </w:p>
    <w:p>
      <w:pPr>
        <w:widowControl/>
        <w:spacing w:line="640" w:lineRule="exact"/>
        <w:ind w:firstLine="480" w:firstLineChars="200"/>
        <w:rPr>
          <w:rFonts w:ascii="仿宋" w:hAnsi="仿宋" w:eastAsia="仿宋" w:cs="Times New Roman"/>
          <w:sz w:val="24"/>
        </w:rPr>
      </w:pPr>
      <w:r>
        <w:rPr>
          <w:rFonts w:ascii="仿宋" w:hAnsi="仿宋" w:eastAsia="仿宋" w:cs="Times New Roman"/>
          <w:sz w:val="24"/>
        </w:rPr>
        <w:t>第一部分   部门概况</w:t>
      </w:r>
    </w:p>
    <w:p>
      <w:pPr>
        <w:widowControl/>
        <w:spacing w:line="640" w:lineRule="exact"/>
        <w:ind w:firstLine="955" w:firstLineChars="398"/>
        <w:rPr>
          <w:rFonts w:ascii="仿宋" w:hAnsi="仿宋" w:eastAsia="仿宋" w:cs="Times New Roman"/>
          <w:sz w:val="24"/>
        </w:rPr>
      </w:pPr>
      <w:r>
        <w:rPr>
          <w:rFonts w:ascii="仿宋" w:hAnsi="仿宋" w:eastAsia="仿宋" w:cs="Times New Roman"/>
          <w:sz w:val="24"/>
        </w:rPr>
        <w:t>一、部门</w:t>
      </w:r>
      <w:r>
        <w:rPr>
          <w:rFonts w:hint="eastAsia" w:ascii="仿宋" w:hAnsi="仿宋" w:eastAsia="仿宋" w:cs="Times New Roman"/>
          <w:sz w:val="24"/>
        </w:rPr>
        <w:t>职责</w:t>
      </w:r>
    </w:p>
    <w:p>
      <w:pPr>
        <w:widowControl/>
        <w:spacing w:line="640" w:lineRule="exact"/>
        <w:ind w:firstLine="955" w:firstLineChars="398"/>
        <w:rPr>
          <w:rFonts w:ascii="仿宋" w:hAnsi="仿宋" w:eastAsia="仿宋" w:cs="Times New Roman"/>
          <w:sz w:val="24"/>
        </w:rPr>
      </w:pPr>
      <w:r>
        <w:rPr>
          <w:rFonts w:ascii="仿宋" w:hAnsi="仿宋" w:eastAsia="仿宋" w:cs="Times New Roman"/>
          <w:sz w:val="24"/>
        </w:rPr>
        <w:t>二、</w:t>
      </w:r>
      <w:r>
        <w:rPr>
          <w:rFonts w:hint="eastAsia" w:ascii="仿宋" w:hAnsi="仿宋" w:eastAsia="仿宋" w:cs="Times New Roman"/>
          <w:sz w:val="24"/>
        </w:rPr>
        <w:t>机构设置</w:t>
      </w:r>
    </w:p>
    <w:p>
      <w:pPr>
        <w:widowControl/>
        <w:spacing w:line="640" w:lineRule="exact"/>
        <w:ind w:firstLine="480" w:firstLineChars="200"/>
        <w:rPr>
          <w:rFonts w:ascii="仿宋" w:hAnsi="仿宋" w:eastAsia="仿宋" w:cs="Times New Roman"/>
          <w:sz w:val="24"/>
        </w:rPr>
      </w:pPr>
      <w:r>
        <w:rPr>
          <w:rFonts w:ascii="仿宋" w:hAnsi="仿宋" w:eastAsia="仿宋" w:cs="Times New Roman"/>
          <w:sz w:val="24"/>
        </w:rPr>
        <w:t>第二部分</w:t>
      </w:r>
      <w:r>
        <w:rPr>
          <w:rFonts w:hint="eastAsia" w:ascii="仿宋" w:hAnsi="仿宋" w:eastAsia="仿宋" w:cs="Times New Roman"/>
          <w:sz w:val="24"/>
        </w:rPr>
        <w:t xml:space="preserve">   </w:t>
      </w:r>
      <w:r>
        <w:rPr>
          <w:rFonts w:ascii="仿宋" w:hAnsi="仿宋" w:eastAsia="仿宋" w:cs="Times New Roman"/>
          <w:sz w:val="24"/>
        </w:rPr>
        <w:t>20</w:t>
      </w:r>
      <w:r>
        <w:rPr>
          <w:rFonts w:hint="eastAsia" w:ascii="仿宋" w:hAnsi="仿宋" w:eastAsia="仿宋" w:cs="Times New Roman"/>
          <w:sz w:val="24"/>
        </w:rPr>
        <w:t>20</w:t>
      </w:r>
      <w:r>
        <w:rPr>
          <w:rFonts w:ascii="仿宋" w:hAnsi="仿宋" w:eastAsia="仿宋" w:cs="Times New Roman"/>
          <w:sz w:val="24"/>
        </w:rPr>
        <w:t>年部门决算情况说明</w:t>
      </w:r>
    </w:p>
    <w:p>
      <w:pPr>
        <w:widowControl/>
        <w:spacing w:line="640" w:lineRule="exact"/>
        <w:ind w:left="630" w:leftChars="300" w:firstLine="480" w:firstLineChars="200"/>
        <w:rPr>
          <w:rFonts w:ascii="仿宋" w:hAnsi="仿宋" w:eastAsia="仿宋" w:cs="Times New Roman"/>
          <w:sz w:val="24"/>
        </w:rPr>
      </w:pPr>
      <w:r>
        <w:rPr>
          <w:rFonts w:hint="eastAsia" w:ascii="仿宋" w:hAnsi="仿宋" w:eastAsia="仿宋" w:cs="Times New Roman"/>
          <w:sz w:val="24"/>
        </w:rPr>
        <w:t>一、收入支出决算总体情况说明</w:t>
      </w:r>
    </w:p>
    <w:p>
      <w:pPr>
        <w:widowControl/>
        <w:spacing w:line="640" w:lineRule="exact"/>
        <w:ind w:left="630" w:leftChars="300" w:firstLine="480" w:firstLineChars="200"/>
        <w:rPr>
          <w:rFonts w:ascii="仿宋" w:hAnsi="仿宋" w:eastAsia="仿宋" w:cs="Times New Roman"/>
          <w:sz w:val="24"/>
        </w:rPr>
      </w:pPr>
      <w:r>
        <w:rPr>
          <w:rFonts w:hint="eastAsia" w:ascii="仿宋" w:hAnsi="仿宋" w:eastAsia="仿宋" w:cs="Times New Roman"/>
          <w:sz w:val="24"/>
        </w:rPr>
        <w:t>二、收入决算情况说明</w:t>
      </w:r>
    </w:p>
    <w:p>
      <w:pPr>
        <w:widowControl/>
        <w:spacing w:line="640" w:lineRule="exact"/>
        <w:ind w:left="630" w:leftChars="300" w:firstLine="480" w:firstLineChars="200"/>
        <w:rPr>
          <w:rFonts w:ascii="仿宋" w:hAnsi="仿宋" w:eastAsia="仿宋" w:cs="Times New Roman"/>
          <w:sz w:val="24"/>
        </w:rPr>
      </w:pPr>
      <w:r>
        <w:rPr>
          <w:rFonts w:hint="eastAsia" w:ascii="仿宋" w:hAnsi="仿宋" w:eastAsia="仿宋" w:cs="Times New Roman"/>
          <w:sz w:val="24"/>
        </w:rPr>
        <w:t>三、支出决算情况说明</w:t>
      </w:r>
    </w:p>
    <w:p>
      <w:pPr>
        <w:widowControl/>
        <w:spacing w:line="640" w:lineRule="exact"/>
        <w:ind w:left="630" w:leftChars="300" w:firstLine="480" w:firstLineChars="200"/>
        <w:rPr>
          <w:rFonts w:ascii="仿宋" w:hAnsi="仿宋" w:eastAsia="仿宋" w:cs="Times New Roman"/>
          <w:sz w:val="24"/>
        </w:rPr>
      </w:pPr>
      <w:r>
        <w:rPr>
          <w:rFonts w:hint="eastAsia" w:ascii="仿宋" w:hAnsi="仿宋" w:eastAsia="仿宋" w:cs="Times New Roman"/>
          <w:sz w:val="24"/>
        </w:rPr>
        <w:t>四、财政拨款收入支出决算总体情况说明</w:t>
      </w:r>
    </w:p>
    <w:p>
      <w:pPr>
        <w:widowControl/>
        <w:spacing w:line="640" w:lineRule="exact"/>
        <w:ind w:left="630" w:leftChars="300" w:firstLine="480" w:firstLineChars="200"/>
        <w:rPr>
          <w:rFonts w:ascii="仿宋" w:hAnsi="仿宋" w:eastAsia="仿宋" w:cs="Times New Roman"/>
          <w:sz w:val="24"/>
        </w:rPr>
      </w:pPr>
      <w:r>
        <w:rPr>
          <w:rFonts w:hint="eastAsia" w:ascii="仿宋" w:hAnsi="仿宋" w:eastAsia="仿宋" w:cs="Times New Roman"/>
          <w:sz w:val="24"/>
        </w:rPr>
        <w:t>五、一般公共预算“三公” 经费支出决算情况说明</w:t>
      </w:r>
    </w:p>
    <w:p>
      <w:pPr>
        <w:widowControl/>
        <w:spacing w:line="640" w:lineRule="exact"/>
        <w:ind w:left="630" w:leftChars="300" w:firstLine="480" w:firstLineChars="200"/>
        <w:rPr>
          <w:rFonts w:ascii="仿宋" w:hAnsi="仿宋" w:eastAsia="仿宋" w:cs="Times New Roman"/>
          <w:sz w:val="24"/>
        </w:rPr>
      </w:pPr>
      <w:r>
        <w:rPr>
          <w:rFonts w:hint="eastAsia" w:ascii="仿宋" w:hAnsi="仿宋" w:eastAsia="仿宋" w:cs="Times New Roman"/>
          <w:sz w:val="24"/>
        </w:rPr>
        <w:t>六、预算绩效情况说明</w:t>
      </w:r>
    </w:p>
    <w:p>
      <w:pPr>
        <w:widowControl/>
        <w:spacing w:line="640" w:lineRule="exact"/>
        <w:ind w:left="630" w:leftChars="300" w:firstLine="480" w:firstLineChars="200"/>
        <w:rPr>
          <w:rFonts w:ascii="仿宋" w:hAnsi="仿宋" w:eastAsia="仿宋" w:cs="Times New Roman"/>
          <w:sz w:val="24"/>
        </w:rPr>
      </w:pPr>
      <w:r>
        <w:rPr>
          <w:rFonts w:hint="eastAsia" w:ascii="仿宋" w:hAnsi="仿宋" w:eastAsia="仿宋" w:cs="Times New Roman"/>
          <w:sz w:val="24"/>
        </w:rPr>
        <w:t>七、机关运行经费情况</w:t>
      </w:r>
    </w:p>
    <w:p>
      <w:pPr>
        <w:widowControl/>
        <w:spacing w:line="640" w:lineRule="exact"/>
        <w:ind w:left="630" w:leftChars="300" w:firstLine="480" w:firstLineChars="200"/>
        <w:rPr>
          <w:rFonts w:ascii="仿宋" w:hAnsi="仿宋" w:eastAsia="仿宋" w:cs="Times New Roman"/>
          <w:sz w:val="24"/>
        </w:rPr>
      </w:pPr>
      <w:r>
        <w:rPr>
          <w:rFonts w:hint="eastAsia" w:ascii="仿宋" w:hAnsi="仿宋" w:eastAsia="仿宋" w:cs="Times New Roman"/>
          <w:sz w:val="24"/>
        </w:rPr>
        <w:t>八、政府采购情况</w:t>
      </w:r>
    </w:p>
    <w:p>
      <w:pPr>
        <w:widowControl/>
        <w:spacing w:line="640" w:lineRule="exact"/>
        <w:ind w:left="630" w:leftChars="300" w:firstLine="480" w:firstLineChars="200"/>
        <w:rPr>
          <w:rFonts w:ascii="仿宋" w:hAnsi="仿宋" w:eastAsia="仿宋" w:cs="Times New Roman"/>
          <w:sz w:val="24"/>
        </w:rPr>
      </w:pPr>
      <w:r>
        <w:rPr>
          <w:rFonts w:hint="eastAsia" w:ascii="仿宋" w:hAnsi="仿宋" w:eastAsia="仿宋" w:cs="Times New Roman"/>
          <w:sz w:val="24"/>
        </w:rPr>
        <w:t>九、国有资产占用情况</w:t>
      </w:r>
    </w:p>
    <w:p>
      <w:pPr>
        <w:widowControl/>
        <w:spacing w:line="640" w:lineRule="exact"/>
        <w:ind w:left="630" w:leftChars="300" w:firstLine="480" w:firstLineChars="200"/>
        <w:rPr>
          <w:rFonts w:ascii="仿宋" w:hAnsi="仿宋" w:eastAsia="仿宋" w:cs="Times New Roman"/>
          <w:sz w:val="24"/>
        </w:rPr>
      </w:pPr>
      <w:r>
        <w:rPr>
          <w:rFonts w:hint="eastAsia" w:ascii="仿宋" w:hAnsi="仿宋" w:eastAsia="仿宋" w:cs="Times New Roman"/>
          <w:sz w:val="24"/>
        </w:rPr>
        <w:t>十、其他需要说明的情况</w:t>
      </w:r>
    </w:p>
    <w:p>
      <w:pPr>
        <w:widowControl/>
        <w:spacing w:line="640" w:lineRule="exact"/>
        <w:ind w:firstLine="480" w:firstLineChars="200"/>
        <w:rPr>
          <w:rFonts w:ascii="仿宋" w:hAnsi="仿宋" w:eastAsia="仿宋" w:cs="Times New Roman"/>
          <w:sz w:val="24"/>
        </w:rPr>
      </w:pPr>
      <w:r>
        <w:rPr>
          <w:rFonts w:ascii="仿宋" w:hAnsi="仿宋" w:eastAsia="仿宋" w:cs="Times New Roman"/>
          <w:sz w:val="24"/>
        </w:rPr>
        <w:t>第三部分   名词解释</w:t>
      </w:r>
    </w:p>
    <w:p>
      <w:pPr>
        <w:widowControl/>
        <w:spacing w:line="640" w:lineRule="exact"/>
        <w:ind w:firstLine="480" w:firstLineChars="200"/>
        <w:rPr>
          <w:rFonts w:ascii="仿宋" w:hAnsi="仿宋" w:eastAsia="仿宋" w:cs="Times New Roman"/>
          <w:sz w:val="24"/>
        </w:rPr>
      </w:pPr>
      <w:r>
        <w:rPr>
          <w:rFonts w:ascii="仿宋" w:hAnsi="仿宋" w:eastAsia="仿宋" w:cs="Times New Roman"/>
          <w:sz w:val="24"/>
        </w:rPr>
        <w:t>第</w:t>
      </w:r>
      <w:r>
        <w:rPr>
          <w:rFonts w:hint="eastAsia" w:ascii="仿宋" w:hAnsi="仿宋" w:eastAsia="仿宋" w:cs="Times New Roman"/>
          <w:sz w:val="24"/>
        </w:rPr>
        <w:t>四</w:t>
      </w:r>
      <w:r>
        <w:rPr>
          <w:rFonts w:ascii="仿宋" w:hAnsi="仿宋" w:eastAsia="仿宋" w:cs="Times New Roman"/>
          <w:sz w:val="24"/>
        </w:rPr>
        <w:t>部分</w:t>
      </w:r>
      <w:r>
        <w:rPr>
          <w:rFonts w:hint="eastAsia" w:ascii="仿宋" w:hAnsi="仿宋" w:eastAsia="仿宋" w:cs="Times New Roman"/>
          <w:sz w:val="24"/>
        </w:rPr>
        <w:t xml:space="preserve">  </w:t>
      </w:r>
      <w:r>
        <w:rPr>
          <w:rFonts w:ascii="仿宋" w:hAnsi="仿宋" w:eastAsia="仿宋" w:cs="Times New Roman"/>
          <w:sz w:val="24"/>
        </w:rPr>
        <w:t xml:space="preserve"> 20</w:t>
      </w:r>
      <w:r>
        <w:rPr>
          <w:rFonts w:hint="eastAsia" w:ascii="仿宋" w:hAnsi="仿宋" w:eastAsia="仿宋" w:cs="Times New Roman"/>
          <w:sz w:val="24"/>
        </w:rPr>
        <w:t>20</w:t>
      </w:r>
      <w:r>
        <w:rPr>
          <w:rFonts w:ascii="仿宋" w:hAnsi="仿宋" w:eastAsia="仿宋" w:cs="Times New Roman"/>
          <w:sz w:val="24"/>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8" w:type="first"/>
          <w:footerReference r:id="rId10" w:type="first"/>
          <w:headerReference r:id="rId7" w:type="default"/>
          <w:footerReference r:id="rId9" w:type="default"/>
          <w:type w:val="continuous"/>
          <w:pgSz w:w="11906" w:h="16838"/>
          <w:pgMar w:top="2098" w:right="1531" w:bottom="1984"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mc:AlternateContent>
          <mc:Choice Requires="wps">
            <w:drawing>
              <wp:anchor distT="0" distB="0" distL="114300" distR="114300" simplePos="0" relativeHeight="251660288" behindDoc="0" locked="0" layoutInCell="1" allowOverlap="1">
                <wp:simplePos x="0" y="0"/>
                <wp:positionH relativeFrom="column">
                  <wp:posOffset>-1088390</wp:posOffset>
                </wp:positionH>
                <wp:positionV relativeFrom="paragraph">
                  <wp:posOffset>1024890</wp:posOffset>
                </wp:positionV>
                <wp:extent cx="7793355" cy="3341370"/>
                <wp:effectExtent l="6350" t="6350" r="18415" b="20320"/>
                <wp:wrapNone/>
                <wp:docPr id="143" name="文本框 143"/>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5.7pt;margin-top:80.7pt;height:263.1pt;width:613.65pt;z-index:251660288;v-text-anchor:middle;mso-width-relative:page;mso-height-relative:page;" fillcolor="#7F7F7F [1612]" filled="t" stroked="t" coordsize="21600,21600"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f95gjcAAAADQEAAA8AAAAAAAAAAQAgAAAAIgAAAGRycy9kb3ducmV2Lnht&#10;bFBLAQIUABQAAAAIAIdO4kCP8Fn4oAIAAHEFAAAOAAAAAAAAAAEAIAAAACsBAABkcnMvZTJvRG9j&#10;LnhtbFBLBQYAAAAABgAGAFkBAAA9BgAAAAA=&#10;">
                <v:fill type="pattern" on="t" color2="#FFFFFF [3212]" o:title="5%" focussize="0,0" r:id="rId15"/>
                <v:stroke weight="1pt" color="#A6A6A6 [2092]" joinstyle="round"/>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v:textbox>
              </v:shape>
            </w:pict>
          </mc:Fallback>
        </mc:AlternateContent>
      </w:r>
      <w:r>
        <w:br w:type="page"/>
      </w:r>
    </w:p>
    <w:p>
      <w:pPr>
        <w:pStyle w:val="2"/>
        <w:spacing w:before="0" w:after="0" w:line="580" w:lineRule="exact"/>
        <w:ind w:firstLine="480" w:firstLineChars="200"/>
        <w:jc w:val="left"/>
        <w:rPr>
          <w:rFonts w:ascii="仿宋" w:hAnsi="仿宋" w:eastAsia="仿宋" w:cs="黑体"/>
          <w:b w:val="0"/>
          <w:bCs w:val="0"/>
          <w:kern w:val="0"/>
          <w:sz w:val="24"/>
          <w:szCs w:val="24"/>
        </w:rPr>
      </w:pPr>
      <w:r>
        <w:rPr>
          <w:rFonts w:hint="eastAsia" w:ascii="仿宋" w:hAnsi="仿宋" w:eastAsia="仿宋" w:cs="黑体"/>
          <w:b w:val="0"/>
          <w:bCs w:val="0"/>
          <w:kern w:val="0"/>
          <w:sz w:val="24"/>
          <w:szCs w:val="24"/>
        </w:rPr>
        <w:t>一、部门职责</w:t>
      </w:r>
    </w:p>
    <w:p>
      <w:pPr>
        <w:spacing w:line="360" w:lineRule="auto"/>
        <w:ind w:firstLine="480" w:firstLineChars="200"/>
        <w:rPr>
          <w:rFonts w:ascii="仿宋" w:hAnsi="仿宋" w:eastAsia="仿宋"/>
          <w:sz w:val="24"/>
        </w:rPr>
      </w:pPr>
      <w:r>
        <w:rPr>
          <w:rFonts w:hint="eastAsia" w:ascii="仿宋" w:hAnsi="仿宋" w:eastAsia="仿宋"/>
          <w:sz w:val="24"/>
        </w:rPr>
        <w:t xml:space="preserve"> (一)贯彻执行国家、省、市有关法律、行政法规和政策保证其在本行政区域内的有效实施;拟订土地资源、矿产资源等自然资源规范性文件和政策性规定,并负责实施和监督检查;负责有关行政复议工作</w:t>
      </w:r>
    </w:p>
    <w:p>
      <w:pPr>
        <w:spacing w:line="360" w:lineRule="auto"/>
        <w:ind w:firstLine="480" w:firstLineChars="200"/>
        <w:rPr>
          <w:rFonts w:ascii="仿宋" w:hAnsi="仿宋" w:eastAsia="仿宋"/>
          <w:sz w:val="24"/>
        </w:rPr>
      </w:pPr>
      <w:r>
        <w:rPr>
          <w:rFonts w:hint="eastAsia" w:ascii="仿宋" w:hAnsi="仿宋" w:eastAsia="仿宋"/>
          <w:sz w:val="24"/>
        </w:rPr>
        <w:t>(二)组织编制和实施全区土地利用总体规划和其他专项规划;参与审核报本级政府和上级政府审批的城镇总体规划;指导审核各乡(镇)村土地利用总体规划;组织矿产资源的调查评价,编制全区矿产资源的保护与合理利用规划、地质勘查规划、地质灾害防治和地质遗迹保护规划。</w:t>
      </w:r>
    </w:p>
    <w:p>
      <w:pPr>
        <w:spacing w:line="360" w:lineRule="auto"/>
        <w:ind w:firstLine="480" w:firstLineChars="200"/>
        <w:rPr>
          <w:rFonts w:ascii="仿宋" w:hAnsi="仿宋" w:eastAsia="仿宋"/>
          <w:sz w:val="24"/>
        </w:rPr>
      </w:pPr>
      <w:r>
        <w:rPr>
          <w:rFonts w:hint="eastAsia" w:ascii="仿宋" w:hAnsi="仿宋" w:eastAsia="仿宋"/>
          <w:sz w:val="24"/>
        </w:rPr>
        <w:t>(三)监督检查全区土地资源和矿产资源规划执行情况;依法保护土地、矿产资源所有者和使用者的合法权益,承办并组织调处本区的权属纠纷,查处违法案件。</w:t>
      </w:r>
    </w:p>
    <w:p>
      <w:pPr>
        <w:spacing w:line="360" w:lineRule="auto"/>
        <w:ind w:firstLine="480" w:firstLineChars="200"/>
        <w:rPr>
          <w:rFonts w:ascii="仿宋" w:hAnsi="仿宋" w:eastAsia="仿宋"/>
          <w:sz w:val="24"/>
        </w:rPr>
      </w:pPr>
      <w:r>
        <w:rPr>
          <w:rFonts w:hint="eastAsia" w:ascii="仿宋" w:hAnsi="仿宋" w:eastAsia="仿宋"/>
          <w:sz w:val="24"/>
        </w:rPr>
        <w:t>(四)拟订并实施全县耕地特殊保护和鼓励耕地开发政策实施农用地用途管制,组织基本农田保护,指导未利用土地开发、土地整理、土地复垦和开发耕地监督工作,确保耕地面积只能增加、不能减少。</w:t>
      </w:r>
    </w:p>
    <w:p>
      <w:pPr>
        <w:spacing w:line="360" w:lineRule="auto"/>
        <w:ind w:firstLine="480" w:firstLineChars="200"/>
        <w:rPr>
          <w:rFonts w:ascii="仿宋" w:hAnsi="仿宋" w:eastAsia="仿宋"/>
          <w:sz w:val="24"/>
        </w:rPr>
      </w:pPr>
      <w:r>
        <w:rPr>
          <w:rFonts w:hint="eastAsia" w:ascii="仿宋" w:hAnsi="仿宋" w:eastAsia="仿宋"/>
          <w:sz w:val="24"/>
        </w:rPr>
        <w:t>(五)管理全区城乡地籍工作,实施地管理办法;组织土地资源调查、地籍调查、土地统计和动态监测;负责土地确权、土地纠纷调处、城乡地籍和土地登记、发证等工作。</w:t>
      </w:r>
    </w:p>
    <w:p>
      <w:pPr>
        <w:spacing w:line="360" w:lineRule="auto"/>
        <w:ind w:firstLine="480" w:firstLineChars="200"/>
        <w:rPr>
          <w:rFonts w:ascii="仿宋" w:hAnsi="仿宋" w:eastAsia="仿宋"/>
          <w:sz w:val="24"/>
        </w:rPr>
      </w:pPr>
      <w:r>
        <w:rPr>
          <w:rFonts w:hint="eastAsia" w:ascii="仿宋" w:hAnsi="仿宋" w:eastAsia="仿宋"/>
          <w:sz w:val="24"/>
        </w:rPr>
        <w:t>(六)按规定组织实施土地使用权出让、租货、作价出资转让、交易和政府收购管理办法;负责农村集体非农用地使用权流转工作。</w:t>
      </w:r>
    </w:p>
    <w:p>
      <w:pPr>
        <w:spacing w:line="360" w:lineRule="auto"/>
        <w:ind w:firstLine="480" w:firstLineChars="200"/>
        <w:rPr>
          <w:rFonts w:ascii="仿宋" w:hAnsi="仿宋" w:eastAsia="仿宋"/>
          <w:sz w:val="24"/>
        </w:rPr>
      </w:pPr>
      <w:r>
        <w:rPr>
          <w:rFonts w:hint="eastAsia" w:ascii="仿宋" w:hAnsi="仿宋" w:eastAsia="仿宋"/>
          <w:sz w:val="24"/>
        </w:rPr>
        <w:t>(七)负责全县土地的分等定级和基准地价标定地价评测;审核评估机构从事土地评估的资格;承担报国务院、省和市政府审批的各类用地审查报批工作。</w:t>
      </w:r>
    </w:p>
    <w:p>
      <w:pPr>
        <w:spacing w:line="360" w:lineRule="auto"/>
        <w:ind w:firstLine="480" w:firstLineChars="200"/>
        <w:rPr>
          <w:rFonts w:ascii="仿宋" w:hAnsi="仿宋" w:eastAsia="仿宋"/>
          <w:sz w:val="24"/>
        </w:rPr>
      </w:pPr>
      <w:r>
        <w:rPr>
          <w:rFonts w:hint="eastAsia" w:ascii="仿宋" w:hAnsi="仿宋" w:eastAsia="仿宋"/>
          <w:sz w:val="24"/>
        </w:rPr>
        <w:t>(八)依法管理全县矿产资源探矿权、采矿权的初审、登记发证和转让初审登记;对矿产资源开发、利用、保护实施监督管理;承担矿产资源储量管理工作,管理地质资料;实施全县地质勘查行业管理,审查确定地质勘查单位资格,管理地勘成果。</w:t>
      </w:r>
    </w:p>
    <w:p>
      <w:pPr>
        <w:spacing w:line="360" w:lineRule="auto"/>
        <w:ind w:firstLine="480" w:firstLineChars="200"/>
        <w:rPr>
          <w:rFonts w:ascii="仿宋" w:hAnsi="仿宋" w:eastAsia="仿宋"/>
          <w:sz w:val="24"/>
        </w:rPr>
      </w:pPr>
      <w:r>
        <w:rPr>
          <w:rFonts w:hint="eastAsia" w:ascii="仿宋" w:hAnsi="仿宋" w:eastAsia="仿宋"/>
          <w:sz w:val="24"/>
        </w:rPr>
        <w:t>(九)组织协调本行政区域内地质灾害防治;保护地质环境；按权限认定并管理具有重要价值的地质遗迹保护区。</w:t>
      </w:r>
    </w:p>
    <w:p>
      <w:pPr>
        <w:spacing w:line="360" w:lineRule="auto"/>
        <w:ind w:firstLine="480" w:firstLineChars="200"/>
        <w:rPr>
          <w:rFonts w:ascii="仿宋" w:hAnsi="仿宋" w:eastAsia="仿宋"/>
          <w:sz w:val="24"/>
        </w:rPr>
      </w:pPr>
      <w:r>
        <w:rPr>
          <w:rFonts w:hint="eastAsia" w:ascii="仿宋" w:hAnsi="仿宋" w:eastAsia="仿宋"/>
          <w:sz w:val="24"/>
        </w:rPr>
        <w:t>(十)贯彻执行国家《中华人民共和国测绘法》</w:t>
      </w:r>
      <w:bookmarkStart w:id="0" w:name="_GoBack"/>
      <w:bookmarkEnd w:id="0"/>
      <w:r>
        <w:rPr>
          <w:rFonts w:hint="eastAsia" w:ascii="仿宋" w:hAnsi="仿宋" w:eastAsia="仿宋"/>
          <w:sz w:val="24"/>
        </w:rPr>
        <w:t>等法律法规,对本行政区域内的测绘规划及其实施情况依法进行管理和监督检查;按法定权限对测绘基准、测绘系统、测绘成果进行管理;对界限测绘进行初审;按法定权限负责标志的保护工作;依法查处违反国家测绘法律法规的违法行为。</w:t>
      </w:r>
    </w:p>
    <w:p>
      <w:pPr>
        <w:spacing w:line="360" w:lineRule="auto"/>
        <w:ind w:firstLine="480" w:firstLineChars="200"/>
        <w:rPr>
          <w:rFonts w:ascii="仿宋" w:hAnsi="仿宋" w:eastAsia="仿宋"/>
          <w:sz w:val="24"/>
        </w:rPr>
      </w:pPr>
      <w:r>
        <w:rPr>
          <w:rFonts w:hint="eastAsia" w:ascii="仿宋" w:hAnsi="仿宋" w:eastAsia="仿宋"/>
          <w:sz w:val="24"/>
        </w:rPr>
        <w:t>(十一)依法征收有关专项规费并负责专项管理。</w:t>
      </w:r>
    </w:p>
    <w:p>
      <w:pPr>
        <w:spacing w:line="360" w:lineRule="auto"/>
        <w:ind w:firstLine="480" w:firstLineChars="200"/>
        <w:rPr>
          <w:rFonts w:ascii="仿宋" w:hAnsi="仿宋" w:eastAsia="仿宋"/>
          <w:sz w:val="24"/>
        </w:rPr>
      </w:pPr>
      <w:r>
        <w:rPr>
          <w:rFonts w:hint="eastAsia" w:ascii="仿宋" w:hAnsi="仿宋" w:eastAsia="仿宋"/>
          <w:sz w:val="24"/>
        </w:rPr>
        <w:t>(十二)组织开展土地资源、矿产资源等自然资源的对外合作与交流。</w:t>
      </w:r>
    </w:p>
    <w:p>
      <w:pPr>
        <w:spacing w:line="360" w:lineRule="auto"/>
        <w:ind w:firstLine="480" w:firstLineChars="200"/>
        <w:rPr>
          <w:rFonts w:ascii="仿宋" w:hAnsi="仿宋" w:eastAsia="仿宋"/>
          <w:sz w:val="24"/>
        </w:rPr>
      </w:pPr>
      <w:r>
        <w:rPr>
          <w:rFonts w:hint="eastAsia" w:ascii="仿宋" w:hAnsi="仿宋" w:eastAsia="仿宋"/>
          <w:sz w:val="24"/>
        </w:rPr>
        <w:t>(十三)承办区政府交办的其他事项。</w:t>
      </w:r>
    </w:p>
    <w:p>
      <w:pPr>
        <w:adjustRightInd w:val="0"/>
        <w:snapToGrid w:val="0"/>
        <w:spacing w:line="520" w:lineRule="exact"/>
        <w:ind w:firstLine="480" w:firstLineChars="200"/>
        <w:rPr>
          <w:rFonts w:ascii="仿宋" w:hAnsi="仿宋" w:eastAsia="仿宋"/>
          <w:snapToGrid w:val="0"/>
          <w:sz w:val="24"/>
        </w:rPr>
      </w:pPr>
      <w:r>
        <w:rPr>
          <w:rFonts w:hint="eastAsia" w:ascii="仿宋" w:hAnsi="仿宋" w:eastAsia="仿宋"/>
          <w:snapToGrid w:val="0"/>
          <w:sz w:val="24"/>
        </w:rPr>
        <w:t>3、年度工作目标及执行情况</w:t>
      </w:r>
    </w:p>
    <w:p>
      <w:pPr>
        <w:adjustRightInd w:val="0"/>
        <w:snapToGrid w:val="0"/>
        <w:spacing w:line="520" w:lineRule="exact"/>
        <w:ind w:firstLine="480" w:firstLineChars="200"/>
        <w:rPr>
          <w:rFonts w:ascii="仿宋" w:hAnsi="仿宋" w:eastAsia="仿宋"/>
          <w:snapToGrid w:val="0"/>
          <w:sz w:val="24"/>
        </w:rPr>
      </w:pPr>
      <w:r>
        <w:rPr>
          <w:rFonts w:hint="eastAsia" w:ascii="仿宋" w:hAnsi="仿宋" w:eastAsia="仿宋"/>
          <w:snapToGrid w:val="0"/>
          <w:sz w:val="24"/>
        </w:rPr>
        <w:t>紧紧围绕全区中心工作和区委区政府工作部署，牢固树立和认真落实科学发展观，以构建保障和促进科学发展新机制为主线，以增强资源对经济可持续发展的保障能力和维护城乡居民国土资源权益保障民生为目标，最大限度的发挥资源经济效益、社会效益和环境效益。保持最严格的耕地保护制度，严防死守耕地红线，确保国家粮食安全，坚持最严格的节约用地制度，节约集约用好土地，确保新型城镇化和新农村建设发展，积极稳妥推进土地制度改革，发挥好市场和政府作用，确保群众利益不受损失。</w:t>
      </w:r>
    </w:p>
    <w:p>
      <w:pPr>
        <w:adjustRightInd w:val="0"/>
        <w:snapToGrid w:val="0"/>
        <w:spacing w:line="520" w:lineRule="exact"/>
        <w:ind w:firstLine="480" w:firstLineChars="200"/>
        <w:rPr>
          <w:rFonts w:ascii="仿宋" w:hAnsi="仿宋" w:eastAsia="仿宋"/>
          <w:snapToGrid w:val="0"/>
          <w:sz w:val="24"/>
        </w:rPr>
      </w:pPr>
      <w:r>
        <w:rPr>
          <w:rFonts w:hint="eastAsia" w:ascii="仿宋" w:hAnsi="仿宋" w:eastAsia="仿宋"/>
          <w:snapToGrid w:val="0"/>
          <w:sz w:val="24"/>
        </w:rPr>
        <w:t>围绕区委区政府的工作部署及本系统工作要求，结合本部门职能职责，结合项目单位编制了地热资源规划，并承担了高标准基本农田建设项目，还组织开展实施土地整理项目、农村集体土地确权项目及长城风帆项目的用地申报工作，以上级土地卫片执法检查为依托，严厉打击了违法占地，实行了严格的耕地保护制度，保质保量的完成了本部门及上级安排的各项任务工作。</w:t>
      </w:r>
    </w:p>
    <w:p>
      <w:pPr>
        <w:adjustRightInd w:val="0"/>
        <w:snapToGrid w:val="0"/>
        <w:spacing w:line="520" w:lineRule="exact"/>
        <w:ind w:firstLine="480" w:firstLineChars="200"/>
        <w:rPr>
          <w:rFonts w:ascii="仿宋" w:hAnsi="仿宋" w:eastAsia="仿宋"/>
          <w:b w:val="0"/>
          <w:bCs/>
          <w:snapToGrid w:val="0"/>
          <w:sz w:val="24"/>
        </w:rPr>
      </w:pPr>
      <w:r>
        <w:rPr>
          <w:rFonts w:hint="eastAsia" w:ascii="仿宋" w:hAnsi="仿宋" w:eastAsia="仿宋"/>
          <w:b w:val="0"/>
          <w:bCs/>
          <w:snapToGrid w:val="0"/>
          <w:sz w:val="24"/>
        </w:rPr>
        <w:t>4、绩效目标及完成情况</w:t>
      </w:r>
    </w:p>
    <w:p>
      <w:pPr>
        <w:adjustRightInd w:val="0"/>
        <w:snapToGrid w:val="0"/>
        <w:spacing w:line="520" w:lineRule="exact"/>
        <w:ind w:firstLine="480" w:firstLineChars="200"/>
        <w:rPr>
          <w:rFonts w:ascii="仿宋" w:hAnsi="仿宋" w:eastAsia="仿宋"/>
          <w:snapToGrid w:val="0"/>
          <w:sz w:val="24"/>
        </w:rPr>
      </w:pPr>
      <w:r>
        <w:rPr>
          <w:rFonts w:hint="eastAsia" w:ascii="仿宋" w:hAnsi="仿宋" w:eastAsia="仿宋"/>
          <w:snapToGrid w:val="0"/>
          <w:sz w:val="24"/>
        </w:rPr>
        <w:t>为了充分履行我单位部门职责，达到绩效目标要求，并保证年度发展规划目标的顺利实现，本年度计划5个目标：</w:t>
      </w:r>
    </w:p>
    <w:p>
      <w:pPr>
        <w:adjustRightInd w:val="0"/>
        <w:snapToGrid w:val="0"/>
        <w:spacing w:line="520" w:lineRule="exact"/>
        <w:ind w:firstLine="480" w:firstLineChars="200"/>
        <w:rPr>
          <w:rFonts w:ascii="仿宋" w:hAnsi="仿宋" w:eastAsia="仿宋"/>
          <w:snapToGrid w:val="0"/>
          <w:sz w:val="24"/>
        </w:rPr>
      </w:pPr>
      <w:r>
        <w:rPr>
          <w:rFonts w:hint="eastAsia" w:ascii="仿宋" w:hAnsi="仿宋" w:eastAsia="仿宋"/>
          <w:snapToGrid w:val="0"/>
          <w:sz w:val="24"/>
        </w:rPr>
        <w:t>（1）单位日常公用经费：主要用于单位日常运转支出等。</w:t>
      </w:r>
    </w:p>
    <w:p>
      <w:pPr>
        <w:adjustRightInd w:val="0"/>
        <w:snapToGrid w:val="0"/>
        <w:spacing w:line="520" w:lineRule="exact"/>
        <w:ind w:firstLine="480" w:firstLineChars="200"/>
        <w:rPr>
          <w:rFonts w:ascii="仿宋" w:hAnsi="仿宋" w:eastAsia="仿宋"/>
          <w:snapToGrid w:val="0"/>
          <w:sz w:val="24"/>
        </w:rPr>
      </w:pPr>
      <w:r>
        <w:rPr>
          <w:rFonts w:hint="eastAsia" w:ascii="仿宋" w:hAnsi="仿宋" w:eastAsia="仿宋"/>
          <w:snapToGrid w:val="0"/>
          <w:sz w:val="24"/>
        </w:rPr>
        <w:t>（2）地质灾害防治工作：组织实施地质灾害防治工作，掌握全区地质灾害动态现状，完善监测预警措施，加大地质灾害治理力度，保护人民财产安全，维护社会稳定。</w:t>
      </w:r>
    </w:p>
    <w:p>
      <w:pPr>
        <w:adjustRightInd w:val="0"/>
        <w:snapToGrid w:val="0"/>
        <w:spacing w:line="520" w:lineRule="exact"/>
        <w:ind w:firstLine="480" w:firstLineChars="200"/>
        <w:rPr>
          <w:rFonts w:ascii="仿宋" w:hAnsi="仿宋" w:eastAsia="仿宋"/>
          <w:snapToGrid w:val="0"/>
          <w:sz w:val="24"/>
        </w:rPr>
      </w:pPr>
      <w:r>
        <w:rPr>
          <w:rFonts w:hint="eastAsia" w:ascii="仿宋" w:hAnsi="仿宋" w:eastAsia="仿宋"/>
          <w:snapToGrid w:val="0"/>
          <w:sz w:val="24"/>
        </w:rPr>
        <w:t>（3）矿产资源规划修编：保障和促进矿产资源的合理开发利用，为我区矿产资源的可持续发展提供保障。</w:t>
      </w:r>
    </w:p>
    <w:p>
      <w:pPr>
        <w:adjustRightInd w:val="0"/>
        <w:snapToGrid w:val="0"/>
        <w:spacing w:line="520" w:lineRule="exact"/>
        <w:ind w:firstLine="480" w:firstLineChars="200"/>
        <w:rPr>
          <w:rFonts w:ascii="仿宋" w:hAnsi="仿宋" w:eastAsia="仿宋"/>
          <w:snapToGrid w:val="0"/>
          <w:sz w:val="24"/>
        </w:rPr>
      </w:pPr>
      <w:r>
        <w:rPr>
          <w:rFonts w:hint="eastAsia" w:ascii="仿宋" w:hAnsi="仿宋" w:eastAsia="仿宋"/>
          <w:snapToGrid w:val="0"/>
          <w:sz w:val="24"/>
        </w:rPr>
        <w:t>（4）土地利用总体规划修编：保障了重大项目建设的顺利开展。</w:t>
      </w:r>
    </w:p>
    <w:p>
      <w:pPr>
        <w:adjustRightInd w:val="0"/>
        <w:snapToGrid w:val="0"/>
        <w:spacing w:line="520" w:lineRule="exact"/>
        <w:ind w:firstLine="480" w:firstLineChars="200"/>
        <w:rPr>
          <w:rFonts w:ascii="仿宋" w:hAnsi="仿宋" w:eastAsia="仿宋"/>
          <w:snapToGrid w:val="0"/>
          <w:sz w:val="24"/>
        </w:rPr>
      </w:pPr>
      <w:r>
        <w:rPr>
          <w:rFonts w:hint="eastAsia" w:ascii="仿宋" w:hAnsi="仿宋" w:eastAsia="仿宋"/>
          <w:snapToGrid w:val="0"/>
          <w:sz w:val="24"/>
        </w:rPr>
        <w:t>（5）耕地后备资源调差评价工作：查清了我区可开垦土地、可复垦采矿用地等耕地后备资源的面积、类型、权属和分布情况。</w:t>
      </w:r>
    </w:p>
    <w:p>
      <w:pPr>
        <w:spacing w:line="580" w:lineRule="exact"/>
        <w:ind w:firstLine="482" w:firstLineChars="200"/>
        <w:rPr>
          <w:rFonts w:ascii="仿宋" w:hAnsi="仿宋" w:eastAsia="仿宋" w:cs="黑体"/>
          <w:b/>
          <w:kern w:val="0"/>
          <w:sz w:val="24"/>
        </w:rPr>
      </w:pPr>
      <w:r>
        <w:rPr>
          <w:rFonts w:hint="eastAsia" w:ascii="仿宋" w:hAnsi="仿宋" w:eastAsia="仿宋" w:cs="黑体"/>
          <w:b/>
          <w:kern w:val="0"/>
          <w:sz w:val="24"/>
        </w:rPr>
        <w:t>二、机构设置</w:t>
      </w:r>
    </w:p>
    <w:p>
      <w:pPr>
        <w:spacing w:line="580" w:lineRule="exact"/>
        <w:ind w:firstLine="480" w:firstLineChars="200"/>
        <w:rPr>
          <w:rFonts w:ascii="仿宋" w:hAnsi="仿宋" w:eastAsia="仿宋" w:cs="Arial Black"/>
          <w:kern w:val="0"/>
          <w:sz w:val="24"/>
        </w:rPr>
      </w:pPr>
      <w:r>
        <w:rPr>
          <w:rFonts w:hint="eastAsia" w:ascii="仿宋" w:hAnsi="仿宋" w:eastAsia="仿宋" w:cs="Arial Black"/>
          <w:kern w:val="0"/>
          <w:sz w:val="24"/>
        </w:rPr>
        <w:t>从决算编报单位构成看，纳入20</w:t>
      </w:r>
      <w:r>
        <w:rPr>
          <w:rFonts w:ascii="仿宋" w:hAnsi="仿宋" w:eastAsia="仿宋" w:cs="Arial Black"/>
          <w:kern w:val="0"/>
          <w:sz w:val="24"/>
        </w:rPr>
        <w:t>20</w:t>
      </w:r>
      <w:r>
        <w:rPr>
          <w:rFonts w:hint="eastAsia" w:ascii="仿宋" w:hAnsi="仿宋" w:eastAsia="仿宋" w:cs="Arial Black"/>
          <w:kern w:val="0"/>
          <w:sz w:val="24"/>
        </w:rPr>
        <w:t>年度本部门决算汇编范围的独立核算单位（以下简称“单位”）共</w:t>
      </w:r>
      <w:r>
        <w:rPr>
          <w:rFonts w:hint="eastAsia" w:ascii="仿宋" w:hAnsi="仿宋" w:eastAsia="仿宋" w:cs="Arial Black"/>
          <w:kern w:val="0"/>
          <w:sz w:val="24"/>
          <w:lang w:val="en-US" w:eastAsia="zh-CN"/>
        </w:rPr>
        <w:t>1</w:t>
      </w:r>
      <w:r>
        <w:rPr>
          <w:rFonts w:hint="eastAsia" w:ascii="仿宋" w:hAnsi="仿宋" w:eastAsia="仿宋" w:cs="Arial Black"/>
          <w:kern w:val="0"/>
          <w:sz w:val="24"/>
        </w:rPr>
        <w:t>个，具体情况如下：</w:t>
      </w:r>
    </w:p>
    <w:tbl>
      <w:tblPr>
        <w:tblStyle w:val="5"/>
        <w:tblW w:w="9060" w:type="dxa"/>
        <w:tblInd w:w="0" w:type="dxa"/>
        <w:tblLayout w:type="autofit"/>
        <w:tblCellMar>
          <w:top w:w="0" w:type="dxa"/>
          <w:left w:w="108" w:type="dxa"/>
          <w:bottom w:w="0" w:type="dxa"/>
          <w:right w:w="108" w:type="dxa"/>
        </w:tblCellMar>
      </w:tblPr>
      <w:tblGrid>
        <w:gridCol w:w="720"/>
        <w:gridCol w:w="4104"/>
        <w:gridCol w:w="1870"/>
        <w:gridCol w:w="2366"/>
      </w:tblGrid>
      <w:tr>
        <w:tblPrEx>
          <w:tblCellMar>
            <w:top w:w="0" w:type="dxa"/>
            <w:left w:w="108" w:type="dxa"/>
            <w:bottom w:w="0" w:type="dxa"/>
            <w:right w:w="108" w:type="dxa"/>
          </w:tblCellMar>
        </w:tblPrEx>
        <w:trPr>
          <w:trHeight w:val="810" w:hRule="atLeast"/>
        </w:trPr>
        <w:tc>
          <w:tcPr>
            <w:tcW w:w="6694" w:type="dxa"/>
            <w:gridSpan w:val="3"/>
            <w:tcBorders>
              <w:bottom w:val="single" w:color="000000" w:sz="4" w:space="0"/>
            </w:tcBorders>
            <w:vAlign w:val="center"/>
          </w:tcPr>
          <w:p>
            <w:pPr>
              <w:widowControl/>
              <w:jc w:val="center"/>
              <w:rPr>
                <w:rFonts w:hint="eastAsia" w:ascii="仿宋" w:hAnsi="仿宋" w:eastAsia="仿宋" w:cs="宋体"/>
                <w:sz w:val="24"/>
              </w:rPr>
            </w:pPr>
            <w:r>
              <w:rPr>
                <w:rFonts w:ascii="仿宋" w:hAnsi="仿宋" w:eastAsia="仿宋" w:cs="宋体"/>
                <w:sz w:val="24"/>
              </w:rPr>
              <w:t>部门机构设置情况</w:t>
            </w:r>
          </w:p>
          <w:p>
            <w:pPr>
              <w:widowControl/>
              <w:jc w:val="center"/>
              <w:rPr>
                <w:rFonts w:ascii="仿宋" w:hAnsi="仿宋" w:eastAsia="仿宋" w:cs="宋体"/>
                <w:sz w:val="24"/>
              </w:rPr>
            </w:pPr>
          </w:p>
        </w:tc>
        <w:tc>
          <w:tcPr>
            <w:tcW w:w="2366" w:type="dxa"/>
            <w:tcBorders>
              <w:bottom w:val="single" w:color="000000" w:sz="4" w:space="0"/>
            </w:tcBorders>
            <w:vAlign w:val="center"/>
          </w:tcPr>
          <w:p>
            <w:pPr>
              <w:widowControl/>
              <w:jc w:val="center"/>
              <w:rPr>
                <w:rFonts w:ascii="仿宋" w:hAnsi="仿宋" w:eastAsia="仿宋" w:cs="宋体"/>
                <w:sz w:val="24"/>
              </w:rPr>
            </w:pPr>
          </w:p>
        </w:tc>
      </w:tr>
      <w:tr>
        <w:tblPrEx>
          <w:tblCellMar>
            <w:top w:w="0" w:type="dxa"/>
            <w:left w:w="108" w:type="dxa"/>
            <w:bottom w:w="0" w:type="dxa"/>
            <w:right w:w="108" w:type="dxa"/>
          </w:tblCellMar>
        </w:tblPrEx>
        <w:trPr>
          <w:trHeight w:val="1344" w:hRule="atLeast"/>
        </w:trPr>
        <w:tc>
          <w:tcPr>
            <w:tcW w:w="720" w:type="dxa"/>
            <w:tcBorders>
              <w:left w:val="single" w:color="000000" w:sz="4" w:space="0"/>
              <w:bottom w:val="single" w:color="auto" w:sz="4" w:space="0"/>
              <w:right w:val="single" w:color="000000" w:sz="4" w:space="0"/>
            </w:tcBorders>
            <w:vAlign w:val="center"/>
          </w:tcPr>
          <w:p>
            <w:pPr>
              <w:widowControl/>
              <w:jc w:val="center"/>
              <w:rPr>
                <w:rFonts w:ascii="仿宋" w:hAnsi="仿宋" w:eastAsia="仿宋" w:cs="宋体"/>
                <w:sz w:val="24"/>
              </w:rPr>
            </w:pPr>
            <w:r>
              <w:rPr>
                <w:rFonts w:ascii="仿宋" w:hAnsi="仿宋" w:eastAsia="仿宋" w:cs="宋体"/>
                <w:sz w:val="24"/>
              </w:rPr>
              <w:t>序号</w:t>
            </w:r>
          </w:p>
        </w:tc>
        <w:tc>
          <w:tcPr>
            <w:tcW w:w="4104" w:type="dxa"/>
            <w:tcBorders>
              <w:left w:val="single" w:color="000000" w:sz="4" w:space="0"/>
              <w:bottom w:val="single" w:color="auto" w:sz="4" w:space="0"/>
              <w:right w:val="single" w:color="000000" w:sz="4" w:space="0"/>
            </w:tcBorders>
            <w:vAlign w:val="center"/>
          </w:tcPr>
          <w:p>
            <w:pPr>
              <w:widowControl/>
              <w:jc w:val="center"/>
              <w:rPr>
                <w:rFonts w:ascii="仿宋" w:hAnsi="仿宋" w:eastAsia="仿宋" w:cs="宋体"/>
                <w:sz w:val="24"/>
              </w:rPr>
            </w:pPr>
            <w:r>
              <w:rPr>
                <w:rFonts w:ascii="仿宋" w:hAnsi="仿宋" w:eastAsia="仿宋" w:cs="宋体"/>
                <w:sz w:val="24"/>
              </w:rPr>
              <w:t>单位名称</w:t>
            </w:r>
          </w:p>
        </w:tc>
        <w:tc>
          <w:tcPr>
            <w:tcW w:w="1870" w:type="dxa"/>
            <w:tcBorders>
              <w:left w:val="single" w:color="000000" w:sz="4" w:space="0"/>
              <w:bottom w:val="single" w:color="000000" w:sz="4" w:space="0"/>
              <w:right w:val="single" w:color="000000" w:sz="4" w:space="0"/>
            </w:tcBorders>
            <w:vAlign w:val="center"/>
          </w:tcPr>
          <w:p>
            <w:pPr>
              <w:widowControl/>
              <w:jc w:val="center"/>
              <w:rPr>
                <w:rFonts w:hint="default" w:ascii="仿宋" w:hAnsi="仿宋" w:eastAsia="仿宋" w:cs="宋体"/>
                <w:sz w:val="24"/>
                <w:lang w:val="en-US" w:eastAsia="zh-CN"/>
              </w:rPr>
            </w:pPr>
            <w:r>
              <w:rPr>
                <w:rFonts w:hint="eastAsia" w:ascii="仿宋" w:hAnsi="仿宋" w:eastAsia="仿宋" w:cs="宋体"/>
                <w:sz w:val="24"/>
                <w:lang w:val="en-US" w:eastAsia="zh-CN"/>
              </w:rPr>
              <w:t>单位基本性质</w:t>
            </w:r>
          </w:p>
        </w:tc>
        <w:tc>
          <w:tcPr>
            <w:tcW w:w="2366" w:type="dxa"/>
            <w:tcBorders>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2"/>
                <w:sz w:val="24"/>
                <w:szCs w:val="24"/>
                <w:lang w:val="en-US" w:eastAsia="zh-CN" w:bidi="ar-SA"/>
              </w:rPr>
            </w:pPr>
            <w:r>
              <w:rPr>
                <w:rFonts w:ascii="仿宋" w:hAnsi="仿宋" w:eastAsia="仿宋" w:cs="宋体"/>
                <w:sz w:val="24"/>
              </w:rPr>
              <w:t>经费形式</w:t>
            </w:r>
          </w:p>
        </w:tc>
      </w:tr>
      <w:tr>
        <w:tblPrEx>
          <w:tblCellMar>
            <w:top w:w="0" w:type="dxa"/>
            <w:left w:w="108" w:type="dxa"/>
            <w:bottom w:w="0" w:type="dxa"/>
            <w:right w:w="108" w:type="dxa"/>
          </w:tblCellMar>
        </w:tblPrEx>
        <w:trPr>
          <w:trHeight w:val="720" w:hRule="atLeast"/>
        </w:trPr>
        <w:tc>
          <w:tcPr>
            <w:tcW w:w="720" w:type="dxa"/>
            <w:tcBorders>
              <w:top w:val="single" w:color="auto"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sz w:val="24"/>
              </w:rPr>
            </w:pPr>
            <w:r>
              <w:rPr>
                <w:rFonts w:ascii="仿宋" w:hAnsi="仿宋" w:eastAsia="仿宋" w:cs="宋体"/>
                <w:sz w:val="24"/>
              </w:rPr>
              <w:t>1</w:t>
            </w:r>
          </w:p>
        </w:tc>
        <w:tc>
          <w:tcPr>
            <w:tcW w:w="4104" w:type="dxa"/>
            <w:tcBorders>
              <w:top w:val="single" w:color="auto" w:sz="4" w:space="0"/>
              <w:bottom w:val="single" w:color="000000" w:sz="4" w:space="0"/>
              <w:right w:val="single" w:color="000000" w:sz="4" w:space="0"/>
            </w:tcBorders>
            <w:vAlign w:val="center"/>
          </w:tcPr>
          <w:p>
            <w:pPr>
              <w:widowControl/>
              <w:jc w:val="center"/>
              <w:rPr>
                <w:rFonts w:ascii="仿宋" w:hAnsi="仿宋" w:eastAsia="仿宋" w:cs="宋体"/>
                <w:sz w:val="24"/>
              </w:rPr>
            </w:pPr>
            <w:r>
              <w:rPr>
                <w:rFonts w:ascii="仿宋" w:hAnsi="仿宋" w:eastAsia="仿宋" w:cs="宋体"/>
                <w:sz w:val="24"/>
              </w:rPr>
              <w:t>保定市自然资源和规划局满城区分局</w:t>
            </w:r>
          </w:p>
        </w:tc>
        <w:tc>
          <w:tcPr>
            <w:tcW w:w="1870" w:type="dxa"/>
            <w:tcBorders>
              <w:bottom w:val="single" w:color="000000" w:sz="4" w:space="0"/>
              <w:right w:val="single" w:color="000000" w:sz="4" w:space="0"/>
            </w:tcBorders>
            <w:vAlign w:val="center"/>
          </w:tcPr>
          <w:p>
            <w:pPr>
              <w:widowControl/>
              <w:jc w:val="center"/>
              <w:rPr>
                <w:rFonts w:hint="default" w:ascii="仿宋" w:hAnsi="仿宋" w:eastAsia="仿宋" w:cs="宋体"/>
                <w:sz w:val="24"/>
                <w:lang w:val="en-US" w:eastAsia="zh-CN"/>
              </w:rPr>
            </w:pPr>
            <w:r>
              <w:rPr>
                <w:rFonts w:hint="eastAsia" w:ascii="仿宋" w:hAnsi="仿宋" w:eastAsia="仿宋" w:cs="宋体"/>
                <w:sz w:val="24"/>
                <w:lang w:val="en-US" w:eastAsia="zh-CN"/>
              </w:rPr>
              <w:t>行政单位</w:t>
            </w:r>
          </w:p>
        </w:tc>
        <w:tc>
          <w:tcPr>
            <w:tcW w:w="2366" w:type="dxa"/>
            <w:tcBorders>
              <w:bottom w:val="single" w:color="000000" w:sz="4" w:space="0"/>
              <w:right w:val="single" w:color="000000" w:sz="4" w:space="0"/>
            </w:tcBorders>
            <w:vAlign w:val="center"/>
          </w:tcPr>
          <w:p>
            <w:pPr>
              <w:widowControl/>
              <w:jc w:val="center"/>
              <w:rPr>
                <w:rFonts w:ascii="仿宋" w:hAnsi="仿宋" w:eastAsia="仿宋" w:cs="宋体"/>
                <w:kern w:val="2"/>
                <w:sz w:val="24"/>
                <w:szCs w:val="24"/>
                <w:lang w:val="en-US" w:eastAsia="zh-CN" w:bidi="ar-SA"/>
              </w:rPr>
            </w:pPr>
            <w:r>
              <w:rPr>
                <w:rFonts w:ascii="仿宋" w:hAnsi="仿宋" w:eastAsia="仿宋" w:cs="宋体"/>
                <w:sz w:val="24"/>
              </w:rPr>
              <w:t>财政拨款</w:t>
            </w:r>
          </w:p>
        </w:tc>
      </w:tr>
    </w:tbl>
    <w:p>
      <w:pPr>
        <w:widowControl/>
        <w:spacing w:after="160" w:line="580" w:lineRule="exact"/>
        <w:rPr>
          <w:rFonts w:ascii="仿宋" w:hAnsi="仿宋" w:eastAsia="仿宋"/>
          <w:sz w:val="24"/>
        </w:rPr>
        <w:sectPr>
          <w:pgSz w:w="11906" w:h="16838"/>
          <w:pgMar w:top="2041" w:right="1531" w:bottom="2041" w:left="1531" w:header="851" w:footer="992" w:gutter="0"/>
          <w:pgNumType w:fmt="numberInDash" w:start="1"/>
          <w:cols w:space="0" w:num="1"/>
          <w:titlePg/>
          <w:docGrid w:type="lines" w:linePitch="312" w:charSpace="0"/>
        </w:sectPr>
      </w:pPr>
    </w:p>
    <w:p>
      <w:pPr>
        <w:widowControl/>
        <w:spacing w:after="160" w:line="580" w:lineRule="exact"/>
        <w:rPr>
          <w:rFonts w:ascii="仿宋" w:hAnsi="仿宋" w:eastAsia="仿宋"/>
          <w:sz w:val="24"/>
        </w:rPr>
        <w:sectPr>
          <w:type w:val="continuous"/>
          <w:pgSz w:w="11906" w:h="16838"/>
          <w:pgMar w:top="2041" w:right="1531" w:bottom="2041" w:left="1531" w:header="851" w:footer="992" w:gutter="0"/>
          <w:pgNumType w:fmt="numberInDash"/>
          <w:cols w:space="0" w:num="1"/>
          <w:titlePg/>
          <w:docGrid w:type="lines" w:linePitch="312" w:charSpace="0"/>
        </w:sectPr>
      </w:pPr>
    </w:p>
    <w:p>
      <w:pPr>
        <w:widowControl/>
        <w:spacing w:after="160" w:line="580" w:lineRule="exact"/>
        <w:rPr>
          <w:rFonts w:ascii="黑体" w:hAnsi="黑体" w:eastAsia="黑体" w:cs="黑体"/>
          <w:sz w:val="56"/>
          <w:szCs w:val="72"/>
        </w:rPr>
      </w:pPr>
      <w:r>
        <w:rPr>
          <w:sz w:val="24"/>
        </w:rPr>
        <mc:AlternateContent>
          <mc:Choice Requires="wps">
            <w:drawing>
              <wp:anchor distT="0" distB="0" distL="114300" distR="114300" simplePos="0" relativeHeight="251662336"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2336;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v:fill on="f" focussize="0,0"/>
                <v:stroke on="f" weight="0.5pt"/>
                <v:imagedata o:title=""/>
                <o:lock v:ext="edit" aspectratio="f"/>
                <v:textbox>
                  <w:txbxContent>
                    <w:p>
                      <w:pPr>
                        <w:widowControl/>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v:textbox>
              </v:shape>
            </w:pict>
          </mc:Fallback>
        </mc:AlternateContent>
      </w: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mc:AlternateContent>
          <mc:Choice Requires="wps">
            <w:drawing>
              <wp:anchor distT="0" distB="0" distL="114300" distR="114300" simplePos="0" relativeHeight="251663360" behindDoc="0" locked="0" layoutInCell="1" allowOverlap="1">
                <wp:simplePos x="0" y="0"/>
                <wp:positionH relativeFrom="column">
                  <wp:posOffset>-1028065</wp:posOffset>
                </wp:positionH>
                <wp:positionV relativeFrom="paragraph">
                  <wp:posOffset>-2637155</wp:posOffset>
                </wp:positionV>
                <wp:extent cx="7793355" cy="3341370"/>
                <wp:effectExtent l="6350" t="6350" r="18415" b="20320"/>
                <wp:wrapNone/>
                <wp:docPr id="2"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5pt;margin-top:-207.65pt;height:263.1pt;width:613.65pt;z-index:251663360;v-text-anchor:middle;mso-width-relative:page;mso-height-relative:page;" fillcolor="#7F7F7F [1612]" filled="t" stroked="t" coordsize="21600,21600"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BcO0d0AAAAOAQAADwAAAAAAAAABACAAAAAiAAAAZHJzL2Rvd25yZXYueG1s&#10;UEsBAhQAFAAAAAgAh07iQFmkM3ieAgAAbQUAAA4AAAAAAAAAAQAgAAAALAEAAGRycy9lMm9Eb2Mu&#10;eG1sUEsFBgAAAAAGAAYAWQEAADwGAAAAAA==&#10;">
                <v:fill type="pattern" on="t" color2="#FFFFFF [3212]" o:title="5%" focussize="0,0" r:id="rId15"/>
                <v:stroke weight="1pt" color="#A6A6A6 [2092]"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v:textbox>
              </v:shape>
            </w:pict>
          </mc:Fallback>
        </mc:AlternateContent>
      </w:r>
    </w:p>
    <w:p>
      <w:pPr>
        <w:jc w:val="center"/>
        <w:rPr>
          <w:rFonts w:ascii="黑体" w:hAnsi="黑体" w:eastAsia="黑体" w:cs="黑体"/>
          <w:sz w:val="56"/>
          <w:szCs w:val="72"/>
        </w:rPr>
      </w:pPr>
    </w:p>
    <w:p>
      <w:pPr>
        <w:keepNext/>
        <w:keepLines/>
        <w:snapToGrid w:val="0"/>
        <w:spacing w:line="600" w:lineRule="exact"/>
        <w:ind w:firstLine="420" w:firstLineChars="200"/>
        <w:outlineLvl w:val="1"/>
        <w:rPr>
          <w:rFonts w:ascii="仿宋" w:hAnsi="仿宋" w:eastAsia="仿宋" w:cs="Times New Roman"/>
          <w:sz w:val="24"/>
        </w:rPr>
      </w:pPr>
      <w:r>
        <w:br w:type="page"/>
      </w:r>
      <w:r>
        <w:rPr>
          <w:rFonts w:hint="eastAsia" w:ascii="仿宋" w:hAnsi="仿宋" w:eastAsia="仿宋" w:cs="Times New Roman"/>
          <w:sz w:val="24"/>
        </w:rPr>
        <w:t>一、收入</w:t>
      </w:r>
      <w:r>
        <w:rPr>
          <w:rFonts w:hint="eastAsia" w:ascii="仿宋" w:hAnsi="仿宋" w:eastAsia="仿宋" w:cs="黑体"/>
          <w:kern w:val="0"/>
          <w:sz w:val="24"/>
        </w:rPr>
        <w:t>支出</w:t>
      </w:r>
      <w:r>
        <w:rPr>
          <w:rFonts w:hint="eastAsia" w:ascii="仿宋" w:hAnsi="仿宋" w:eastAsia="仿宋" w:cs="Times New Roman"/>
          <w:sz w:val="24"/>
        </w:rPr>
        <w:t>决算总体情况说明</w:t>
      </w:r>
    </w:p>
    <w:p>
      <w:pPr>
        <w:adjustRightInd w:val="0"/>
        <w:snapToGrid w:val="0"/>
        <w:spacing w:line="600" w:lineRule="exact"/>
        <w:ind w:firstLine="480" w:firstLineChars="200"/>
        <w:rPr>
          <w:rFonts w:ascii="仿宋" w:hAnsi="仿宋" w:eastAsia="仿宋" w:cs="Wingdings"/>
          <w:sz w:val="24"/>
          <w:highlight w:val="yellow"/>
        </w:rPr>
      </w:pPr>
      <w:r>
        <w:rPr>
          <w:rFonts w:hint="eastAsia" w:ascii="仿宋" w:hAnsi="仿宋" w:eastAsia="仿宋" w:cs="Wingdings"/>
          <w:sz w:val="24"/>
        </w:rPr>
        <w:t>本部门2020年度收、支总计含结转和结余15900.03万元。与2019年度决算相比，收支减少74018.18万元，下降率82.31%，主要原因是土地挂牌减少，机构改革权利下放，项目支出减少。</w:t>
      </w:r>
    </w:p>
    <w:p>
      <w:pPr>
        <w:keepNext/>
        <w:keepLines/>
        <w:snapToGrid w:val="0"/>
        <w:spacing w:line="600" w:lineRule="exact"/>
        <w:ind w:firstLine="480" w:firstLineChars="200"/>
        <w:outlineLvl w:val="1"/>
        <w:rPr>
          <w:rFonts w:ascii="仿宋" w:hAnsi="仿宋" w:eastAsia="仿宋" w:cs="Times New Roman"/>
          <w:sz w:val="24"/>
        </w:rPr>
      </w:pPr>
      <w:r>
        <w:rPr>
          <w:rFonts w:hint="eastAsia" w:ascii="仿宋" w:hAnsi="仿宋" w:eastAsia="仿宋" w:cs="Times New Roman"/>
          <w:sz w:val="24"/>
        </w:rPr>
        <w:t>二、收入决算情况说明</w:t>
      </w:r>
    </w:p>
    <w:p>
      <w:pPr>
        <w:adjustRightInd w:val="0"/>
        <w:snapToGrid w:val="0"/>
        <w:spacing w:line="600" w:lineRule="exact"/>
        <w:ind w:firstLine="480" w:firstLineChars="200"/>
        <w:rPr>
          <w:rFonts w:ascii="仿宋" w:hAnsi="仿宋" w:eastAsia="仿宋" w:cs="Wingdings"/>
          <w:sz w:val="24"/>
          <w:highlight w:val="yellow"/>
        </w:rPr>
      </w:pPr>
      <w:r>
        <w:rPr>
          <w:rFonts w:hint="eastAsia" w:ascii="仿宋" w:hAnsi="仿宋" w:eastAsia="仿宋" w:cs="Wingdings"/>
          <w:sz w:val="24"/>
        </w:rPr>
        <w:t>本部门2020年度本年收入合计15900.03万元，其中：财政拨款收入15900.03万元，占100%；事业收入0万元，占0%；经营收入0万元，占0%；其他收入0万元，占0%。</w:t>
      </w:r>
    </w:p>
    <w:p>
      <w:pPr>
        <w:snapToGrid w:val="0"/>
        <w:spacing w:line="600" w:lineRule="exact"/>
        <w:ind w:firstLine="480" w:firstLineChars="200"/>
        <w:outlineLvl w:val="1"/>
        <w:rPr>
          <w:rFonts w:ascii="仿宋" w:hAnsi="仿宋" w:eastAsia="仿宋" w:cs="Times New Roman"/>
          <w:sz w:val="24"/>
        </w:rPr>
      </w:pPr>
      <w:r>
        <w:rPr>
          <w:rFonts w:hint="eastAsia" w:ascii="仿宋" w:hAnsi="仿宋" w:eastAsia="仿宋" w:cs="Times New Roman"/>
          <w:sz w:val="24"/>
        </w:rPr>
        <w:t>三、支出决算情况说明</w:t>
      </w:r>
    </w:p>
    <w:p>
      <w:pPr>
        <w:adjustRightInd w:val="0"/>
        <w:snapToGrid w:val="0"/>
        <w:spacing w:line="600" w:lineRule="exact"/>
        <w:ind w:firstLine="480" w:firstLineChars="200"/>
        <w:rPr>
          <w:rFonts w:ascii="仿宋" w:hAnsi="仿宋" w:eastAsia="仿宋" w:cs="Wingdings"/>
          <w:sz w:val="24"/>
        </w:rPr>
      </w:pPr>
      <w:r>
        <w:rPr>
          <w:rFonts w:hint="eastAsia" w:ascii="仿宋" w:hAnsi="仿宋" w:eastAsia="仿宋" w:cs="Wingdings"/>
          <w:sz w:val="24"/>
        </w:rPr>
        <w:t>本部门2020年度本年支出合计15900.03万元，其中：基本支出3919.85万元，占24.65%；项目支出11980.18万元，占75.35%；经营支出0万元，占0%</w:t>
      </w:r>
    </w:p>
    <w:p>
      <w:pPr>
        <w:keepNext/>
        <w:keepLines/>
        <w:snapToGrid w:val="0"/>
        <w:spacing w:line="600" w:lineRule="exact"/>
        <w:ind w:firstLine="480" w:firstLineChars="200"/>
        <w:outlineLvl w:val="1"/>
        <w:rPr>
          <w:rFonts w:ascii="仿宋" w:hAnsi="仿宋" w:eastAsia="仿宋" w:cs="Times New Roman"/>
          <w:sz w:val="24"/>
        </w:rPr>
      </w:pPr>
      <w:r>
        <w:rPr>
          <w:rFonts w:hint="eastAsia" w:ascii="仿宋" w:hAnsi="仿宋" w:eastAsia="仿宋" w:cs="Times New Roman"/>
          <w:sz w:val="24"/>
        </w:rPr>
        <w:t>四、</w:t>
      </w:r>
      <w:r>
        <w:rPr>
          <w:rFonts w:hint="eastAsia" w:ascii="仿宋" w:hAnsi="仿宋" w:eastAsia="仿宋" w:cs="黑体"/>
          <w:kern w:val="0"/>
          <w:sz w:val="24"/>
        </w:rPr>
        <w:t>财政</w:t>
      </w:r>
      <w:r>
        <w:rPr>
          <w:rFonts w:hint="eastAsia" w:ascii="仿宋" w:hAnsi="仿宋" w:eastAsia="仿宋" w:cs="Times New Roman"/>
          <w:sz w:val="24"/>
        </w:rPr>
        <w:t>拨款收入支出决算总体情况说明</w:t>
      </w:r>
    </w:p>
    <w:p>
      <w:pPr>
        <w:snapToGrid w:val="0"/>
        <w:spacing w:line="600" w:lineRule="exact"/>
        <w:ind w:firstLine="482" w:firstLineChars="200"/>
        <w:rPr>
          <w:rFonts w:ascii="仿宋" w:hAnsi="仿宋" w:eastAsia="仿宋" w:cs="Mongolian Baiti"/>
          <w:b/>
          <w:bCs/>
          <w:sz w:val="24"/>
        </w:rPr>
      </w:pPr>
      <w:r>
        <w:rPr>
          <w:rFonts w:hint="eastAsia" w:ascii="仿宋" w:hAnsi="仿宋" w:eastAsia="仿宋" w:cs="Mongolian Baiti"/>
          <w:b/>
          <w:bCs/>
          <w:sz w:val="24"/>
        </w:rPr>
        <w:t>（一）财政拨款收支与2019年度决算对比情况</w:t>
      </w:r>
    </w:p>
    <w:p>
      <w:pPr>
        <w:adjustRightInd w:val="0"/>
        <w:snapToGrid w:val="0"/>
        <w:spacing w:line="600" w:lineRule="exact"/>
        <w:ind w:firstLine="480" w:firstLineChars="200"/>
        <w:rPr>
          <w:rFonts w:ascii="仿宋" w:hAnsi="仿宋" w:eastAsia="仿宋" w:cs="Wingdings"/>
          <w:sz w:val="24"/>
          <w:highlight w:val="yellow"/>
        </w:rPr>
      </w:pPr>
      <w:r>
        <w:rPr>
          <w:rFonts w:hint="eastAsia" w:ascii="仿宋" w:hAnsi="仿宋" w:eastAsia="仿宋" w:cs="Wingdings"/>
          <w:sz w:val="24"/>
        </w:rPr>
        <w:t>本部门2020年度财政拨款本年收入15900.03万元,比2019年度减少74018.18万元，降低82.31%，主要是土地挂牌减少，机构改革权利下放，项目支出减少；本年支出15900.03万元，减少74018.18万元，降低82.31%，主要是土地挂牌减少，机构改革权利下放，项目支出减少。</w:t>
      </w:r>
    </w:p>
    <w:p>
      <w:pPr>
        <w:adjustRightInd w:val="0"/>
        <w:snapToGrid w:val="0"/>
        <w:spacing w:line="600" w:lineRule="exact"/>
        <w:rPr>
          <w:rFonts w:ascii="仿宋" w:hAnsi="仿宋" w:eastAsia="仿宋" w:cs="Wingdings"/>
          <w:sz w:val="24"/>
          <w:highlight w:val="yellow"/>
        </w:rPr>
      </w:pPr>
      <w:r>
        <w:rPr>
          <w:rFonts w:hint="eastAsia" w:ascii="仿宋" w:hAnsi="仿宋" w:eastAsia="仿宋" w:cs="Wingdings"/>
          <w:sz w:val="24"/>
        </w:rPr>
        <w:t>具体情况如下：</w:t>
      </w:r>
    </w:p>
    <w:p>
      <w:pPr>
        <w:numPr>
          <w:ilvl w:val="0"/>
          <w:numId w:val="1"/>
        </w:numPr>
        <w:adjustRightInd w:val="0"/>
        <w:snapToGrid w:val="0"/>
        <w:spacing w:line="600" w:lineRule="exact"/>
        <w:ind w:firstLine="480" w:firstLineChars="200"/>
        <w:rPr>
          <w:rFonts w:ascii="仿宋" w:hAnsi="仿宋" w:eastAsia="仿宋" w:cs="Wingdings"/>
          <w:sz w:val="24"/>
        </w:rPr>
      </w:pPr>
      <w:r>
        <w:rPr>
          <w:rFonts w:hint="eastAsia" w:ascii="仿宋" w:hAnsi="仿宋" w:eastAsia="仿宋" w:cs="Wingdings"/>
          <w:sz w:val="24"/>
        </w:rPr>
        <w:t>一般公共预算财政拨款本年收入8843.55万元，比上年增加3164.29万元；主要是一般公共预算财政拨款收入增加；本年支出8843.55万元，比上年增加3164.29万元，增长35.78%，主要是一般公共预算财政拨款支出增加。</w:t>
      </w:r>
    </w:p>
    <w:p>
      <w:pPr>
        <w:numPr>
          <w:ilvl w:val="0"/>
          <w:numId w:val="1"/>
        </w:numPr>
        <w:adjustRightInd w:val="0"/>
        <w:snapToGrid w:val="0"/>
        <w:spacing w:line="600" w:lineRule="exact"/>
        <w:ind w:firstLine="480" w:firstLineChars="200"/>
        <w:rPr>
          <w:rFonts w:ascii="仿宋" w:hAnsi="仿宋" w:eastAsia="仿宋" w:cs="Wingdings"/>
          <w:sz w:val="24"/>
        </w:rPr>
      </w:pPr>
      <w:r>
        <w:rPr>
          <w:rFonts w:hint="eastAsia" w:ascii="仿宋" w:hAnsi="仿宋" w:eastAsia="仿宋" w:cs="Wingdings"/>
          <w:sz w:val="24"/>
        </w:rPr>
        <w:t>政府性基金预算财政拨7056.48款本年收入7056.48万元，比上年减少77182.47万元，主要原因是政府性基金财政拨款减少；本年支出7056.48万元，比上年减少77182.47万元，主要是政府性基金财政支出减少。</w:t>
      </w:r>
    </w:p>
    <w:p>
      <w:pPr>
        <w:snapToGrid w:val="0"/>
        <w:spacing w:line="600" w:lineRule="exact"/>
        <w:ind w:firstLine="482" w:firstLineChars="200"/>
        <w:rPr>
          <w:rFonts w:ascii="仿宋" w:hAnsi="仿宋" w:eastAsia="仿宋" w:cs="Mongolian Baiti"/>
          <w:b/>
          <w:bCs/>
          <w:sz w:val="24"/>
        </w:rPr>
      </w:pPr>
      <w:r>
        <w:rPr>
          <w:rFonts w:hint="eastAsia" w:ascii="仿宋" w:hAnsi="仿宋" w:eastAsia="仿宋" w:cs="Mongolian Baiti"/>
          <w:b/>
          <w:bCs/>
          <w:sz w:val="24"/>
        </w:rPr>
        <w:t>（二）财政拨款收支与年初预算数对比情况</w:t>
      </w:r>
    </w:p>
    <w:p>
      <w:pPr>
        <w:pStyle w:val="8"/>
        <w:numPr>
          <w:ilvl w:val="0"/>
          <w:numId w:val="2"/>
        </w:numPr>
        <w:adjustRightInd w:val="0"/>
        <w:snapToGrid w:val="0"/>
        <w:spacing w:line="600" w:lineRule="exact"/>
        <w:ind w:firstLineChars="0"/>
        <w:rPr>
          <w:rFonts w:ascii="仿宋" w:hAnsi="仿宋" w:eastAsia="仿宋" w:cs="Wingdings"/>
          <w:sz w:val="24"/>
        </w:rPr>
      </w:pPr>
      <w:r>
        <w:rPr>
          <w:rFonts w:hint="eastAsia" w:ascii="仿宋" w:hAnsi="仿宋" w:eastAsia="仿宋" w:cs="Wingdings"/>
          <w:sz w:val="24"/>
        </w:rPr>
        <w:t>本部门2020年度财政拨款本年收入15900.03万元，完成年初预算的21.62%,比年初预算减少57645.69万元，决算数小于预算数主要原因是财政拨款收入减少；本年支出15900.03万元，完成年初预算的21.62%,比年初预算减少57645.69万元，决算数小于预算数主要原因是主要是财政拨款支出减少。具体情况如下：</w:t>
      </w:r>
    </w:p>
    <w:p>
      <w:pPr>
        <w:numPr>
          <w:ilvl w:val="0"/>
          <w:numId w:val="2"/>
        </w:numPr>
        <w:adjustRightInd w:val="0"/>
        <w:snapToGrid w:val="0"/>
        <w:spacing w:line="600" w:lineRule="exact"/>
        <w:ind w:firstLine="480" w:firstLineChars="200"/>
        <w:rPr>
          <w:rFonts w:ascii="仿宋" w:hAnsi="仿宋" w:eastAsia="仿宋" w:cs="Wingdings"/>
          <w:sz w:val="24"/>
        </w:rPr>
      </w:pPr>
      <w:r>
        <w:rPr>
          <w:rFonts w:hint="eastAsia" w:ascii="仿宋" w:hAnsi="仿宋" w:eastAsia="仿宋" w:cs="Wingdings"/>
          <w:sz w:val="24"/>
        </w:rPr>
        <w:t>一般公共预算财政拨款本年收入完成年初预算64.91%，比年初预算减少4781.47万元，主要是财政拨款收入减少；支出完成年初预算64.91%，比年初预算减少4781.47万元，主要是政拨款收入减少。</w:t>
      </w:r>
    </w:p>
    <w:p>
      <w:pPr>
        <w:numPr>
          <w:ilvl w:val="0"/>
          <w:numId w:val="2"/>
        </w:numPr>
        <w:adjustRightInd w:val="0"/>
        <w:snapToGrid w:val="0"/>
        <w:spacing w:line="600" w:lineRule="exact"/>
        <w:ind w:firstLine="480" w:firstLineChars="200"/>
        <w:rPr>
          <w:rFonts w:ascii="仿宋" w:hAnsi="仿宋" w:eastAsia="仿宋" w:cs="Wingdings"/>
          <w:sz w:val="24"/>
        </w:rPr>
      </w:pPr>
      <w:r>
        <w:rPr>
          <w:rFonts w:hint="eastAsia" w:ascii="仿宋" w:hAnsi="仿宋" w:eastAsia="仿宋" w:cs="Wingdings"/>
          <w:sz w:val="24"/>
        </w:rPr>
        <w:t>政府性基金预算财政拨款本年收入完成年初预算11.78%，比年初预算减少52864.22万元，主要是财政拨款收入减少；支出完成年初预算11.78%，比年初预算减少52864.22万元，主要是财政拨款收入减少。</w:t>
      </w:r>
    </w:p>
    <w:p>
      <w:pPr>
        <w:numPr>
          <w:ilvl w:val="0"/>
          <w:numId w:val="3"/>
        </w:numPr>
        <w:adjustRightInd w:val="0"/>
        <w:snapToGrid w:val="0"/>
        <w:spacing w:line="600" w:lineRule="exact"/>
        <w:ind w:left="420" w:leftChars="200"/>
        <w:rPr>
          <w:rFonts w:ascii="仿宋" w:hAnsi="仿宋" w:eastAsia="仿宋" w:cs="Mongolian Baiti"/>
          <w:b/>
          <w:bCs/>
          <w:sz w:val="24"/>
        </w:rPr>
      </w:pPr>
      <w:r>
        <w:rPr>
          <w:rFonts w:hint="eastAsia" w:ascii="仿宋" w:hAnsi="仿宋" w:eastAsia="仿宋" w:cs="Mongolian Baiti"/>
          <w:b/>
          <w:bCs/>
          <w:sz w:val="24"/>
        </w:rPr>
        <w:t>财政拨款支出决算结构情况。</w:t>
      </w:r>
    </w:p>
    <w:p>
      <w:pPr>
        <w:adjustRightInd w:val="0"/>
        <w:snapToGrid w:val="0"/>
        <w:spacing w:line="600" w:lineRule="exact"/>
        <w:ind w:firstLine="480" w:firstLineChars="200"/>
        <w:rPr>
          <w:rFonts w:ascii="仿宋" w:hAnsi="仿宋" w:eastAsia="仿宋" w:cs="Wingdings"/>
          <w:sz w:val="24"/>
        </w:rPr>
      </w:pPr>
      <w:r>
        <w:rPr>
          <w:rFonts w:hint="eastAsia" w:ascii="仿宋" w:hAnsi="仿宋" w:eastAsia="仿宋" w:cs="Wingdings"/>
          <w:sz w:val="24"/>
        </w:rPr>
        <w:t>2020 年度财政拨款支出15900.03万元，主要用于以下方面社会保障和就业支出480.27万元，占3.02%，；卫生健康支出123.03万元，占0.77%；节能环保支出24.70万元，占0.16%；城乡社区支出7056.48万元，占44.38%；农林水支出 1550.86万元，占9.75%；住房保障支出185.41万元，占1.17 %；自然资源海洋气象等支出5516.72万元，占34.70%;灾害防治及应急管理支出30.41万元，占0.19%；年末结转和结余支出932.15万元，占5.86 %。</w:t>
      </w:r>
    </w:p>
    <w:p>
      <w:pPr>
        <w:adjustRightInd w:val="0"/>
        <w:snapToGrid w:val="0"/>
        <w:spacing w:line="600" w:lineRule="exact"/>
        <w:ind w:left="420" w:leftChars="200"/>
        <w:rPr>
          <w:rFonts w:ascii="仿宋" w:hAnsi="仿宋" w:eastAsia="仿宋" w:cs="Mongolian Baiti"/>
          <w:b/>
          <w:bCs/>
          <w:sz w:val="24"/>
        </w:rPr>
      </w:pPr>
      <w:r>
        <w:rPr>
          <w:rFonts w:hint="eastAsia" w:ascii="仿宋" w:hAnsi="仿宋" w:eastAsia="仿宋" w:cs="Mongolian Baiti"/>
          <w:b/>
          <w:bCs/>
          <w:sz w:val="24"/>
        </w:rPr>
        <w:t>（四）一般公共预算基本支出决算情况说明</w:t>
      </w:r>
    </w:p>
    <w:p>
      <w:pPr>
        <w:adjustRightInd w:val="0"/>
        <w:snapToGrid w:val="0"/>
        <w:spacing w:line="600" w:lineRule="exact"/>
        <w:ind w:firstLine="480" w:firstLineChars="200"/>
        <w:rPr>
          <w:rFonts w:ascii="仿宋" w:hAnsi="仿宋" w:eastAsia="仿宋" w:cs="Wingdings"/>
          <w:sz w:val="24"/>
        </w:rPr>
      </w:pPr>
      <w:r>
        <w:rPr>
          <w:rFonts w:hint="eastAsia" w:ascii="仿宋" w:hAnsi="仿宋" w:eastAsia="仿宋" w:cs="Wingdings"/>
          <w:sz w:val="24"/>
        </w:rPr>
        <w:t>2020 年度财政拨款基本支出</w:t>
      </w:r>
      <w:r>
        <w:rPr>
          <w:rFonts w:hint="eastAsia" w:ascii="仿宋" w:hAnsi="仿宋" w:eastAsia="仿宋" w:cs="Wingdings"/>
          <w:color w:val="auto"/>
          <w:sz w:val="24"/>
          <w:lang w:val="en-US" w:eastAsia="zh-CN"/>
        </w:rPr>
        <w:t>3872.25</w:t>
      </w:r>
      <w:r>
        <w:rPr>
          <w:rFonts w:hint="eastAsia" w:ascii="仿宋" w:hAnsi="仿宋" w:eastAsia="仿宋" w:cs="Wingdings"/>
          <w:sz w:val="24"/>
        </w:rPr>
        <w:t>万元，其中：人员经费</w:t>
      </w:r>
      <w:r>
        <w:rPr>
          <w:rFonts w:hint="eastAsia" w:ascii="仿宋" w:hAnsi="仿宋" w:eastAsia="仿宋" w:cs="Wingdings"/>
          <w:color w:val="auto"/>
          <w:sz w:val="24"/>
        </w:rPr>
        <w:t xml:space="preserve"> </w:t>
      </w:r>
      <w:r>
        <w:rPr>
          <w:rFonts w:hint="eastAsia" w:ascii="仿宋" w:hAnsi="仿宋" w:eastAsia="仿宋" w:cs="Wingdings"/>
          <w:color w:val="auto"/>
          <w:sz w:val="24"/>
          <w:lang w:val="en-US" w:eastAsia="zh-CN"/>
        </w:rPr>
        <w:t>3759.89</w:t>
      </w:r>
      <w:r>
        <w:rPr>
          <w:rFonts w:hint="eastAsia" w:ascii="仿宋" w:hAnsi="仿宋" w:eastAsia="仿宋" w:cs="Wingdings"/>
          <w:sz w:val="24"/>
        </w:rPr>
        <w:t>万元，主要包括基本工资、津贴补贴、奖金、绩效工资、机关事业单位基本养老保险缴费、职业年金缴费、职工基本医疗保险缴费、住房公积金、其他对个人和家庭的补助支出</w:t>
      </w:r>
      <w:r>
        <w:rPr>
          <w:rFonts w:hint="eastAsia" w:ascii="仿宋" w:hAnsi="仿宋" w:eastAsia="仿宋" w:cs="Wingdings"/>
          <w:sz w:val="24"/>
          <w:lang w:eastAsia="zh-CN"/>
        </w:rPr>
        <w:t>、</w:t>
      </w:r>
      <w:r>
        <w:rPr>
          <w:rFonts w:hint="eastAsia" w:ascii="仿宋" w:hAnsi="仿宋" w:eastAsia="仿宋" w:cs="Wingdings"/>
          <w:sz w:val="24"/>
        </w:rPr>
        <w:t>退休费、抚恤金、生活补助、</w:t>
      </w:r>
      <w:r>
        <w:rPr>
          <w:rFonts w:hint="eastAsia" w:ascii="仿宋" w:hAnsi="仿宋" w:eastAsia="仿宋" w:cs="Wingdings"/>
          <w:sz w:val="24"/>
          <w:lang w:val="en-US" w:eastAsia="zh-CN"/>
        </w:rPr>
        <w:t>奖励金</w:t>
      </w:r>
      <w:r>
        <w:rPr>
          <w:rFonts w:hint="eastAsia" w:ascii="仿宋" w:hAnsi="仿宋" w:eastAsia="仿宋" w:cs="Wingdings"/>
          <w:sz w:val="24"/>
        </w:rPr>
        <w:t>；公用经费 112.36万元，主要包括办公费、邮电费、取暖费、公务用车运行维护费、其他交通费用。</w:t>
      </w:r>
    </w:p>
    <w:p>
      <w:pPr>
        <w:keepNext/>
        <w:keepLines/>
        <w:snapToGrid w:val="0"/>
        <w:spacing w:line="600" w:lineRule="exact"/>
        <w:ind w:firstLine="480" w:firstLineChars="200"/>
        <w:outlineLvl w:val="1"/>
        <w:rPr>
          <w:rFonts w:ascii="仿宋" w:hAnsi="仿宋" w:eastAsia="仿宋" w:cs="Times New Roman"/>
          <w:sz w:val="24"/>
        </w:rPr>
      </w:pPr>
      <w:r>
        <w:rPr>
          <w:rFonts w:hint="eastAsia" w:ascii="仿宋" w:hAnsi="仿宋" w:eastAsia="仿宋" w:cs="Times New Roman"/>
          <w:sz w:val="24"/>
        </w:rPr>
        <w:t>五、一般公共预算“三公” 经费支出决算情况说明</w:t>
      </w:r>
    </w:p>
    <w:p>
      <w:pPr>
        <w:adjustRightInd w:val="0"/>
        <w:snapToGrid w:val="0"/>
        <w:spacing w:line="600" w:lineRule="exact"/>
        <w:ind w:firstLine="482" w:firstLineChars="200"/>
        <w:rPr>
          <w:rFonts w:ascii="仿宋" w:hAnsi="仿宋" w:eastAsia="仿宋" w:cs="Mongolian Baiti"/>
          <w:b/>
          <w:bCs/>
          <w:sz w:val="24"/>
        </w:rPr>
      </w:pPr>
      <w:r>
        <w:rPr>
          <w:rFonts w:hint="eastAsia" w:ascii="仿宋" w:hAnsi="仿宋" w:eastAsia="仿宋" w:cs="Mongolian Baiti"/>
          <w:b/>
          <w:bCs/>
          <w:sz w:val="24"/>
        </w:rPr>
        <w:t>（一）“三公”经费财政拨款支出决算总体情况说明</w:t>
      </w:r>
    </w:p>
    <w:p>
      <w:pPr>
        <w:adjustRightInd w:val="0"/>
        <w:snapToGrid w:val="0"/>
        <w:spacing w:line="600" w:lineRule="exact"/>
        <w:ind w:firstLine="480" w:firstLineChars="200"/>
        <w:rPr>
          <w:rFonts w:ascii="仿宋" w:hAnsi="仿宋" w:eastAsia="仿宋" w:cs="Wingdings"/>
          <w:sz w:val="24"/>
        </w:rPr>
      </w:pPr>
      <w:r>
        <w:rPr>
          <w:rFonts w:hint="eastAsia" w:ascii="仿宋" w:hAnsi="仿宋" w:eastAsia="仿宋" w:cs="Wingdings"/>
          <w:sz w:val="24"/>
        </w:rPr>
        <w:t>本部门2020年度“三公”经费财政拨款支出预算为30.00万元，支出决算为22.50</w:t>
      </w:r>
      <w:r>
        <w:rPr>
          <w:rFonts w:hint="eastAsia" w:ascii="仿宋" w:hAnsi="仿宋" w:eastAsia="仿宋" w:cs="Wingdings"/>
          <w:color w:val="auto"/>
          <w:sz w:val="24"/>
          <w:lang w:val="en-US" w:eastAsia="zh-CN"/>
        </w:rPr>
        <w:t>万</w:t>
      </w:r>
      <w:r>
        <w:rPr>
          <w:rFonts w:hint="eastAsia" w:ascii="仿宋" w:hAnsi="仿宋" w:eastAsia="仿宋" w:cs="Wingdings"/>
          <w:sz w:val="24"/>
        </w:rPr>
        <w:t>元，完成预算的75%,较预算减少7.50万元，降低25%，主要是</w:t>
      </w:r>
      <w:r>
        <w:rPr>
          <w:rFonts w:hint="eastAsia" w:ascii="仿宋" w:hAnsi="仿宋" w:eastAsia="仿宋" w:cs="DengXian-Regular"/>
          <w:sz w:val="24"/>
        </w:rPr>
        <w:t>厉行节约严格执行三公经费制度</w:t>
      </w:r>
      <w:r>
        <w:rPr>
          <w:rFonts w:hint="eastAsia" w:ascii="仿宋" w:hAnsi="仿宋" w:eastAsia="仿宋" w:cs="Wingdings"/>
          <w:sz w:val="24"/>
        </w:rPr>
        <w:t>；较2019年度减少5.00万元，减少16.67%，主要是机构改革车辆减少，致使支出减少。</w:t>
      </w:r>
    </w:p>
    <w:p>
      <w:pPr>
        <w:adjustRightInd w:val="0"/>
        <w:snapToGrid w:val="0"/>
        <w:spacing w:line="600" w:lineRule="exact"/>
        <w:ind w:firstLine="482" w:firstLineChars="200"/>
        <w:rPr>
          <w:rFonts w:ascii="仿宋" w:hAnsi="仿宋" w:eastAsia="仿宋" w:cs="Mongolian Baiti"/>
          <w:b/>
          <w:bCs/>
          <w:sz w:val="24"/>
        </w:rPr>
      </w:pPr>
      <w:r>
        <w:rPr>
          <w:rFonts w:hint="eastAsia" w:ascii="仿宋" w:hAnsi="仿宋" w:eastAsia="仿宋" w:cs="Mongolian Baiti"/>
          <w:b/>
          <w:bCs/>
          <w:sz w:val="24"/>
        </w:rPr>
        <w:t>（二）“三公”经费财政拨款支出决算具体情况说明</w:t>
      </w:r>
    </w:p>
    <w:p>
      <w:pPr>
        <w:adjustRightInd w:val="0"/>
        <w:snapToGrid w:val="0"/>
        <w:spacing w:line="600" w:lineRule="exact"/>
        <w:ind w:firstLine="482" w:firstLineChars="200"/>
        <w:rPr>
          <w:rFonts w:ascii="仿宋" w:hAnsi="仿宋" w:eastAsia="仿宋" w:cs="Wingdings"/>
          <w:sz w:val="24"/>
        </w:rPr>
      </w:pPr>
      <w:r>
        <w:rPr>
          <w:rFonts w:hint="eastAsia" w:ascii="仿宋" w:hAnsi="仿宋" w:eastAsia="仿宋" w:cs="Mongolian Baiti"/>
          <w:b/>
          <w:bCs/>
          <w:sz w:val="24"/>
        </w:rPr>
        <w:t>1.因公出国（境）费。</w:t>
      </w:r>
      <w:r>
        <w:rPr>
          <w:rFonts w:hint="eastAsia" w:ascii="仿宋" w:hAnsi="仿宋" w:eastAsia="仿宋" w:cs="仿宋_GB2312"/>
          <w:sz w:val="24"/>
        </w:rPr>
        <w:t>本部门2020年因公出国（境）费支出0万元，完成预算的0%。</w:t>
      </w:r>
      <w:r>
        <w:rPr>
          <w:rFonts w:hint="eastAsia" w:ascii="仿宋" w:hAnsi="仿宋" w:eastAsia="仿宋" w:cs="Wingdings"/>
          <w:sz w:val="24"/>
        </w:rPr>
        <w:t>因公出国（境）团组0个、共0人，与上年决算持平，参加其他单位组织的因公出国（境）团组0个、共0人/无本单位组织的出国（境）团组。</w:t>
      </w:r>
    </w:p>
    <w:p>
      <w:pPr>
        <w:adjustRightInd w:val="0"/>
        <w:snapToGrid w:val="0"/>
        <w:spacing w:line="600" w:lineRule="exact"/>
        <w:ind w:firstLine="482" w:firstLineChars="200"/>
        <w:rPr>
          <w:rFonts w:ascii="仿宋" w:hAnsi="仿宋" w:eastAsia="仿宋" w:cs="Wingdings"/>
          <w:sz w:val="24"/>
        </w:rPr>
      </w:pPr>
      <w:r>
        <w:rPr>
          <w:rFonts w:hint="eastAsia" w:ascii="仿宋" w:hAnsi="仿宋" w:eastAsia="仿宋" w:cs="Mongolian Baiti"/>
          <w:b/>
          <w:bCs/>
          <w:sz w:val="24"/>
        </w:rPr>
        <w:t>2.公务用车购置及运行维护费。</w:t>
      </w:r>
      <w:r>
        <w:rPr>
          <w:rFonts w:hint="eastAsia" w:ascii="仿宋" w:hAnsi="仿宋" w:eastAsia="仿宋" w:cs="仿宋_GB2312"/>
          <w:sz w:val="24"/>
        </w:rPr>
        <w:t>本部门2020年公务用车购置及运行维护费支出22.50万元，完成预算的75%，</w:t>
      </w:r>
      <w:r>
        <w:rPr>
          <w:rFonts w:hint="eastAsia" w:ascii="仿宋" w:hAnsi="仿宋" w:eastAsia="仿宋" w:cs="Wingdings"/>
          <w:sz w:val="24"/>
        </w:rPr>
        <w:t>较预算减少7.50万元，降低25%,主要是</w:t>
      </w:r>
      <w:r>
        <w:rPr>
          <w:rFonts w:hint="eastAsia" w:ascii="仿宋" w:hAnsi="仿宋" w:eastAsia="仿宋" w:cs="DengXian-Regular"/>
          <w:sz w:val="24"/>
        </w:rPr>
        <w:t>厉行节约严格执行三公经费制度</w:t>
      </w:r>
      <w:r>
        <w:rPr>
          <w:rFonts w:hint="eastAsia" w:ascii="仿宋" w:hAnsi="仿宋" w:eastAsia="仿宋" w:cs="Wingdings"/>
          <w:sz w:val="24"/>
        </w:rPr>
        <w:t>；较上年减少5.00万元，减少16.67%,主要是机构改革车辆减少，主要是</w:t>
      </w:r>
      <w:r>
        <w:rPr>
          <w:rFonts w:hint="eastAsia" w:ascii="仿宋" w:hAnsi="仿宋" w:eastAsia="仿宋" w:cs="DengXian-Regular"/>
          <w:sz w:val="24"/>
        </w:rPr>
        <w:t>公务用车燃支出减少</w:t>
      </w:r>
      <w:r>
        <w:rPr>
          <w:rFonts w:hint="eastAsia" w:ascii="仿宋" w:hAnsi="仿宋" w:eastAsia="仿宋" w:cs="Wingdings"/>
          <w:sz w:val="24"/>
        </w:rPr>
        <w:t>。</w:t>
      </w:r>
      <w:r>
        <w:rPr>
          <w:rFonts w:hint="eastAsia" w:ascii="仿宋" w:hAnsi="仿宋" w:eastAsia="仿宋" w:cs="Mongolian Baiti"/>
          <w:b/>
          <w:bCs/>
          <w:sz w:val="24"/>
        </w:rPr>
        <w:t>其中：</w:t>
      </w:r>
    </w:p>
    <w:p>
      <w:pPr>
        <w:adjustRightInd w:val="0"/>
        <w:snapToGrid w:val="0"/>
        <w:spacing w:line="600" w:lineRule="exact"/>
        <w:ind w:firstLine="482" w:firstLineChars="200"/>
        <w:rPr>
          <w:rFonts w:ascii="仿宋" w:hAnsi="仿宋" w:eastAsia="仿宋" w:cs="Wingdings"/>
          <w:sz w:val="24"/>
        </w:rPr>
      </w:pPr>
      <w:r>
        <w:rPr>
          <w:rFonts w:hint="eastAsia" w:ascii="仿宋" w:hAnsi="仿宋" w:eastAsia="仿宋" w:cs="Wingdings"/>
          <w:b/>
          <w:sz w:val="24"/>
        </w:rPr>
        <w:t>公务用车购置费支出：</w:t>
      </w:r>
      <w:r>
        <w:rPr>
          <w:rFonts w:hint="eastAsia" w:ascii="仿宋" w:hAnsi="仿宋" w:eastAsia="仿宋" w:cs="Wingdings"/>
          <w:sz w:val="24"/>
        </w:rPr>
        <w:t>本部门2020年度公务用车购置量0辆，发生“公务用车购置”经费支出0万元。公务用车购置费支出较预</w:t>
      </w:r>
      <w:r>
        <w:rPr>
          <w:rFonts w:hint="eastAsia" w:ascii="仿宋" w:hAnsi="仿宋" w:eastAsia="仿宋" w:cs="Wingdings"/>
          <w:color w:val="auto"/>
          <w:sz w:val="24"/>
        </w:rPr>
        <w:t>算增加0万元，增长0%,较</w:t>
      </w:r>
      <w:r>
        <w:rPr>
          <w:rFonts w:hint="eastAsia" w:ascii="仿宋" w:hAnsi="仿宋" w:eastAsia="仿宋" w:cs="Wingdings"/>
          <w:sz w:val="24"/>
        </w:rPr>
        <w:t>上年预算持平，与上年决算持平，主要是未发生车俩购置费用。</w:t>
      </w:r>
    </w:p>
    <w:p>
      <w:pPr>
        <w:adjustRightInd w:val="0"/>
        <w:snapToGrid w:val="0"/>
        <w:spacing w:line="600" w:lineRule="exact"/>
        <w:ind w:firstLine="482" w:firstLineChars="200"/>
        <w:rPr>
          <w:rFonts w:ascii="仿宋" w:hAnsi="仿宋" w:eastAsia="仿宋" w:cs="Wingdings"/>
          <w:sz w:val="24"/>
        </w:rPr>
      </w:pPr>
      <w:r>
        <w:rPr>
          <w:rFonts w:hint="eastAsia" w:ascii="仿宋" w:hAnsi="仿宋" w:eastAsia="仿宋" w:cs="Wingdings"/>
          <w:b/>
          <w:sz w:val="24"/>
        </w:rPr>
        <w:t>公务用车运行维护费支出：</w:t>
      </w:r>
      <w:r>
        <w:rPr>
          <w:rFonts w:hint="eastAsia" w:ascii="仿宋" w:hAnsi="仿宋" w:eastAsia="仿宋" w:cs="Wingdings"/>
          <w:sz w:val="24"/>
        </w:rPr>
        <w:t>本部门2020年度单位公务用车保有量10辆,发生运行维护费支出22.5万元，公车运行维护费支出较预算减少7.5万元，降低25%,主要是</w:t>
      </w:r>
      <w:r>
        <w:rPr>
          <w:rFonts w:hint="eastAsia" w:ascii="仿宋" w:hAnsi="仿宋" w:eastAsia="仿宋" w:cs="DengXian-Regular"/>
          <w:sz w:val="24"/>
        </w:rPr>
        <w:t>厉行节约严格执行三公经费制度</w:t>
      </w:r>
      <w:r>
        <w:rPr>
          <w:rFonts w:hint="eastAsia" w:ascii="仿宋" w:hAnsi="仿宋" w:eastAsia="仿宋" w:cs="Wingdings"/>
          <w:sz w:val="24"/>
        </w:rPr>
        <w:t>；较上年减少5万元，减少16.67%，主要是机构改革车辆减少，较上年预算持平，与上年决算持平，主要是</w:t>
      </w:r>
      <w:r>
        <w:rPr>
          <w:rFonts w:hint="eastAsia" w:ascii="仿宋" w:hAnsi="仿宋" w:eastAsia="仿宋" w:cs="DengXian-Regular"/>
          <w:sz w:val="24"/>
        </w:rPr>
        <w:t>公务用车燃支出减少。</w:t>
      </w:r>
    </w:p>
    <w:p>
      <w:pPr>
        <w:pStyle w:val="8"/>
        <w:numPr>
          <w:ilvl w:val="0"/>
          <w:numId w:val="2"/>
        </w:numPr>
        <w:adjustRightInd w:val="0"/>
        <w:snapToGrid w:val="0"/>
        <w:spacing w:line="600" w:lineRule="exact"/>
        <w:ind w:firstLineChars="0"/>
        <w:rPr>
          <w:rFonts w:ascii="仿宋" w:hAnsi="仿宋" w:eastAsia="仿宋" w:cs="仿宋_GB2312"/>
          <w:sz w:val="24"/>
        </w:rPr>
      </w:pPr>
      <w:r>
        <w:rPr>
          <w:rFonts w:hint="eastAsia" w:ascii="仿宋" w:hAnsi="仿宋" w:eastAsia="仿宋" w:cs="Mongolian Baiti"/>
          <w:b/>
          <w:bCs/>
          <w:sz w:val="24"/>
        </w:rPr>
        <w:t>公务接待费。</w:t>
      </w:r>
      <w:r>
        <w:rPr>
          <w:rFonts w:hint="eastAsia" w:ascii="仿宋" w:hAnsi="仿宋" w:eastAsia="仿宋" w:cs="仿宋_GB2312"/>
          <w:sz w:val="24"/>
        </w:rPr>
        <w:t>本部门2020年公务接待0万元，完成预算的0。发生</w:t>
      </w:r>
      <w:r>
        <w:rPr>
          <w:rFonts w:hint="eastAsia" w:ascii="仿宋" w:hAnsi="仿宋" w:eastAsia="仿宋" w:cs="Wingdings"/>
          <w:sz w:val="24"/>
        </w:rPr>
        <w:t>公务接待共0批次、0人次。公务接待费支出较预算减少0万元，降低0%,主要是未发生公务接待费用；较上年度减少0万元，较上年预算持平，与上年决算持平，主要是未发生公务接待费用。</w:t>
      </w:r>
    </w:p>
    <w:p>
      <w:pPr>
        <w:adjustRightInd w:val="0"/>
        <w:snapToGrid w:val="0"/>
        <w:spacing w:line="600" w:lineRule="exact"/>
        <w:ind w:firstLine="480" w:firstLineChars="200"/>
        <w:rPr>
          <w:rFonts w:ascii="仿宋" w:hAnsi="仿宋" w:eastAsia="仿宋" w:cs="Times New Roman"/>
          <w:sz w:val="24"/>
        </w:rPr>
      </w:pPr>
      <w:r>
        <w:rPr>
          <w:rFonts w:hint="eastAsia" w:ascii="仿宋" w:hAnsi="仿宋" w:eastAsia="仿宋" w:cs="Times New Roman"/>
          <w:sz w:val="24"/>
        </w:rPr>
        <w:t>六、预算绩效情况说明</w:t>
      </w:r>
    </w:p>
    <w:p>
      <w:pPr>
        <w:adjustRightInd w:val="0"/>
        <w:snapToGrid w:val="0"/>
        <w:spacing w:line="600" w:lineRule="exact"/>
        <w:ind w:firstLine="482" w:firstLineChars="200"/>
        <w:rPr>
          <w:rFonts w:ascii="仿宋" w:hAnsi="仿宋" w:eastAsia="仿宋" w:cs="楷体_GB2312"/>
          <w:b/>
          <w:bCs/>
          <w:sz w:val="24"/>
        </w:rPr>
      </w:pPr>
      <w:r>
        <w:rPr>
          <w:rFonts w:hint="eastAsia" w:ascii="仿宋" w:hAnsi="仿宋" w:eastAsia="仿宋" w:cs="楷体_GB2312"/>
          <w:b/>
          <w:bCs/>
          <w:sz w:val="24"/>
        </w:rPr>
        <w:t>（一）预算绩效管理工作开展情况。</w:t>
      </w:r>
    </w:p>
    <w:p>
      <w:pPr>
        <w:adjustRightInd w:val="0"/>
        <w:snapToGrid w:val="0"/>
        <w:spacing w:line="600" w:lineRule="exact"/>
        <w:ind w:firstLine="480" w:firstLineChars="200"/>
        <w:rPr>
          <w:rFonts w:ascii="仿宋" w:hAnsi="仿宋" w:eastAsia="仿宋" w:cs="仿宋_GB2312"/>
          <w:sz w:val="24"/>
        </w:rPr>
      </w:pPr>
      <w:r>
        <w:rPr>
          <w:rFonts w:hint="eastAsia" w:ascii="仿宋" w:hAnsi="仿宋" w:eastAsia="仿宋" w:cs="仿宋_GB2312"/>
          <w:sz w:val="24"/>
        </w:rPr>
        <w:t>根据预算绩效管理要求，本部门组织对2020年度项目支出全面开展绩效自评，其中，一般公共预算项目18个，一般公共预算项目支出总额4923.70万元，占一般公共预算项目支出总额的100%，政府性基金预算项目3个，共涉及资金7056.50万元。占政府性基金预算项目支出总额的100%。</w:t>
      </w:r>
    </w:p>
    <w:p>
      <w:pPr>
        <w:adjustRightInd w:val="0"/>
        <w:snapToGrid w:val="0"/>
        <w:spacing w:line="600" w:lineRule="exact"/>
        <w:ind w:firstLine="480" w:firstLineChars="200"/>
        <w:rPr>
          <w:rFonts w:ascii="仿宋" w:hAnsi="仿宋" w:eastAsia="仿宋" w:cs="仿宋_GB2312"/>
          <w:sz w:val="24"/>
          <w:highlight w:val="yellow"/>
        </w:rPr>
      </w:pPr>
      <w:r>
        <w:rPr>
          <w:rFonts w:hint="eastAsia" w:ascii="仿宋" w:hAnsi="仿宋" w:eastAsia="仿宋" w:cs="仿宋_GB2312"/>
          <w:sz w:val="24"/>
        </w:rPr>
        <w:t>组织对“保定市自然资源森林草原生态环境等项目”一级项目开展了部门评价，一级项目开展了部门评价，涉及政府性基金预算支出73545.72万元。从评价情况来看，</w:t>
      </w:r>
      <w:r>
        <w:rPr>
          <w:rFonts w:hint="eastAsia" w:ascii="仿宋" w:hAnsi="仿宋" w:eastAsia="仿宋" w:cs="仿宋_GB2312"/>
          <w:color w:val="000000"/>
          <w:kern w:val="0"/>
          <w:sz w:val="24"/>
        </w:rPr>
        <w:t>认为该项目建设资金管理使用规范、资金使用效益明显，成效显著。</w:t>
      </w:r>
    </w:p>
    <w:p>
      <w:pPr>
        <w:adjustRightInd w:val="0"/>
        <w:snapToGrid w:val="0"/>
        <w:spacing w:line="600" w:lineRule="exact"/>
        <w:ind w:firstLine="482" w:firstLineChars="200"/>
        <w:rPr>
          <w:rFonts w:ascii="仿宋" w:hAnsi="仿宋" w:eastAsia="仿宋" w:cs="楷体_GB2312"/>
          <w:b/>
          <w:bCs/>
          <w:sz w:val="24"/>
        </w:rPr>
      </w:pPr>
      <w:r>
        <w:rPr>
          <w:rFonts w:hint="eastAsia" w:ascii="仿宋" w:hAnsi="仿宋" w:eastAsia="仿宋" w:cs="楷体_GB2312"/>
          <w:b/>
          <w:bCs/>
          <w:sz w:val="24"/>
        </w:rPr>
        <w:t>（二） 部门决算中项目绩效自评结果。</w:t>
      </w:r>
    </w:p>
    <w:p>
      <w:pPr>
        <w:adjustRightInd w:val="0"/>
        <w:snapToGrid w:val="0"/>
        <w:spacing w:line="600" w:lineRule="exact"/>
        <w:ind w:firstLine="480" w:firstLineChars="200"/>
        <w:rPr>
          <w:rFonts w:hint="eastAsia" w:ascii="仿宋" w:hAnsi="仿宋" w:eastAsia="仿宋" w:cs="仿宋_GB2312"/>
          <w:sz w:val="24"/>
        </w:rPr>
      </w:pPr>
      <w:r>
        <w:rPr>
          <w:rFonts w:hint="eastAsia" w:ascii="仿宋" w:hAnsi="仿宋" w:eastAsia="仿宋" w:cs="仿宋_GB2312"/>
          <w:sz w:val="24"/>
        </w:rPr>
        <w:t xml:space="preserve">本部门在今年部门决算公开中反映， </w:t>
      </w:r>
      <w:r>
        <w:rPr>
          <w:rFonts w:hint="eastAsia" w:ascii="仿宋" w:hAnsi="仿宋" w:eastAsia="仿宋" w:cs="仿宋_GB2312"/>
          <w:color w:val="000000"/>
          <w:kern w:val="0"/>
          <w:sz w:val="24"/>
        </w:rPr>
        <w:t>保定市满城区自然资源森林草原、国土空间规划等项目</w:t>
      </w:r>
      <w:r>
        <w:rPr>
          <w:rFonts w:hint="eastAsia" w:ascii="仿宋" w:hAnsi="仿宋" w:eastAsia="仿宋" w:cs="仿宋_GB2312"/>
          <w:sz w:val="24"/>
        </w:rPr>
        <w:t>绩效自评结果。</w:t>
      </w:r>
      <w:r>
        <w:rPr>
          <w:rFonts w:hint="eastAsia" w:ascii="仿宋" w:hAnsi="仿宋" w:eastAsia="仿宋" w:cs="仿宋_GB2312"/>
          <w:color w:val="000000"/>
          <w:kern w:val="0"/>
          <w:sz w:val="24"/>
        </w:rPr>
        <w:t>项目</w:t>
      </w:r>
      <w:r>
        <w:rPr>
          <w:rFonts w:hint="eastAsia" w:ascii="仿宋" w:hAnsi="仿宋" w:eastAsia="仿宋" w:cs="仿宋_GB2312"/>
          <w:sz w:val="24"/>
        </w:rPr>
        <w:t>自评综述：根据年初设定的绩效目标，</w:t>
      </w:r>
      <w:r>
        <w:rPr>
          <w:rFonts w:hint="eastAsia" w:ascii="仿宋" w:hAnsi="仿宋" w:eastAsia="仿宋" w:cs="仿宋_GB2312"/>
          <w:color w:val="000000"/>
          <w:kern w:val="0"/>
          <w:sz w:val="24"/>
        </w:rPr>
        <w:t>保定市满城区城自然资源森林草原、国土空间规划等项目</w:t>
      </w:r>
      <w:r>
        <w:rPr>
          <w:rFonts w:hint="eastAsia" w:ascii="仿宋" w:hAnsi="仿宋" w:eastAsia="仿宋" w:cs="仿宋_GB2312"/>
          <w:sz w:val="24"/>
        </w:rPr>
        <w:t>绩效自评得分为99.6分。全年预算数为73545.72万元，执行数为73545.72万元，完成预算的100%。</w:t>
      </w:r>
    </w:p>
    <w:p>
      <w:pPr>
        <w:adjustRightInd w:val="0"/>
        <w:snapToGrid w:val="0"/>
        <w:spacing w:line="600" w:lineRule="exact"/>
        <w:ind w:firstLine="480" w:firstLineChars="200"/>
        <w:rPr>
          <w:rFonts w:hint="eastAsia" w:ascii="仿宋" w:hAnsi="仿宋" w:eastAsia="仿宋" w:cs="仿宋_GB2312"/>
          <w:sz w:val="24"/>
        </w:rPr>
      </w:pPr>
      <w:r>
        <w:rPr>
          <w:rFonts w:hint="eastAsia" w:ascii="仿宋" w:hAnsi="仿宋" w:eastAsia="仿宋" w:cs="仿宋_GB2312"/>
          <w:sz w:val="24"/>
        </w:rPr>
        <w:t>（三）财政评价项目绩效评价结果。</w:t>
      </w:r>
    </w:p>
    <w:p>
      <w:pPr>
        <w:adjustRightInd w:val="0"/>
        <w:snapToGrid w:val="0"/>
        <w:spacing w:line="600" w:lineRule="exact"/>
        <w:ind w:firstLine="960" w:firstLineChars="400"/>
        <w:rPr>
          <w:rFonts w:ascii="仿宋" w:hAnsi="仿宋" w:eastAsia="仿宋" w:cs="仿宋_GB2312"/>
          <w:sz w:val="24"/>
        </w:rPr>
      </w:pPr>
      <w:r>
        <w:rPr>
          <w:rFonts w:hint="eastAsia" w:ascii="仿宋" w:hAnsi="仿宋" w:eastAsia="仿宋" w:cs="仿宋_GB2312"/>
          <w:sz w:val="24"/>
        </w:rPr>
        <w:t>无</w:t>
      </w:r>
    </w:p>
    <w:p>
      <w:pPr>
        <w:keepNext/>
        <w:keepLines/>
        <w:snapToGrid w:val="0"/>
        <w:spacing w:line="600" w:lineRule="exact"/>
        <w:ind w:firstLine="482" w:firstLineChars="200"/>
        <w:outlineLvl w:val="1"/>
        <w:rPr>
          <w:rFonts w:ascii="仿宋" w:hAnsi="仿宋" w:eastAsia="仿宋" w:cs="黑体"/>
          <w:b/>
          <w:bCs/>
          <w:sz w:val="24"/>
        </w:rPr>
      </w:pPr>
      <w:r>
        <w:rPr>
          <w:rFonts w:hint="eastAsia" w:ascii="仿宋" w:hAnsi="仿宋" w:eastAsia="仿宋" w:cs="黑体"/>
          <w:b/>
          <w:bCs/>
          <w:sz w:val="24"/>
        </w:rPr>
        <w:t>七、机关运行经费情况</w:t>
      </w:r>
    </w:p>
    <w:p>
      <w:pPr>
        <w:adjustRightInd w:val="0"/>
        <w:snapToGrid w:val="0"/>
        <w:spacing w:line="600" w:lineRule="exact"/>
        <w:ind w:firstLine="480" w:firstLineChars="200"/>
        <w:rPr>
          <w:rFonts w:ascii="仿宋" w:hAnsi="仿宋" w:eastAsia="仿宋" w:cs="仿宋_GB2312"/>
          <w:sz w:val="24"/>
          <w:highlight w:val="yellow"/>
        </w:rPr>
      </w:pPr>
      <w:r>
        <w:rPr>
          <w:rFonts w:hint="eastAsia" w:ascii="仿宋" w:hAnsi="仿宋" w:eastAsia="仿宋" w:cs="仿宋_GB2312"/>
          <w:sz w:val="24"/>
        </w:rPr>
        <w:t>本部门2020年度机关运行经费支出22.50万元，比2019年度减少2.50万元，降低10%。主要原因是办公用房物业管理费用及取暖费用减少。</w:t>
      </w:r>
    </w:p>
    <w:p>
      <w:pPr>
        <w:keepNext/>
        <w:keepLines/>
        <w:snapToGrid w:val="0"/>
        <w:spacing w:line="600" w:lineRule="exact"/>
        <w:ind w:firstLine="482" w:firstLineChars="200"/>
        <w:outlineLvl w:val="2"/>
        <w:rPr>
          <w:rFonts w:ascii="仿宋" w:hAnsi="仿宋" w:eastAsia="仿宋" w:cs="仿宋_GB2312"/>
          <w:b/>
          <w:sz w:val="24"/>
        </w:rPr>
      </w:pPr>
      <w:r>
        <w:rPr>
          <w:rFonts w:hint="eastAsia" w:ascii="仿宋" w:hAnsi="仿宋" w:eastAsia="仿宋" w:cs="仿宋_GB2312"/>
          <w:b/>
          <w:sz w:val="24"/>
        </w:rPr>
        <w:t>八、政府采购情况</w:t>
      </w:r>
    </w:p>
    <w:p>
      <w:pPr>
        <w:snapToGrid w:val="0"/>
        <w:spacing w:line="600" w:lineRule="exact"/>
        <w:ind w:firstLine="480" w:firstLineChars="200"/>
        <w:jc w:val="left"/>
        <w:rPr>
          <w:rFonts w:ascii="仿宋" w:hAnsi="仿宋" w:eastAsia="仿宋" w:cs="仿宋_GB2312"/>
          <w:color w:val="000000"/>
          <w:kern w:val="0"/>
          <w:sz w:val="24"/>
          <w:lang w:bidi="ar"/>
        </w:rPr>
      </w:pPr>
      <w:r>
        <w:rPr>
          <w:rFonts w:hint="eastAsia" w:ascii="仿宋" w:hAnsi="仿宋" w:eastAsia="仿宋" w:cs="仿宋_GB2312"/>
          <w:sz w:val="24"/>
        </w:rPr>
        <w:t>本部门2020年度政府采购支出总额5211.28万元，</w:t>
      </w:r>
      <w:r>
        <w:rPr>
          <w:rFonts w:hint="eastAsia" w:ascii="仿宋" w:hAnsi="仿宋" w:eastAsia="仿宋" w:cs="仿宋_GB2312"/>
          <w:color w:val="000000"/>
          <w:kern w:val="0"/>
          <w:sz w:val="24"/>
          <w:lang w:bidi="ar"/>
        </w:rPr>
        <w:t>政府采购货物支出0万元、政府采购工程支出5025.89万元，政府采购服务支出 185.39万元，授予中小企业合同金5211.28万元，占政府采购支出总额的100%，其中授予小微企业合同金额84.31万元，占政府采购支出总额的 16.18%。</w:t>
      </w:r>
    </w:p>
    <w:p>
      <w:pPr>
        <w:keepNext/>
        <w:keepLines/>
        <w:snapToGrid w:val="0"/>
        <w:spacing w:line="600" w:lineRule="exact"/>
        <w:ind w:firstLine="482" w:firstLineChars="200"/>
        <w:outlineLvl w:val="2"/>
        <w:rPr>
          <w:rFonts w:ascii="仿宋" w:hAnsi="仿宋" w:eastAsia="仿宋" w:cs="黑体"/>
          <w:b/>
          <w:bCs/>
          <w:sz w:val="24"/>
        </w:rPr>
      </w:pPr>
      <w:r>
        <w:rPr>
          <w:rFonts w:hint="eastAsia" w:ascii="仿宋" w:hAnsi="仿宋" w:eastAsia="仿宋" w:cs="黑体"/>
          <w:b/>
          <w:bCs/>
          <w:sz w:val="24"/>
        </w:rPr>
        <w:t>九、国有资产占用情况</w:t>
      </w:r>
    </w:p>
    <w:p>
      <w:pPr>
        <w:adjustRightInd w:val="0"/>
        <w:snapToGrid w:val="0"/>
        <w:spacing w:line="600" w:lineRule="exact"/>
        <w:ind w:firstLine="480" w:firstLineChars="200"/>
        <w:rPr>
          <w:rFonts w:hint="default" w:ascii="仿宋" w:hAnsi="仿宋" w:eastAsia="仿宋" w:cs="仿宋_GB2312"/>
          <w:sz w:val="24"/>
          <w:lang w:val="en-US" w:eastAsia="zh-CN"/>
        </w:rPr>
      </w:pPr>
      <w:r>
        <w:rPr>
          <w:rFonts w:hint="eastAsia" w:ascii="仿宋" w:hAnsi="仿宋" w:eastAsia="仿宋" w:cs="仿宋_GB2312"/>
          <w:sz w:val="24"/>
        </w:rPr>
        <w:t>截至2020年12月31日，本部门共有车辆31辆，比上年减少2辆，主要是未车辆变化。其中，副部（省）级及以上领导用车0辆，主要领导干部用车0辆，机要通信用车2辆，应急保障用车0辆，执法执勤用车6辆，特种专业技术用车1辆，离退休干部用车0辆，其他用车22辆，</w:t>
      </w:r>
      <w:r>
        <w:rPr>
          <w:rFonts w:hint="eastAsia" w:ascii="仿宋" w:hAnsi="仿宋" w:eastAsia="仿宋" w:cs="仿宋_GB2312"/>
          <w:sz w:val="24"/>
          <w:lang w:val="en-US" w:eastAsia="zh-CN"/>
        </w:rPr>
        <w:t>其他车辆主要是执法巡查车辆。</w:t>
      </w:r>
    </w:p>
    <w:p>
      <w:pPr>
        <w:adjustRightInd w:val="0"/>
        <w:snapToGrid w:val="0"/>
        <w:spacing w:line="600" w:lineRule="exact"/>
        <w:ind w:firstLine="480" w:firstLineChars="200"/>
        <w:rPr>
          <w:rFonts w:ascii="仿宋" w:hAnsi="仿宋" w:eastAsia="仿宋" w:cs="仿宋_GB2312"/>
          <w:b/>
          <w:bCs/>
          <w:sz w:val="24"/>
        </w:rPr>
      </w:pPr>
      <w:r>
        <w:rPr>
          <w:rFonts w:hint="eastAsia" w:ascii="仿宋" w:hAnsi="仿宋" w:eastAsia="仿宋" w:cs="仿宋_GB2312"/>
          <w:sz w:val="24"/>
        </w:rPr>
        <w:t>单位价值50万元以上通用设备0台（套），</w:t>
      </w:r>
      <w:r>
        <w:rPr>
          <w:rFonts w:hint="eastAsia" w:ascii="仿宋" w:hAnsi="仿宋" w:eastAsia="仿宋" w:cs="仿宋_GB2312"/>
          <w:sz w:val="24"/>
          <w:lang w:val="en-US" w:eastAsia="zh-CN"/>
        </w:rPr>
        <w:t>与上年持平</w:t>
      </w:r>
      <w:r>
        <w:rPr>
          <w:rFonts w:hint="eastAsia" w:ascii="仿宋" w:hAnsi="仿宋" w:eastAsia="仿宋" w:cs="仿宋_GB2312"/>
          <w:sz w:val="24"/>
        </w:rPr>
        <w:t>，主要是未购置过价值50万元以上的通用设备，单位价值100万元以上专用设备0台（套）</w:t>
      </w:r>
      <w:r>
        <w:rPr>
          <w:rFonts w:hint="eastAsia" w:ascii="仿宋" w:hAnsi="仿宋" w:eastAsia="仿宋" w:cs="仿宋_GB2312"/>
          <w:sz w:val="24"/>
          <w:lang w:eastAsia="zh-CN"/>
        </w:rPr>
        <w:t>，</w:t>
      </w:r>
      <w:r>
        <w:rPr>
          <w:rFonts w:hint="eastAsia" w:ascii="仿宋" w:hAnsi="仿宋" w:eastAsia="仿宋" w:cs="仿宋_GB2312"/>
          <w:sz w:val="24"/>
          <w:lang w:val="en-US" w:eastAsia="zh-CN"/>
        </w:rPr>
        <w:t>与上年持平</w:t>
      </w:r>
      <w:r>
        <w:rPr>
          <w:rFonts w:hint="eastAsia" w:ascii="仿宋" w:hAnsi="仿宋" w:eastAsia="仿宋" w:cs="仿宋_GB2312"/>
          <w:sz w:val="24"/>
        </w:rPr>
        <w:t>，主要是未购置过价值100万元以上的专用设备。</w:t>
      </w:r>
    </w:p>
    <w:p>
      <w:pPr>
        <w:keepNext/>
        <w:keepLines/>
        <w:snapToGrid w:val="0"/>
        <w:spacing w:line="600" w:lineRule="exact"/>
        <w:ind w:firstLine="480" w:firstLineChars="200"/>
        <w:outlineLvl w:val="2"/>
        <w:rPr>
          <w:rFonts w:ascii="仿宋" w:hAnsi="仿宋" w:eastAsia="仿宋" w:cs="黑体"/>
          <w:sz w:val="24"/>
        </w:rPr>
      </w:pPr>
      <w:r>
        <w:rPr>
          <w:rFonts w:hint="eastAsia" w:ascii="仿宋" w:hAnsi="仿宋" w:eastAsia="仿宋" w:cs="黑体"/>
          <w:sz w:val="24"/>
        </w:rPr>
        <w:t>十、其他需要说明的情况</w:t>
      </w:r>
    </w:p>
    <w:p>
      <w:pPr>
        <w:adjustRightInd w:val="0"/>
        <w:snapToGrid w:val="0"/>
        <w:spacing w:line="600" w:lineRule="exact"/>
        <w:ind w:firstLine="480" w:firstLineChars="200"/>
        <w:rPr>
          <w:rFonts w:ascii="仿宋" w:hAnsi="仿宋" w:eastAsia="仿宋" w:cs="仿宋_GB2312"/>
          <w:sz w:val="24"/>
        </w:rPr>
      </w:pPr>
      <w:r>
        <w:rPr>
          <w:rFonts w:hint="eastAsia" w:ascii="仿宋" w:hAnsi="仿宋" w:eastAsia="仿宋" w:cs="仿宋_GB2312"/>
          <w:sz w:val="24"/>
        </w:rPr>
        <w:t>1. 本部门2020年度未发生国有资金经营预算收支及结转结余情况，故国有资金经营预算财政拨款支出决算表以空表列示。</w:t>
      </w:r>
    </w:p>
    <w:p>
      <w:pPr>
        <w:adjustRightInd w:val="0"/>
        <w:snapToGrid w:val="0"/>
        <w:spacing w:line="600" w:lineRule="exact"/>
        <w:ind w:firstLine="480" w:firstLineChars="200"/>
        <w:rPr>
          <w:rFonts w:ascii="仿宋" w:hAnsi="仿宋" w:eastAsia="仿宋" w:cs="仿宋_GB2312"/>
          <w:sz w:val="24"/>
        </w:rPr>
      </w:pPr>
      <w:r>
        <w:rPr>
          <w:rFonts w:hint="eastAsia" w:ascii="仿宋" w:hAnsi="仿宋" w:eastAsia="仿宋" w:cs="仿宋_GB2312"/>
          <w:sz w:val="24"/>
        </w:rPr>
        <w:t>2. 由于决算公开表格中金额数值应当保留两位小数，公开数据为四舍五入计算结果，个别数据合计项与分项之和存在小数点后差额，特此说明。</w:t>
      </w:r>
    </w:p>
    <w:p>
      <w:pPr>
        <w:rPr>
          <w:rFonts w:ascii="仿宋" w:hAnsi="仿宋" w:eastAsia="仿宋" w:cs="Arial Black"/>
          <w:sz w:val="24"/>
        </w:rPr>
      </w:pPr>
    </w:p>
    <w:p>
      <w:pPr>
        <w:adjustRightInd w:val="0"/>
        <w:snapToGrid w:val="0"/>
        <w:spacing w:line="600" w:lineRule="exact"/>
        <w:ind w:firstLine="480" w:firstLineChars="200"/>
        <w:rPr>
          <w:rFonts w:ascii="仿宋" w:hAnsi="仿宋" w:eastAsia="仿宋" w:cs="Arial Black"/>
          <w:sz w:val="24"/>
        </w:rPr>
      </w:pPr>
    </w:p>
    <w:p>
      <w:pPr>
        <w:rPr>
          <w:rFonts w:ascii="仿宋" w:hAnsi="仿宋" w:eastAsia="仿宋" w:cs="Arial Black"/>
          <w:sz w:val="32"/>
          <w:szCs w:val="32"/>
        </w:rPr>
      </w:pPr>
    </w:p>
    <w:p>
      <w:pPr>
        <w:rPr>
          <w:rFonts w:ascii="仿宋" w:hAnsi="仿宋" w:eastAsia="仿宋" w:cs="Arial Black"/>
          <w:sz w:val="32"/>
          <w:szCs w:val="32"/>
        </w:rPr>
      </w:pPr>
    </w:p>
    <w:p>
      <w:pPr>
        <w:rPr>
          <w:rFonts w:ascii="仿宋" w:hAnsi="仿宋" w:eastAsia="仿宋" w:cs="Arial Black"/>
          <w:sz w:val="32"/>
          <w:szCs w:val="32"/>
        </w:rPr>
      </w:pPr>
    </w:p>
    <w:p>
      <w:pPr>
        <w:rPr>
          <w:rFonts w:ascii="仿宋" w:hAnsi="仿宋" w:eastAsia="仿宋" w:cs="Arial Black"/>
          <w:sz w:val="32"/>
          <w:szCs w:val="32"/>
        </w:rPr>
      </w:pPr>
    </w:p>
    <w:p>
      <w:pPr>
        <w:rPr>
          <w:rFonts w:ascii="仿宋" w:hAnsi="仿宋" w:eastAsia="仿宋" w:cs="Arial Black"/>
          <w:sz w:val="32"/>
          <w:szCs w:val="32"/>
        </w:rPr>
      </w:pPr>
    </w:p>
    <w:p>
      <w:pPr>
        <w:rPr>
          <w:rFonts w:ascii="仿宋" w:hAnsi="仿宋" w:eastAsia="仿宋" w:cs="Arial Black"/>
          <w:sz w:val="32"/>
          <w:szCs w:val="32"/>
        </w:rPr>
      </w:pPr>
    </w:p>
    <w:p>
      <w:pPr>
        <w:rPr>
          <w:rFonts w:ascii="仿宋" w:hAnsi="仿宋" w:eastAsia="仿宋"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r>
        <w:rPr>
          <w:sz w:val="72"/>
        </w:rPr>
        <mc:AlternateContent>
          <mc:Choice Requires="wps">
            <w:drawing>
              <wp:anchor distT="0" distB="0" distL="114300" distR="114300" simplePos="0" relativeHeight="251661312" behindDoc="0" locked="0" layoutInCell="1" allowOverlap="1">
                <wp:simplePos x="0" y="0"/>
                <wp:positionH relativeFrom="column">
                  <wp:posOffset>-1022350</wp:posOffset>
                </wp:positionH>
                <wp:positionV relativeFrom="paragraph">
                  <wp:posOffset>201930</wp:posOffset>
                </wp:positionV>
                <wp:extent cx="7793355" cy="3341370"/>
                <wp:effectExtent l="4445" t="4445" r="5080" b="6985"/>
                <wp:wrapNone/>
                <wp:docPr id="188" name="文本框 188"/>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6350">
                          <a:solidFill>
                            <a:schemeClr val="bg1">
                              <a:lumMod val="50000"/>
                            </a:schemeClr>
                          </a:solidFill>
                        </a:ln>
                      </wps:spPr>
                      <wps:style>
                        <a:lnRef idx="0">
                          <a:schemeClr val="accent1"/>
                        </a:lnRef>
                        <a:fillRef idx="0">
                          <a:schemeClr val="accent1"/>
                        </a:fillRef>
                        <a:effectRef idx="0">
                          <a:schemeClr val="accent1"/>
                        </a:effectRef>
                        <a:fontRef idx="minor">
                          <a:schemeClr val="dk1"/>
                        </a:fontRef>
                      </wps:style>
                      <wps:txb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5pt;margin-top:15.9pt;height:263.1pt;width:613.65pt;z-index:251661312;v-text-anchor:middle;mso-width-relative:page;mso-height-relative:page;" fillcolor="#7F7F7F [1612]" filled="t" stroked="t" coordsize="21600,21600" o:gfxdata="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0jT7ZAAAADAEAAA8A&#10;AAAAAAAAAQAgAAAAIgAAAGRycy9kb3ducmV2LnhtbFBLAQIUABQAAAAIAIdO4kDBnZ8JiAIAAEwF&#10;AAAOAAAAAAAAAAEAIAAAACgBAABkcnMvZTJvRG9jLnhtbFBLBQYAAAAABgAGAFkBAAAiBgAAAAA=&#10;">
                <v:fill type="pattern" on="t" color2="#FFFFFF [3212]" o:title="5%" focussize="0,0" r:id="rId15"/>
                <v:stroke weight="0.5pt" color="#7F7F7F [1612]" joinstyle="round"/>
                <v:imagedata o:title=""/>
                <o:lock v:ext="edit" aspectratio="f"/>
                <v:textbo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v:textbox>
              </v:shape>
            </w:pict>
          </mc:Fallback>
        </mc:AlternateConten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highlight w:val="yellow"/>
        </w:rPr>
      </w:pPr>
      <w:r>
        <w:rPr>
          <w:rFonts w:hint="eastAsia" w:ascii="仿宋_GB2312" w:hAnsi="宋体" w:eastAsia="仿宋_GB2312" w:cs="Arial Black"/>
          <w:sz w:val="32"/>
          <w:szCs w:val="32"/>
          <w:highlight w:val="yellow"/>
        </w:rPr>
        <w:br w:type="page"/>
      </w:r>
    </w:p>
    <w:p>
      <w:pPr>
        <w:widowControl/>
        <w:spacing w:line="600" w:lineRule="exact"/>
        <w:ind w:firstLine="640" w:firstLineChars="200"/>
        <w:rPr>
          <w:rFonts w:ascii="仿宋_GB2312" w:hAnsi="宋体" w:eastAsia="仿宋_GB2312" w:cs="Arial Black"/>
          <w:sz w:val="32"/>
          <w:szCs w:val="32"/>
        </w:rPr>
      </w:pPr>
    </w:p>
    <w:p>
      <w:pPr>
        <w:widowControl/>
        <w:spacing w:line="600" w:lineRule="exact"/>
        <w:ind w:firstLine="482" w:firstLineChars="200"/>
        <w:rPr>
          <w:rFonts w:ascii="仿宋" w:hAnsi="仿宋" w:eastAsia="仿宋" w:cs="Times New Roman"/>
          <w:color w:val="000000"/>
          <w:kern w:val="0"/>
          <w:sz w:val="24"/>
        </w:rPr>
      </w:pPr>
      <w:r>
        <w:rPr>
          <w:rFonts w:hint="eastAsia" w:ascii="仿宋" w:hAnsi="仿宋" w:eastAsia="仿宋" w:cs="Times New Roman"/>
          <w:b/>
          <w:bCs/>
          <w:color w:val="000000"/>
          <w:kern w:val="0"/>
          <w:sz w:val="24"/>
        </w:rPr>
        <w:t>（一）财政拨款收入：</w:t>
      </w:r>
      <w:r>
        <w:rPr>
          <w:rFonts w:hint="eastAsia" w:ascii="仿宋" w:hAnsi="仿宋" w:eastAsia="仿宋" w:cs="Times New Roman"/>
          <w:color w:val="000000"/>
          <w:kern w:val="0"/>
          <w:sz w:val="24"/>
        </w:rPr>
        <w:t>本年度从本级财政部门取得的财政拨款，包括一般公共预算财政拨款和政府性基金预算财政拨款。</w:t>
      </w:r>
    </w:p>
    <w:p>
      <w:pPr>
        <w:widowControl/>
        <w:spacing w:line="600" w:lineRule="exact"/>
        <w:ind w:firstLine="482" w:firstLineChars="200"/>
        <w:rPr>
          <w:rFonts w:ascii="仿宋" w:hAnsi="仿宋" w:eastAsia="仿宋" w:cs="Times New Roman"/>
          <w:color w:val="000000"/>
          <w:kern w:val="0"/>
          <w:sz w:val="24"/>
        </w:rPr>
      </w:pPr>
      <w:r>
        <w:rPr>
          <w:rFonts w:hint="eastAsia" w:ascii="仿宋" w:hAnsi="仿宋" w:eastAsia="仿宋" w:cs="Times New Roman"/>
          <w:b/>
          <w:bCs/>
          <w:color w:val="000000"/>
          <w:kern w:val="0"/>
          <w:sz w:val="24"/>
        </w:rPr>
        <w:t>（二）事业收入：</w:t>
      </w:r>
      <w:r>
        <w:rPr>
          <w:rFonts w:hint="eastAsia" w:ascii="仿宋" w:hAnsi="仿宋" w:eastAsia="仿宋" w:cs="Times New Roman"/>
          <w:color w:val="000000"/>
          <w:kern w:val="0"/>
          <w:sz w:val="24"/>
        </w:rPr>
        <w:t>指事业单位开展专业业务活动及辅助活动所取得的收入。</w:t>
      </w:r>
    </w:p>
    <w:p>
      <w:pPr>
        <w:widowControl/>
        <w:spacing w:line="600" w:lineRule="exact"/>
        <w:ind w:firstLine="482" w:firstLineChars="200"/>
        <w:rPr>
          <w:rFonts w:ascii="仿宋" w:hAnsi="仿宋" w:eastAsia="仿宋" w:cs="Times New Roman"/>
          <w:color w:val="000000"/>
          <w:kern w:val="0"/>
          <w:sz w:val="24"/>
        </w:rPr>
      </w:pPr>
      <w:r>
        <w:rPr>
          <w:rFonts w:hint="eastAsia" w:ascii="仿宋" w:hAnsi="仿宋" w:eastAsia="仿宋" w:cs="Times New Roman"/>
          <w:b/>
          <w:bCs/>
          <w:color w:val="000000"/>
          <w:kern w:val="0"/>
          <w:sz w:val="24"/>
        </w:rPr>
        <w:t>（三）其他收入：</w:t>
      </w:r>
      <w:r>
        <w:rPr>
          <w:rFonts w:hint="eastAsia" w:ascii="仿宋" w:hAnsi="仿宋" w:eastAsia="仿宋" w:cs="Times New Roman"/>
          <w:color w:val="000000"/>
          <w:kern w:val="0"/>
          <w:sz w:val="24"/>
        </w:rPr>
        <w:t>指除上述“财政拨款收入”“事业收入”“经营收入”等以外的收入。</w:t>
      </w:r>
    </w:p>
    <w:p>
      <w:pPr>
        <w:widowControl/>
        <w:spacing w:line="600" w:lineRule="exact"/>
        <w:ind w:firstLine="482" w:firstLineChars="200"/>
        <w:rPr>
          <w:rFonts w:ascii="仿宋" w:hAnsi="仿宋" w:eastAsia="仿宋" w:cs="Times New Roman"/>
          <w:color w:val="000000"/>
          <w:kern w:val="0"/>
          <w:sz w:val="24"/>
        </w:rPr>
      </w:pPr>
      <w:r>
        <w:rPr>
          <w:rFonts w:hint="eastAsia" w:ascii="仿宋" w:hAnsi="仿宋" w:eastAsia="仿宋" w:cs="Times New Roman"/>
          <w:b/>
          <w:bCs/>
          <w:color w:val="000000"/>
          <w:kern w:val="0"/>
          <w:sz w:val="24"/>
        </w:rPr>
        <w:t>（四）年初结转和结余：</w:t>
      </w:r>
      <w:r>
        <w:rPr>
          <w:rFonts w:hint="eastAsia" w:ascii="仿宋" w:hAnsi="仿宋" w:eastAsia="仿宋" w:cs="Times New Roman"/>
          <w:color w:val="000000"/>
          <w:kern w:val="0"/>
          <w:sz w:val="24"/>
        </w:rPr>
        <w:t>指以前年度尚未完成、结转到本年仍按原规定用途继续使用的资金，或项目已完成等产生的结余资金。</w:t>
      </w:r>
    </w:p>
    <w:p>
      <w:pPr>
        <w:widowControl/>
        <w:spacing w:line="600" w:lineRule="exact"/>
        <w:ind w:firstLine="482" w:firstLineChars="200"/>
        <w:rPr>
          <w:rFonts w:ascii="仿宋" w:hAnsi="仿宋" w:eastAsia="仿宋" w:cs="Times New Roman"/>
          <w:color w:val="000000"/>
          <w:kern w:val="0"/>
          <w:sz w:val="24"/>
        </w:rPr>
      </w:pPr>
      <w:r>
        <w:rPr>
          <w:rFonts w:hint="eastAsia" w:ascii="仿宋" w:hAnsi="仿宋" w:eastAsia="仿宋" w:cs="Times New Roman"/>
          <w:b/>
          <w:bCs/>
          <w:color w:val="000000"/>
          <w:kern w:val="0"/>
          <w:sz w:val="24"/>
        </w:rPr>
        <w:t>（五）结余分配：</w:t>
      </w:r>
      <w:r>
        <w:rPr>
          <w:rFonts w:hint="eastAsia" w:ascii="仿宋" w:hAnsi="仿宋" w:eastAsia="仿宋" w:cs="Times New Roman"/>
          <w:color w:val="000000"/>
          <w:kern w:val="0"/>
          <w:sz w:val="24"/>
        </w:rPr>
        <w:t>指事业单位按照事业单位会计制度的规定从非财政补助结余中分配的事业基金和职工福利基金等。</w:t>
      </w:r>
    </w:p>
    <w:p>
      <w:pPr>
        <w:widowControl/>
        <w:spacing w:line="600" w:lineRule="exact"/>
        <w:ind w:firstLine="482" w:firstLineChars="200"/>
        <w:rPr>
          <w:rFonts w:ascii="仿宋" w:hAnsi="仿宋" w:eastAsia="仿宋" w:cs="Times New Roman"/>
          <w:color w:val="000000"/>
          <w:kern w:val="0"/>
          <w:sz w:val="24"/>
        </w:rPr>
      </w:pPr>
      <w:r>
        <w:rPr>
          <w:rFonts w:hint="eastAsia" w:ascii="仿宋" w:hAnsi="仿宋" w:eastAsia="仿宋" w:cs="Times New Roman"/>
          <w:b/>
          <w:bCs/>
          <w:color w:val="000000"/>
          <w:kern w:val="0"/>
          <w:sz w:val="24"/>
        </w:rPr>
        <w:t>（六）年末结转和结余：</w:t>
      </w:r>
      <w:r>
        <w:rPr>
          <w:rFonts w:hint="eastAsia" w:ascii="仿宋" w:hAnsi="仿宋" w:eastAsia="仿宋" w:cs="Times New Roman"/>
          <w:color w:val="000000"/>
          <w:kern w:val="0"/>
          <w:sz w:val="24"/>
        </w:rPr>
        <w:t>指单位按有关规定结转到下年或以后年度继续使用的资金，或项目已完成等产生的结余资金。</w:t>
      </w:r>
    </w:p>
    <w:p>
      <w:pPr>
        <w:widowControl/>
        <w:spacing w:line="600" w:lineRule="exact"/>
        <w:ind w:firstLine="482" w:firstLineChars="200"/>
        <w:rPr>
          <w:rFonts w:ascii="仿宋" w:hAnsi="仿宋" w:eastAsia="仿宋" w:cs="Times New Roman"/>
          <w:color w:val="000000"/>
          <w:kern w:val="0"/>
          <w:sz w:val="24"/>
        </w:rPr>
      </w:pPr>
      <w:r>
        <w:rPr>
          <w:rFonts w:hint="eastAsia" w:ascii="仿宋" w:hAnsi="仿宋" w:eastAsia="仿宋" w:cs="Times New Roman"/>
          <w:b/>
          <w:bCs/>
          <w:color w:val="000000"/>
          <w:kern w:val="0"/>
          <w:sz w:val="24"/>
        </w:rPr>
        <w:t>（七）基本支出：</w:t>
      </w:r>
      <w:r>
        <w:rPr>
          <w:rFonts w:hint="eastAsia" w:ascii="仿宋" w:hAnsi="仿宋" w:eastAsia="仿宋" w:cs="Times New Roman"/>
          <w:color w:val="000000"/>
          <w:kern w:val="0"/>
          <w:sz w:val="24"/>
        </w:rPr>
        <w:t>填列单位为保障机构正常运转、完成日常工作任务而发生的各项支出。</w:t>
      </w:r>
    </w:p>
    <w:p>
      <w:pPr>
        <w:widowControl/>
        <w:spacing w:line="600" w:lineRule="exact"/>
        <w:ind w:firstLine="482" w:firstLineChars="200"/>
        <w:rPr>
          <w:rFonts w:ascii="仿宋" w:hAnsi="仿宋" w:eastAsia="仿宋" w:cs="Times New Roman"/>
          <w:color w:val="000000"/>
          <w:kern w:val="0"/>
          <w:sz w:val="24"/>
        </w:rPr>
      </w:pPr>
      <w:r>
        <w:rPr>
          <w:rFonts w:hint="eastAsia" w:ascii="仿宋" w:hAnsi="仿宋" w:eastAsia="仿宋" w:cs="Times New Roman"/>
          <w:b/>
          <w:bCs/>
          <w:color w:val="000000"/>
          <w:kern w:val="0"/>
          <w:sz w:val="24"/>
        </w:rPr>
        <w:t>（八）项目支出：</w:t>
      </w:r>
      <w:r>
        <w:rPr>
          <w:rFonts w:hint="eastAsia" w:ascii="仿宋" w:hAnsi="仿宋" w:eastAsia="仿宋" w:cs="Times New Roman"/>
          <w:color w:val="000000"/>
          <w:kern w:val="0"/>
          <w:sz w:val="24"/>
        </w:rPr>
        <w:t>填列单位为完成特定的行政工作任务或事业发展目标，在基本支出之外发生的各项支出</w:t>
      </w:r>
    </w:p>
    <w:p>
      <w:pPr>
        <w:widowControl/>
        <w:spacing w:line="600" w:lineRule="exact"/>
        <w:ind w:firstLine="482" w:firstLineChars="200"/>
        <w:rPr>
          <w:rFonts w:ascii="仿宋" w:hAnsi="仿宋" w:eastAsia="仿宋" w:cs="Times New Roman"/>
          <w:color w:val="000000"/>
          <w:kern w:val="0"/>
          <w:sz w:val="24"/>
        </w:rPr>
      </w:pPr>
      <w:r>
        <w:rPr>
          <w:rFonts w:hint="eastAsia" w:ascii="仿宋" w:hAnsi="仿宋" w:eastAsia="仿宋" w:cs="Times New Roman"/>
          <w:b/>
          <w:bCs/>
          <w:color w:val="000000"/>
          <w:kern w:val="0"/>
          <w:sz w:val="24"/>
        </w:rPr>
        <w:t>（九）基本建设支出：</w:t>
      </w:r>
      <w:r>
        <w:rPr>
          <w:rFonts w:hint="eastAsia" w:ascii="仿宋" w:hAnsi="仿宋" w:eastAsia="仿宋" w:cs="Times New Roman"/>
          <w:color w:val="000000"/>
          <w:kern w:val="0"/>
          <w:sz w:val="24"/>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482" w:firstLineChars="200"/>
        <w:rPr>
          <w:rFonts w:ascii="仿宋" w:hAnsi="仿宋" w:eastAsia="仿宋" w:cs="Times New Roman"/>
          <w:color w:val="000000"/>
          <w:kern w:val="0"/>
          <w:sz w:val="24"/>
        </w:rPr>
      </w:pPr>
      <w:r>
        <w:rPr>
          <w:rFonts w:hint="eastAsia" w:ascii="仿宋" w:hAnsi="仿宋" w:eastAsia="仿宋" w:cs="Times New Roman"/>
          <w:b/>
          <w:bCs/>
          <w:color w:val="000000"/>
          <w:kern w:val="0"/>
          <w:sz w:val="24"/>
        </w:rPr>
        <w:t>（十）其他资本性支出：</w:t>
      </w:r>
      <w:r>
        <w:rPr>
          <w:rFonts w:hint="eastAsia" w:ascii="仿宋" w:hAnsi="仿宋" w:eastAsia="仿宋" w:cs="Times New Roman"/>
          <w:color w:val="000000"/>
          <w:kern w:val="0"/>
          <w:sz w:val="24"/>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482" w:firstLineChars="200"/>
        <w:rPr>
          <w:rFonts w:ascii="仿宋" w:hAnsi="仿宋" w:eastAsia="仿宋" w:cs="Times New Roman"/>
          <w:color w:val="000000"/>
          <w:kern w:val="0"/>
          <w:sz w:val="24"/>
        </w:rPr>
      </w:pPr>
      <w:r>
        <w:rPr>
          <w:rFonts w:hint="eastAsia" w:ascii="仿宋" w:hAnsi="仿宋" w:eastAsia="仿宋" w:cs="Times New Roman"/>
          <w:b/>
          <w:bCs/>
          <w:color w:val="000000"/>
          <w:kern w:val="0"/>
          <w:sz w:val="24"/>
        </w:rPr>
        <w:t>（十一）“三公”经费：</w:t>
      </w:r>
      <w:r>
        <w:rPr>
          <w:rFonts w:hint="eastAsia" w:ascii="仿宋" w:hAnsi="仿宋" w:eastAsia="仿宋" w:cs="Times New Roman"/>
          <w:color w:val="000000"/>
          <w:kern w:val="0"/>
          <w:sz w:val="24"/>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482" w:firstLineChars="200"/>
        <w:rPr>
          <w:rFonts w:ascii="仿宋" w:hAnsi="仿宋" w:eastAsia="仿宋" w:cs="Times New Roman"/>
          <w:color w:val="000000"/>
          <w:kern w:val="0"/>
          <w:sz w:val="24"/>
        </w:rPr>
      </w:pPr>
      <w:r>
        <w:rPr>
          <w:rFonts w:hint="eastAsia" w:ascii="仿宋" w:hAnsi="仿宋" w:eastAsia="仿宋" w:cs="Times New Roman"/>
          <w:b/>
          <w:bCs/>
          <w:color w:val="000000"/>
          <w:kern w:val="0"/>
          <w:sz w:val="24"/>
        </w:rPr>
        <w:t>（十二）其他交通费用：</w:t>
      </w:r>
      <w:r>
        <w:rPr>
          <w:rFonts w:hint="eastAsia" w:ascii="仿宋" w:hAnsi="仿宋" w:eastAsia="仿宋" w:cs="Times New Roman"/>
          <w:color w:val="000000"/>
          <w:kern w:val="0"/>
          <w:sz w:val="24"/>
        </w:rPr>
        <w:t>填列单位除公务用车运行维护费以外的其他交通费用。如公务交通补贴、租车费用、出租车费用，飞机、船舶等燃料费、维修费、保险费等。</w:t>
      </w:r>
    </w:p>
    <w:p>
      <w:pPr>
        <w:widowControl/>
        <w:spacing w:line="600" w:lineRule="exact"/>
        <w:ind w:firstLine="482" w:firstLineChars="200"/>
        <w:rPr>
          <w:rFonts w:ascii="仿宋" w:hAnsi="仿宋" w:eastAsia="仿宋" w:cs="Times New Roman"/>
          <w:color w:val="000000"/>
          <w:kern w:val="0"/>
          <w:sz w:val="24"/>
        </w:rPr>
      </w:pPr>
      <w:r>
        <w:rPr>
          <w:rFonts w:hint="eastAsia" w:ascii="仿宋" w:hAnsi="仿宋" w:eastAsia="仿宋" w:cs="Times New Roman"/>
          <w:b/>
          <w:bCs/>
          <w:color w:val="000000"/>
          <w:kern w:val="0"/>
          <w:sz w:val="24"/>
        </w:rPr>
        <w:t>（十三）公务用车购置：</w:t>
      </w:r>
      <w:r>
        <w:rPr>
          <w:rFonts w:hint="eastAsia" w:ascii="仿宋" w:hAnsi="仿宋" w:eastAsia="仿宋" w:cs="Times New Roman"/>
          <w:color w:val="000000"/>
          <w:kern w:val="0"/>
          <w:sz w:val="24"/>
        </w:rPr>
        <w:t>填列单位公务用车车辆购置支出（含车辆购置税、牌照费）。</w:t>
      </w:r>
    </w:p>
    <w:p>
      <w:pPr>
        <w:widowControl/>
        <w:spacing w:line="600" w:lineRule="exact"/>
        <w:ind w:firstLine="482" w:firstLineChars="200"/>
        <w:rPr>
          <w:rFonts w:ascii="仿宋" w:hAnsi="仿宋" w:eastAsia="仿宋" w:cs="Times New Roman"/>
          <w:color w:val="000000"/>
          <w:kern w:val="0"/>
          <w:sz w:val="24"/>
        </w:rPr>
      </w:pPr>
      <w:r>
        <w:rPr>
          <w:rFonts w:hint="eastAsia" w:ascii="仿宋" w:hAnsi="仿宋" w:eastAsia="仿宋" w:cs="Times New Roman"/>
          <w:b/>
          <w:bCs/>
          <w:color w:val="000000"/>
          <w:kern w:val="0"/>
          <w:sz w:val="24"/>
        </w:rPr>
        <w:t>（十四）其他交通工具购置：</w:t>
      </w:r>
      <w:r>
        <w:rPr>
          <w:rFonts w:hint="eastAsia" w:ascii="仿宋" w:hAnsi="仿宋" w:eastAsia="仿宋" w:cs="Times New Roman"/>
          <w:color w:val="000000"/>
          <w:kern w:val="0"/>
          <w:sz w:val="24"/>
        </w:rPr>
        <w:t>填列单位除公务用车外的其他各类交通工具（如船舶、飞机等）购置支出（含车辆购置税、牌照费）。</w:t>
      </w:r>
    </w:p>
    <w:p>
      <w:pPr>
        <w:widowControl/>
        <w:spacing w:line="600" w:lineRule="exact"/>
        <w:ind w:firstLine="482" w:firstLineChars="200"/>
        <w:rPr>
          <w:rFonts w:ascii="仿宋" w:hAnsi="仿宋" w:eastAsia="仿宋" w:cs="Times New Roman"/>
          <w:color w:val="000000"/>
          <w:kern w:val="0"/>
          <w:sz w:val="24"/>
        </w:rPr>
      </w:pPr>
      <w:r>
        <w:rPr>
          <w:rFonts w:hint="eastAsia" w:ascii="仿宋" w:hAnsi="仿宋" w:eastAsia="仿宋" w:cs="Times New Roman"/>
          <w:b/>
          <w:bCs/>
          <w:color w:val="000000"/>
          <w:kern w:val="0"/>
          <w:sz w:val="24"/>
        </w:rPr>
        <w:t>（十五）机关运行经费：</w:t>
      </w:r>
      <w:r>
        <w:rPr>
          <w:rFonts w:hint="eastAsia" w:ascii="仿宋" w:hAnsi="仿宋" w:eastAsia="仿宋" w:cs="Times New Roman"/>
          <w:color w:val="000000"/>
          <w:kern w:val="0"/>
          <w:sz w:val="24"/>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482" w:firstLineChars="200"/>
        <w:jc w:val="left"/>
        <w:rPr>
          <w:rFonts w:ascii="仿宋" w:hAnsi="仿宋" w:eastAsia="仿宋" w:cs="Arial Black"/>
          <w:kern w:val="0"/>
          <w:sz w:val="24"/>
        </w:rPr>
      </w:pPr>
      <w:r>
        <w:rPr>
          <w:rFonts w:hint="eastAsia" w:ascii="仿宋" w:hAnsi="仿宋" w:eastAsia="仿宋" w:cs="Times New Roman"/>
          <w:b/>
          <w:bCs/>
          <w:color w:val="000000"/>
          <w:kern w:val="0"/>
          <w:sz w:val="24"/>
        </w:rPr>
        <w:t>（十六）经费形式:</w:t>
      </w:r>
      <w:r>
        <w:rPr>
          <w:rFonts w:hint="eastAsia" w:ascii="仿宋" w:hAnsi="仿宋" w:eastAsia="仿宋" w:cs="Times New Roman"/>
          <w:color w:val="000000"/>
          <w:kern w:val="0"/>
          <w:sz w:val="24"/>
        </w:rPr>
        <w:t>按照经费来源，</w:t>
      </w:r>
      <w:r>
        <w:rPr>
          <w:rFonts w:hint="eastAsia" w:ascii="仿宋" w:hAnsi="仿宋" w:eastAsia="仿宋" w:cs="Arial Black"/>
          <w:kern w:val="0"/>
          <w:sz w:val="24"/>
        </w:rPr>
        <w:t>可分为财政拨款、财政性资金基本保证、财政性资金定额或定项补助、财政性资金零补助四类。</w:t>
      </w:r>
    </w:p>
    <w:p>
      <w:pPr>
        <w:tabs>
          <w:tab w:val="left" w:pos="235"/>
        </w:tabs>
        <w:spacing w:line="600" w:lineRule="exact"/>
        <w:ind w:firstLine="480" w:firstLineChars="200"/>
        <w:jc w:val="left"/>
        <w:rPr>
          <w:rFonts w:ascii="仿宋" w:hAnsi="仿宋" w:eastAsia="仿宋" w:cs="Arial Black"/>
          <w:kern w:val="0"/>
          <w:sz w:val="24"/>
        </w:rPr>
      </w:pPr>
    </w:p>
    <w:p>
      <w:pPr>
        <w:tabs>
          <w:tab w:val="left" w:pos="235"/>
        </w:tabs>
        <w:spacing w:line="600" w:lineRule="exact"/>
        <w:ind w:firstLine="480" w:firstLineChars="200"/>
        <w:jc w:val="left"/>
        <w:rPr>
          <w:rFonts w:ascii="仿宋" w:hAnsi="仿宋" w:eastAsia="仿宋" w:cs="Arial Black"/>
          <w:kern w:val="0"/>
          <w:sz w:val="24"/>
        </w:rPr>
      </w:pPr>
    </w:p>
    <w:p>
      <w:pPr>
        <w:tabs>
          <w:tab w:val="left" w:pos="235"/>
        </w:tabs>
        <w:spacing w:line="600" w:lineRule="exact"/>
        <w:ind w:firstLine="480" w:firstLineChars="200"/>
        <w:jc w:val="left"/>
        <w:rPr>
          <w:rFonts w:ascii="仿宋" w:hAnsi="仿宋" w:eastAsia="仿宋" w:cs="Arial Black"/>
          <w:kern w:val="0"/>
          <w:sz w:val="24"/>
        </w:rPr>
      </w:pPr>
    </w:p>
    <w:p>
      <w:pPr>
        <w:tabs>
          <w:tab w:val="left" w:pos="235"/>
        </w:tabs>
        <w:spacing w:line="600" w:lineRule="exact"/>
        <w:ind w:firstLine="480" w:firstLineChars="200"/>
        <w:jc w:val="left"/>
        <w:rPr>
          <w:rFonts w:ascii="仿宋" w:hAnsi="仿宋" w:eastAsia="仿宋" w:cs="Arial Black"/>
          <w:kern w:val="0"/>
          <w:sz w:val="24"/>
        </w:rPr>
      </w:pPr>
    </w:p>
    <w:p>
      <w:pPr>
        <w:rPr>
          <w:sz w:val="72"/>
        </w:rPr>
      </w:pPr>
      <w:r>
        <w:rPr>
          <w:sz w:val="72"/>
        </w:rPr>
        <mc:AlternateContent>
          <mc:Choice Requires="wps">
            <w:drawing>
              <wp:anchor distT="0" distB="0" distL="114300" distR="114300" simplePos="0" relativeHeight="251665408" behindDoc="0" locked="0" layoutInCell="1" allowOverlap="1">
                <wp:simplePos x="0" y="0"/>
                <wp:positionH relativeFrom="column">
                  <wp:posOffset>-1027430</wp:posOffset>
                </wp:positionH>
                <wp:positionV relativeFrom="paragraph">
                  <wp:posOffset>1151255</wp:posOffset>
                </wp:positionV>
                <wp:extent cx="7793355" cy="3341370"/>
                <wp:effectExtent l="6350" t="6350" r="18415" b="20320"/>
                <wp:wrapNone/>
                <wp:docPr id="1" name="文本框 1"/>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ysClr val="window" lastClr="FFFFFF">
                              <a:lumMod val="50000"/>
                            </a:sysClr>
                          </a:fgClr>
                          <a:bgClr>
                            <a:sysClr val="window" lastClr="FFFFFF"/>
                          </a:bgClr>
                        </a:pattFill>
                        <a:ln w="12700" cmpd="sng">
                          <a:solidFill>
                            <a:sysClr val="window" lastClr="FFFFFF">
                              <a:lumMod val="65000"/>
                            </a:sysClr>
                          </a:solidFill>
                          <a:prstDash val="solid"/>
                        </a:ln>
                        <a:effectLst/>
                      </wps:spPr>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pt;margin-top:90.65pt;height:263.1pt;width:613.65pt;z-index:251665408;v-text-anchor:middle;mso-width-relative:page;mso-height-relative:page;" fillcolor="#7F7F7F" filled="t" stroked="t" coordsize="21600,21600"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NhBuPcAAAADQEAAA8AAAAAAAAAAQAgAAAAIgAAAGRycy9kb3du&#10;cmV2LnhtbFBLAQIUABQAAAAIAIdO4kAJY6zCpgIAAKkFAAAOAAAAAAAAAAEAIAAAACsBAABkcnMv&#10;ZTJvRG9jLnhtbFBLBQYAAAAABgAGAFkBAABDBgAAAAA=&#10;">
                <v:fill type="pattern" on="t" color2="#FFFFFF" o:title="5%" focussize="0,0" r:id="rId15"/>
                <v:stroke weight="1pt" color="#A6A6A6"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v:textbox>
              </v:shape>
            </w:pict>
          </mc:Fallback>
        </mc:AlternateContent>
      </w:r>
    </w:p>
    <w:p>
      <w:pPr>
        <w:bidi w:val="0"/>
        <w:rPr>
          <w:rFonts w:asciiTheme="minorHAnsi" w:hAnsiTheme="minorHAnsi" w:eastAsiaTheme="minorEastAsia" w:cstheme="minorBidi"/>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tabs>
          <w:tab w:val="left" w:pos="459"/>
        </w:tabs>
        <w:bidi w:val="0"/>
        <w:jc w:val="left"/>
        <w:rPr>
          <w:rFonts w:hint="eastAsia"/>
          <w:lang w:val="en-US" w:eastAsia="zh-CN"/>
        </w:rPr>
      </w:pPr>
      <w:r>
        <w:rPr>
          <w:rFonts w:hint="eastAsia"/>
          <w:lang w:val="en-US" w:eastAsia="zh-CN"/>
        </w:rPr>
        <w:tab/>
      </w:r>
    </w:p>
    <w:p>
      <w:pPr>
        <w:tabs>
          <w:tab w:val="left" w:pos="459"/>
        </w:tabs>
        <w:bidi w:val="0"/>
        <w:jc w:val="left"/>
        <w:rPr>
          <w:rFonts w:hint="eastAsia"/>
          <w:lang w:val="en-US" w:eastAsia="zh-CN"/>
        </w:rPr>
      </w:pPr>
    </w:p>
    <w:p>
      <w:pPr>
        <w:tabs>
          <w:tab w:val="left" w:pos="459"/>
        </w:tabs>
        <w:bidi w:val="0"/>
        <w:jc w:val="left"/>
        <w:rPr>
          <w:rFonts w:hint="eastAsia"/>
          <w:lang w:val="en-US" w:eastAsia="zh-CN"/>
        </w:rPr>
        <w:sectPr>
          <w:headerReference r:id="rId11" w:type="default"/>
          <w:type w:val="continuous"/>
          <w:pgSz w:w="11906" w:h="16838"/>
          <w:pgMar w:top="2098" w:right="1531" w:bottom="1984" w:left="1531" w:header="851" w:footer="992" w:gutter="0"/>
          <w:pgNumType w:fmt="numberInDash"/>
          <w:cols w:space="0" w:num="1"/>
          <w:titlePg/>
          <w:docGrid w:type="lines" w:linePitch="312" w:charSpace="0"/>
        </w:sectPr>
      </w:pPr>
    </w:p>
    <w:tbl>
      <w:tblPr>
        <w:tblStyle w:val="5"/>
        <w:tblW w:w="9252" w:type="dxa"/>
        <w:tblInd w:w="0" w:type="dxa"/>
        <w:tblLayout w:type="fixed"/>
        <w:tblCellMar>
          <w:top w:w="15" w:type="dxa"/>
          <w:left w:w="15" w:type="dxa"/>
          <w:bottom w:w="15" w:type="dxa"/>
          <w:right w:w="15" w:type="dxa"/>
        </w:tblCellMar>
      </w:tblPr>
      <w:tblGrid>
        <w:gridCol w:w="2356"/>
        <w:gridCol w:w="353"/>
        <w:gridCol w:w="79"/>
        <w:gridCol w:w="346"/>
        <w:gridCol w:w="1417"/>
        <w:gridCol w:w="2665"/>
        <w:gridCol w:w="432"/>
        <w:gridCol w:w="1604"/>
      </w:tblGrid>
      <w:tr>
        <w:tblPrEx>
          <w:tblCellMar>
            <w:top w:w="15" w:type="dxa"/>
            <w:left w:w="15" w:type="dxa"/>
            <w:bottom w:w="15" w:type="dxa"/>
            <w:right w:w="15" w:type="dxa"/>
          </w:tblCellMar>
        </w:tblPrEx>
        <w:trPr>
          <w:trHeight w:val="227" w:hRule="atLeast"/>
        </w:trPr>
        <w:tc>
          <w:tcPr>
            <w:tcW w:w="9252" w:type="dxa"/>
            <w:gridSpan w:val="8"/>
            <w:tcBorders>
              <w:right w:val="single" w:color="808080" w:sz="4" w:space="0"/>
            </w:tcBorders>
            <w:shd w:val="clear" w:color="auto" w:fill="FFFFFF"/>
            <w:vAlign w:val="center"/>
          </w:tcPr>
          <w:p>
            <w:pPr>
              <w:widowControl/>
              <w:jc w:val="center"/>
              <w:textAlignment w:val="center"/>
              <w:rPr>
                <w:rFonts w:ascii="黑体" w:hAnsi="宋体" w:eastAsia="黑体" w:cs="黑体"/>
                <w:color w:val="000000"/>
                <w:sz w:val="30"/>
                <w:szCs w:val="30"/>
              </w:rPr>
            </w:pPr>
            <w:r>
              <w:rPr>
                <w:rFonts w:hint="eastAsia" w:ascii="黑体" w:hAnsi="宋体" w:eastAsia="黑体" w:cs="黑体"/>
                <w:color w:val="000000"/>
                <w:kern w:val="0"/>
                <w:sz w:val="30"/>
                <w:szCs w:val="30"/>
                <w:lang w:bidi="ar"/>
              </w:rPr>
              <w:t>收入支出决算总表</w:t>
            </w:r>
          </w:p>
        </w:tc>
      </w:tr>
      <w:tr>
        <w:tblPrEx>
          <w:tblCellMar>
            <w:top w:w="15" w:type="dxa"/>
            <w:left w:w="15" w:type="dxa"/>
            <w:bottom w:w="15" w:type="dxa"/>
            <w:right w:w="15" w:type="dxa"/>
          </w:tblCellMar>
        </w:tblPrEx>
        <w:trPr>
          <w:trHeight w:val="227" w:hRule="atLeast"/>
        </w:trPr>
        <w:tc>
          <w:tcPr>
            <w:tcW w:w="2356" w:type="dxa"/>
            <w:shd w:val="clear" w:color="auto" w:fill="FFFFFF"/>
            <w:vAlign w:val="center"/>
          </w:tcPr>
          <w:p>
            <w:pPr>
              <w:jc w:val="left"/>
              <w:rPr>
                <w:rFonts w:ascii="宋体" w:hAnsi="宋体" w:eastAsia="宋体" w:cs="宋体"/>
                <w:color w:val="000000"/>
                <w:sz w:val="18"/>
                <w:szCs w:val="18"/>
              </w:rPr>
            </w:pPr>
          </w:p>
        </w:tc>
        <w:tc>
          <w:tcPr>
            <w:tcW w:w="432" w:type="dxa"/>
            <w:gridSpan w:val="2"/>
            <w:shd w:val="clear" w:color="auto" w:fill="FFFFFF"/>
            <w:vAlign w:val="center"/>
          </w:tcPr>
          <w:p>
            <w:pPr>
              <w:jc w:val="left"/>
              <w:rPr>
                <w:rFonts w:ascii="宋体" w:hAnsi="宋体" w:eastAsia="宋体" w:cs="宋体"/>
                <w:color w:val="000000"/>
                <w:sz w:val="18"/>
                <w:szCs w:val="18"/>
              </w:rPr>
            </w:pPr>
          </w:p>
        </w:tc>
        <w:tc>
          <w:tcPr>
            <w:tcW w:w="1763" w:type="dxa"/>
            <w:gridSpan w:val="2"/>
            <w:shd w:val="clear" w:color="auto" w:fill="FFFFFF"/>
            <w:vAlign w:val="center"/>
          </w:tcPr>
          <w:p>
            <w:pPr>
              <w:jc w:val="left"/>
              <w:rPr>
                <w:rFonts w:ascii="宋体" w:hAnsi="宋体" w:eastAsia="宋体" w:cs="宋体"/>
                <w:color w:val="000000"/>
                <w:sz w:val="18"/>
                <w:szCs w:val="18"/>
              </w:rPr>
            </w:pPr>
          </w:p>
        </w:tc>
        <w:tc>
          <w:tcPr>
            <w:tcW w:w="2665" w:type="dxa"/>
            <w:shd w:val="clear" w:color="auto" w:fill="FFFFFF"/>
            <w:vAlign w:val="center"/>
          </w:tcPr>
          <w:p>
            <w:pPr>
              <w:jc w:val="left"/>
              <w:rPr>
                <w:rFonts w:ascii="宋体" w:hAnsi="宋体" w:eastAsia="宋体" w:cs="宋体"/>
                <w:color w:val="000000"/>
                <w:sz w:val="18"/>
                <w:szCs w:val="18"/>
              </w:rPr>
            </w:pPr>
          </w:p>
        </w:tc>
        <w:tc>
          <w:tcPr>
            <w:tcW w:w="432" w:type="dxa"/>
            <w:shd w:val="clear" w:color="auto" w:fill="FFFFFF"/>
            <w:vAlign w:val="center"/>
          </w:tcPr>
          <w:p>
            <w:pPr>
              <w:jc w:val="left"/>
              <w:rPr>
                <w:rFonts w:ascii="宋体" w:hAnsi="宋体" w:eastAsia="宋体" w:cs="宋体"/>
                <w:color w:val="000000"/>
                <w:sz w:val="18"/>
                <w:szCs w:val="18"/>
              </w:rPr>
            </w:pPr>
          </w:p>
        </w:tc>
        <w:tc>
          <w:tcPr>
            <w:tcW w:w="1604" w:type="dxa"/>
            <w:tcBorders>
              <w:right w:val="single" w:color="808080" w:sz="4" w:space="0"/>
            </w:tcBorders>
            <w:shd w:val="clear" w:color="auto" w:fill="FFFFFF"/>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公开01表</w:t>
            </w:r>
          </w:p>
        </w:tc>
      </w:tr>
      <w:tr>
        <w:tblPrEx>
          <w:tblCellMar>
            <w:top w:w="15" w:type="dxa"/>
            <w:left w:w="15" w:type="dxa"/>
            <w:bottom w:w="15" w:type="dxa"/>
            <w:right w:w="15" w:type="dxa"/>
          </w:tblCellMar>
        </w:tblPrEx>
        <w:trPr>
          <w:trHeight w:val="227" w:hRule="atLeast"/>
        </w:trPr>
        <w:tc>
          <w:tcPr>
            <w:tcW w:w="2356" w:type="dxa"/>
            <w:tcBorders>
              <w:bottom w:val="single" w:color="80808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部门：保定市自然资源和规划局满城区分局</w:t>
            </w:r>
          </w:p>
        </w:tc>
        <w:tc>
          <w:tcPr>
            <w:tcW w:w="432" w:type="dxa"/>
            <w:gridSpan w:val="2"/>
            <w:tcBorders>
              <w:bottom w:val="single" w:color="808080" w:sz="4" w:space="0"/>
            </w:tcBorders>
            <w:shd w:val="clear" w:color="auto" w:fill="FFFFFF"/>
            <w:vAlign w:val="center"/>
          </w:tcPr>
          <w:p>
            <w:pPr>
              <w:jc w:val="left"/>
              <w:rPr>
                <w:rFonts w:ascii="宋体" w:hAnsi="宋体" w:eastAsia="宋体" w:cs="宋体"/>
                <w:color w:val="000000"/>
                <w:sz w:val="18"/>
                <w:szCs w:val="18"/>
              </w:rPr>
            </w:pPr>
          </w:p>
        </w:tc>
        <w:tc>
          <w:tcPr>
            <w:tcW w:w="1763" w:type="dxa"/>
            <w:gridSpan w:val="2"/>
            <w:tcBorders>
              <w:bottom w:val="single" w:color="808080" w:sz="4" w:space="0"/>
            </w:tcBorders>
            <w:shd w:val="clear" w:color="auto" w:fill="FFFFFF"/>
            <w:vAlign w:val="center"/>
          </w:tcPr>
          <w:p>
            <w:pPr>
              <w:jc w:val="center"/>
              <w:rPr>
                <w:rFonts w:ascii="宋体" w:hAnsi="宋体" w:eastAsia="宋体" w:cs="宋体"/>
                <w:color w:val="000000"/>
                <w:sz w:val="24"/>
              </w:rPr>
            </w:pPr>
          </w:p>
        </w:tc>
        <w:tc>
          <w:tcPr>
            <w:tcW w:w="2665" w:type="dxa"/>
            <w:tcBorders>
              <w:bottom w:val="single" w:color="808080" w:sz="4" w:space="0"/>
            </w:tcBorders>
            <w:shd w:val="clear" w:color="auto" w:fill="FFFFFF"/>
            <w:vAlign w:val="center"/>
          </w:tcPr>
          <w:p>
            <w:pPr>
              <w:jc w:val="left"/>
              <w:rPr>
                <w:rFonts w:ascii="宋体" w:hAnsi="宋体" w:eastAsia="宋体" w:cs="宋体"/>
                <w:color w:val="000000"/>
                <w:sz w:val="18"/>
                <w:szCs w:val="18"/>
              </w:rPr>
            </w:pPr>
          </w:p>
        </w:tc>
        <w:tc>
          <w:tcPr>
            <w:tcW w:w="432" w:type="dxa"/>
            <w:tcBorders>
              <w:bottom w:val="single" w:color="808080" w:sz="4" w:space="0"/>
            </w:tcBorders>
            <w:shd w:val="clear" w:color="auto" w:fill="FFFFFF"/>
            <w:vAlign w:val="center"/>
          </w:tcPr>
          <w:p>
            <w:pPr>
              <w:jc w:val="left"/>
              <w:rPr>
                <w:rFonts w:ascii="宋体" w:hAnsi="宋体" w:eastAsia="宋体" w:cs="宋体"/>
                <w:color w:val="000000"/>
                <w:sz w:val="18"/>
                <w:szCs w:val="18"/>
              </w:rPr>
            </w:pPr>
          </w:p>
        </w:tc>
        <w:tc>
          <w:tcPr>
            <w:tcW w:w="1604" w:type="dxa"/>
            <w:tcBorders>
              <w:bottom w:val="single" w:color="808080" w:sz="4" w:space="0"/>
              <w:right w:val="single" w:color="808080" w:sz="4" w:space="0"/>
            </w:tcBorders>
            <w:shd w:val="clear" w:color="auto" w:fill="FFFFFF"/>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金额单位：万元</w:t>
            </w:r>
          </w:p>
        </w:tc>
      </w:tr>
      <w:tr>
        <w:tblPrEx>
          <w:tblCellMar>
            <w:top w:w="15" w:type="dxa"/>
            <w:left w:w="15" w:type="dxa"/>
            <w:bottom w:w="15" w:type="dxa"/>
            <w:right w:w="15" w:type="dxa"/>
          </w:tblCellMar>
        </w:tblPrEx>
        <w:trPr>
          <w:trHeight w:val="284" w:hRule="exact"/>
        </w:trPr>
        <w:tc>
          <w:tcPr>
            <w:tcW w:w="4551" w:type="dxa"/>
            <w:gridSpan w:val="5"/>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收入</w:t>
            </w:r>
          </w:p>
        </w:tc>
        <w:tc>
          <w:tcPr>
            <w:tcW w:w="4701" w:type="dxa"/>
            <w:gridSpan w:val="3"/>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支出</w:t>
            </w: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项目</w:t>
            </w: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行次</w:t>
            </w:r>
          </w:p>
        </w:tc>
        <w:tc>
          <w:tcPr>
            <w:tcW w:w="1417"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金额</w:t>
            </w:r>
          </w:p>
        </w:tc>
        <w:tc>
          <w:tcPr>
            <w:tcW w:w="2665"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项目</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行次</w:t>
            </w:r>
          </w:p>
        </w:tc>
        <w:tc>
          <w:tcPr>
            <w:tcW w:w="1604"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金额</w:t>
            </w: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栏次</w:t>
            </w:r>
          </w:p>
        </w:tc>
        <w:tc>
          <w:tcPr>
            <w:tcW w:w="425" w:type="dxa"/>
            <w:gridSpan w:val="2"/>
            <w:tcBorders>
              <w:bottom w:val="single" w:color="000000" w:sz="4" w:space="0"/>
              <w:right w:val="single" w:color="000000" w:sz="4" w:space="0"/>
            </w:tcBorders>
            <w:shd w:val="clear" w:color="auto" w:fill="FFFFFF"/>
            <w:vAlign w:val="center"/>
          </w:tcPr>
          <w:p>
            <w:pPr>
              <w:jc w:val="center"/>
              <w:rPr>
                <w:rFonts w:ascii="宋体" w:hAnsi="宋体" w:eastAsia="宋体" w:cs="宋体"/>
                <w:color w:val="000000"/>
                <w:sz w:val="15"/>
                <w:szCs w:val="16"/>
              </w:rPr>
            </w:pPr>
          </w:p>
        </w:tc>
        <w:tc>
          <w:tcPr>
            <w:tcW w:w="1417"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1</w:t>
            </w:r>
          </w:p>
        </w:tc>
        <w:tc>
          <w:tcPr>
            <w:tcW w:w="2665"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栏次</w:t>
            </w:r>
          </w:p>
        </w:tc>
        <w:tc>
          <w:tcPr>
            <w:tcW w:w="432" w:type="dxa"/>
            <w:tcBorders>
              <w:bottom w:val="single" w:color="000000" w:sz="4" w:space="0"/>
              <w:right w:val="single" w:color="000000" w:sz="4" w:space="0"/>
            </w:tcBorders>
            <w:shd w:val="clear" w:color="auto" w:fill="FFFFFF"/>
            <w:vAlign w:val="center"/>
          </w:tcPr>
          <w:p>
            <w:pPr>
              <w:jc w:val="center"/>
              <w:rPr>
                <w:rFonts w:ascii="宋体" w:hAnsi="宋体" w:eastAsia="宋体" w:cs="宋体"/>
                <w:color w:val="000000"/>
                <w:sz w:val="15"/>
                <w:szCs w:val="16"/>
              </w:rPr>
            </w:pPr>
          </w:p>
        </w:tc>
        <w:tc>
          <w:tcPr>
            <w:tcW w:w="1604"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2</w:t>
            </w: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一、一般公共预算财政拨款收入</w:t>
            </w: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1</w:t>
            </w:r>
          </w:p>
        </w:tc>
        <w:tc>
          <w:tcPr>
            <w:tcW w:w="1417" w:type="dxa"/>
            <w:tcBorders>
              <w:bottom w:val="single" w:color="000000" w:sz="4" w:space="0"/>
              <w:right w:val="single" w:color="000000" w:sz="4" w:space="0"/>
            </w:tcBorders>
            <w:shd w:val="clear" w:color="auto" w:fill="FFFFFF"/>
            <w:vAlign w:val="center"/>
          </w:tcPr>
          <w:p>
            <w:pPr>
              <w:widowControl/>
              <w:spacing w:line="240" w:lineRule="auto"/>
              <w:ind w:right="0" w:rightChars="0" w:firstLine="0" w:firstLineChars="0"/>
              <w:jc w:val="right"/>
              <w:textAlignment w:val="center"/>
              <w:rPr>
                <w:rFonts w:ascii="宋体" w:hAnsi="宋体" w:eastAsia="宋体" w:cs="宋体"/>
                <w:color w:val="000000"/>
                <w:kern w:val="2"/>
                <w:sz w:val="16"/>
                <w:szCs w:val="16"/>
                <w:lang w:val="en-US" w:eastAsia="zh-CN" w:bidi="ar-SA"/>
              </w:rPr>
            </w:pPr>
            <w:r>
              <w:rPr>
                <w:rFonts w:hint="eastAsia" w:ascii="仿宋" w:hAnsi="仿宋" w:eastAsia="仿宋" w:cs="宋体"/>
                <w:color w:val="000000"/>
                <w:kern w:val="0"/>
                <w:sz w:val="22"/>
                <w:szCs w:val="22"/>
                <w:lang w:bidi="ar"/>
              </w:rPr>
              <w:t>8843.55　</w:t>
            </w: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一、一般公共服务支出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32</w:t>
            </w:r>
          </w:p>
        </w:tc>
        <w:tc>
          <w:tcPr>
            <w:tcW w:w="1604"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二、政府性基金预算财政拨款收入</w:t>
            </w: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2</w:t>
            </w:r>
          </w:p>
        </w:tc>
        <w:tc>
          <w:tcPr>
            <w:tcW w:w="1417" w:type="dxa"/>
            <w:tcBorders>
              <w:bottom w:val="single" w:color="000000" w:sz="4" w:space="0"/>
              <w:right w:val="single" w:color="000000" w:sz="4" w:space="0"/>
            </w:tcBorders>
            <w:shd w:val="clear" w:color="auto" w:fill="FFFFFF"/>
            <w:vAlign w:val="center"/>
          </w:tcPr>
          <w:p>
            <w:pPr>
              <w:widowControl/>
              <w:spacing w:line="240" w:lineRule="auto"/>
              <w:ind w:right="0" w:rightChars="0" w:firstLine="0" w:firstLineChars="0"/>
              <w:jc w:val="right"/>
              <w:textAlignment w:val="center"/>
              <w:rPr>
                <w:rFonts w:ascii="宋体" w:hAnsi="宋体" w:eastAsia="宋体" w:cs="宋体"/>
                <w:color w:val="000000"/>
                <w:kern w:val="2"/>
                <w:sz w:val="16"/>
                <w:szCs w:val="16"/>
                <w:lang w:val="en-US" w:eastAsia="zh-CN" w:bidi="ar-SA"/>
              </w:rPr>
            </w:pPr>
            <w:r>
              <w:rPr>
                <w:rFonts w:hint="eastAsia" w:ascii="仿宋" w:hAnsi="仿宋" w:eastAsia="仿宋" w:cs="宋体"/>
                <w:color w:val="000000"/>
                <w:kern w:val="0"/>
                <w:sz w:val="22"/>
                <w:szCs w:val="22"/>
                <w:lang w:bidi="ar"/>
              </w:rPr>
              <w:t>7056.48　</w:t>
            </w: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二、外交支出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33</w:t>
            </w:r>
          </w:p>
        </w:tc>
        <w:tc>
          <w:tcPr>
            <w:tcW w:w="1604"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三、国有资本经营预算财政拨款收入</w:t>
            </w: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3</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三、国防支出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34</w:t>
            </w:r>
          </w:p>
        </w:tc>
        <w:tc>
          <w:tcPr>
            <w:tcW w:w="1604"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四、上级补助收入</w:t>
            </w: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4</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四、公共安全支出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35</w:t>
            </w:r>
          </w:p>
        </w:tc>
        <w:tc>
          <w:tcPr>
            <w:tcW w:w="1604"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五、事业收入</w:t>
            </w: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5</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五、教育支出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36</w:t>
            </w:r>
          </w:p>
        </w:tc>
        <w:tc>
          <w:tcPr>
            <w:tcW w:w="1604"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六、经营收入</w:t>
            </w: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6</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六、科学技术支出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37</w:t>
            </w:r>
          </w:p>
        </w:tc>
        <w:tc>
          <w:tcPr>
            <w:tcW w:w="1604"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七、附属单位上缴收入</w:t>
            </w: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7</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七、文化旅游体育与传媒支出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38</w:t>
            </w:r>
          </w:p>
        </w:tc>
        <w:tc>
          <w:tcPr>
            <w:tcW w:w="1604"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八、其他收入</w:t>
            </w: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8</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八、社会保障和就业支出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39</w:t>
            </w:r>
          </w:p>
        </w:tc>
        <w:tc>
          <w:tcPr>
            <w:tcW w:w="1604" w:type="dxa"/>
            <w:tcBorders>
              <w:bottom w:val="single" w:color="000000" w:sz="4" w:space="0"/>
              <w:right w:val="single" w:color="000000" w:sz="4" w:space="0"/>
            </w:tcBorders>
            <w:shd w:val="clear" w:color="auto" w:fill="FFFFFF"/>
            <w:vAlign w:val="center"/>
          </w:tcPr>
          <w:p>
            <w:pPr>
              <w:widowControl/>
              <w:spacing w:line="240" w:lineRule="auto"/>
              <w:ind w:right="0" w:rightChars="0" w:firstLine="0" w:firstLineChars="0"/>
              <w:jc w:val="right"/>
              <w:textAlignment w:val="center"/>
              <w:rPr>
                <w:rFonts w:ascii="宋体" w:hAnsi="宋体" w:eastAsia="宋体" w:cs="宋体"/>
                <w:color w:val="000000"/>
                <w:kern w:val="2"/>
                <w:sz w:val="16"/>
                <w:szCs w:val="16"/>
                <w:lang w:val="en-US" w:eastAsia="zh-CN" w:bidi="ar-SA"/>
              </w:rPr>
            </w:pPr>
            <w:r>
              <w:rPr>
                <w:rFonts w:hint="eastAsia" w:ascii="仿宋" w:hAnsi="仿宋" w:eastAsia="仿宋" w:cs="宋体"/>
                <w:color w:val="000000"/>
                <w:kern w:val="0"/>
                <w:sz w:val="22"/>
                <w:szCs w:val="22"/>
                <w:lang w:bidi="ar"/>
              </w:rPr>
              <w:t>480.27　</w:t>
            </w: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rPr>
            </w:pP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9</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九、卫生健康支出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40</w:t>
            </w:r>
          </w:p>
        </w:tc>
        <w:tc>
          <w:tcPr>
            <w:tcW w:w="1604" w:type="dxa"/>
            <w:tcBorders>
              <w:bottom w:val="single" w:color="000000" w:sz="4" w:space="0"/>
              <w:right w:val="single" w:color="000000" w:sz="4" w:space="0"/>
            </w:tcBorders>
            <w:shd w:val="clear" w:color="auto" w:fill="FFFFFF"/>
            <w:vAlign w:val="center"/>
          </w:tcPr>
          <w:p>
            <w:pPr>
              <w:widowControl/>
              <w:spacing w:line="240" w:lineRule="auto"/>
              <w:ind w:right="0" w:rightChars="0" w:firstLine="0" w:firstLineChars="0"/>
              <w:jc w:val="right"/>
              <w:textAlignment w:val="center"/>
              <w:rPr>
                <w:rFonts w:ascii="宋体" w:hAnsi="宋体" w:eastAsia="宋体" w:cs="宋体"/>
                <w:color w:val="000000"/>
                <w:kern w:val="2"/>
                <w:sz w:val="16"/>
                <w:szCs w:val="16"/>
                <w:lang w:val="en-US" w:eastAsia="zh-CN" w:bidi="ar-SA"/>
              </w:rPr>
            </w:pPr>
            <w:r>
              <w:rPr>
                <w:rFonts w:hint="eastAsia" w:ascii="仿宋" w:hAnsi="仿宋" w:eastAsia="仿宋" w:cs="宋体"/>
                <w:color w:val="000000"/>
                <w:kern w:val="0"/>
                <w:sz w:val="22"/>
                <w:szCs w:val="22"/>
                <w:lang w:bidi="ar"/>
              </w:rPr>
              <w:t>123.03　</w:t>
            </w: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rPr>
            </w:pP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10</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十、节能环保支出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41</w:t>
            </w:r>
          </w:p>
        </w:tc>
        <w:tc>
          <w:tcPr>
            <w:tcW w:w="1604" w:type="dxa"/>
            <w:tcBorders>
              <w:bottom w:val="single" w:color="000000" w:sz="4" w:space="0"/>
              <w:right w:val="single" w:color="000000" w:sz="4" w:space="0"/>
            </w:tcBorders>
            <w:shd w:val="clear" w:color="auto" w:fill="FFFFFF"/>
            <w:vAlign w:val="center"/>
          </w:tcPr>
          <w:p>
            <w:pPr>
              <w:widowControl/>
              <w:spacing w:line="240" w:lineRule="auto"/>
              <w:ind w:right="0" w:rightChars="0" w:firstLine="0" w:firstLineChars="0"/>
              <w:jc w:val="right"/>
              <w:textAlignment w:val="center"/>
              <w:rPr>
                <w:rFonts w:ascii="宋体" w:hAnsi="宋体" w:eastAsia="宋体" w:cs="宋体"/>
                <w:color w:val="000000"/>
                <w:kern w:val="2"/>
                <w:sz w:val="16"/>
                <w:szCs w:val="16"/>
                <w:lang w:val="en-US" w:eastAsia="zh-CN" w:bidi="ar-SA"/>
              </w:rPr>
            </w:pPr>
            <w:r>
              <w:rPr>
                <w:rFonts w:hint="eastAsia" w:ascii="仿宋" w:hAnsi="仿宋" w:eastAsia="仿宋" w:cs="宋体"/>
                <w:color w:val="000000"/>
                <w:kern w:val="0"/>
                <w:sz w:val="22"/>
                <w:szCs w:val="22"/>
                <w:lang w:bidi="ar"/>
              </w:rPr>
              <w:t>24.70　</w:t>
            </w: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rPr>
            </w:pP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11</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十一、城乡社区支出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42</w:t>
            </w:r>
          </w:p>
        </w:tc>
        <w:tc>
          <w:tcPr>
            <w:tcW w:w="1604" w:type="dxa"/>
            <w:tcBorders>
              <w:bottom w:val="single" w:color="000000" w:sz="4" w:space="0"/>
              <w:right w:val="single" w:color="000000" w:sz="4" w:space="0"/>
            </w:tcBorders>
            <w:shd w:val="clear" w:color="auto" w:fill="FFFFFF"/>
            <w:vAlign w:val="center"/>
          </w:tcPr>
          <w:p>
            <w:pPr>
              <w:widowControl/>
              <w:spacing w:line="240" w:lineRule="auto"/>
              <w:ind w:right="0" w:rightChars="0" w:firstLine="0" w:firstLineChars="0"/>
              <w:jc w:val="right"/>
              <w:textAlignment w:val="center"/>
              <w:rPr>
                <w:rFonts w:ascii="宋体" w:hAnsi="宋体" w:eastAsia="宋体" w:cs="宋体"/>
                <w:color w:val="000000"/>
                <w:kern w:val="2"/>
                <w:sz w:val="16"/>
                <w:szCs w:val="16"/>
                <w:lang w:val="en-US" w:eastAsia="zh-CN" w:bidi="ar-SA"/>
              </w:rPr>
            </w:pPr>
            <w:r>
              <w:rPr>
                <w:rFonts w:hint="eastAsia" w:ascii="仿宋" w:hAnsi="仿宋" w:eastAsia="仿宋" w:cs="宋体"/>
                <w:color w:val="000000"/>
                <w:kern w:val="0"/>
                <w:sz w:val="22"/>
                <w:szCs w:val="22"/>
                <w:lang w:bidi="ar"/>
              </w:rPr>
              <w:t>7056.48　</w:t>
            </w: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rPr>
            </w:pP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12</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十二、农林水支出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43</w:t>
            </w:r>
          </w:p>
        </w:tc>
        <w:tc>
          <w:tcPr>
            <w:tcW w:w="1604" w:type="dxa"/>
            <w:tcBorders>
              <w:bottom w:val="single" w:color="000000" w:sz="4" w:space="0"/>
              <w:right w:val="single" w:color="000000" w:sz="4" w:space="0"/>
            </w:tcBorders>
            <w:shd w:val="clear" w:color="auto" w:fill="FFFFFF"/>
            <w:vAlign w:val="center"/>
          </w:tcPr>
          <w:p>
            <w:pPr>
              <w:widowControl/>
              <w:spacing w:line="240" w:lineRule="auto"/>
              <w:ind w:right="0" w:rightChars="0" w:firstLine="0" w:firstLineChars="0"/>
              <w:jc w:val="right"/>
              <w:textAlignment w:val="center"/>
              <w:rPr>
                <w:rFonts w:ascii="宋体" w:hAnsi="宋体" w:eastAsia="宋体" w:cs="宋体"/>
                <w:color w:val="000000"/>
                <w:kern w:val="2"/>
                <w:sz w:val="16"/>
                <w:szCs w:val="16"/>
                <w:lang w:val="en-US" w:eastAsia="zh-CN" w:bidi="ar-SA"/>
              </w:rPr>
            </w:pPr>
            <w:r>
              <w:rPr>
                <w:rFonts w:hint="eastAsia" w:ascii="仿宋" w:hAnsi="仿宋" w:eastAsia="仿宋" w:cs="宋体"/>
                <w:color w:val="000000"/>
                <w:kern w:val="0"/>
                <w:sz w:val="22"/>
                <w:szCs w:val="22"/>
                <w:lang w:bidi="ar"/>
              </w:rPr>
              <w:t>1550.86　</w:t>
            </w: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rPr>
            </w:pP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13</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十三、交通运输支出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44</w:t>
            </w:r>
          </w:p>
        </w:tc>
        <w:tc>
          <w:tcPr>
            <w:tcW w:w="1604"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rPr>
            </w:pP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14</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十四、资源勘探工业信息等支出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45</w:t>
            </w:r>
          </w:p>
        </w:tc>
        <w:tc>
          <w:tcPr>
            <w:tcW w:w="1604"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rPr>
            </w:pP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15</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十五、商业服务业等支出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46</w:t>
            </w:r>
          </w:p>
        </w:tc>
        <w:tc>
          <w:tcPr>
            <w:tcW w:w="1604"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rPr>
            </w:pP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16</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十六、金融支出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47</w:t>
            </w:r>
          </w:p>
        </w:tc>
        <w:tc>
          <w:tcPr>
            <w:tcW w:w="1604"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rPr>
            </w:pP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17</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十七、援助其他地区支出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48</w:t>
            </w:r>
          </w:p>
        </w:tc>
        <w:tc>
          <w:tcPr>
            <w:tcW w:w="1604"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rPr>
            </w:pP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18</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十八、自然资源海洋气象等支出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49</w:t>
            </w:r>
          </w:p>
        </w:tc>
        <w:tc>
          <w:tcPr>
            <w:tcW w:w="1604" w:type="dxa"/>
            <w:tcBorders>
              <w:bottom w:val="single" w:color="000000" w:sz="4" w:space="0"/>
              <w:right w:val="single" w:color="000000" w:sz="4" w:space="0"/>
            </w:tcBorders>
            <w:shd w:val="clear" w:color="auto" w:fill="FFFFFF"/>
            <w:vAlign w:val="center"/>
          </w:tcPr>
          <w:p>
            <w:pPr>
              <w:widowControl/>
              <w:spacing w:line="240" w:lineRule="auto"/>
              <w:ind w:right="0" w:rightChars="0" w:firstLine="0" w:firstLineChars="0"/>
              <w:jc w:val="right"/>
              <w:textAlignment w:val="center"/>
              <w:rPr>
                <w:rFonts w:ascii="宋体" w:hAnsi="宋体" w:eastAsia="宋体" w:cs="宋体"/>
                <w:color w:val="000000"/>
                <w:kern w:val="2"/>
                <w:sz w:val="16"/>
                <w:szCs w:val="16"/>
                <w:lang w:val="en-US" w:eastAsia="zh-CN" w:bidi="ar-SA"/>
              </w:rPr>
            </w:pPr>
            <w:r>
              <w:rPr>
                <w:rFonts w:hint="eastAsia" w:ascii="仿宋" w:hAnsi="仿宋" w:eastAsia="仿宋" w:cs="宋体"/>
                <w:color w:val="000000"/>
                <w:kern w:val="0"/>
                <w:sz w:val="22"/>
                <w:szCs w:val="22"/>
                <w:lang w:bidi="ar"/>
              </w:rPr>
              <w:t>5516.72　</w:t>
            </w: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rPr>
            </w:pP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19</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十九、住房保障支出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50</w:t>
            </w:r>
          </w:p>
        </w:tc>
        <w:tc>
          <w:tcPr>
            <w:tcW w:w="1604" w:type="dxa"/>
            <w:tcBorders>
              <w:bottom w:val="single" w:color="000000" w:sz="4" w:space="0"/>
              <w:right w:val="single" w:color="000000" w:sz="4" w:space="0"/>
            </w:tcBorders>
            <w:shd w:val="clear" w:color="auto" w:fill="FFFFFF"/>
            <w:vAlign w:val="center"/>
          </w:tcPr>
          <w:p>
            <w:pPr>
              <w:widowControl/>
              <w:spacing w:line="240" w:lineRule="auto"/>
              <w:ind w:right="0" w:rightChars="0" w:firstLine="0" w:firstLineChars="0"/>
              <w:jc w:val="right"/>
              <w:textAlignment w:val="center"/>
              <w:rPr>
                <w:rFonts w:ascii="宋体" w:hAnsi="宋体" w:eastAsia="宋体" w:cs="宋体"/>
                <w:color w:val="000000"/>
                <w:kern w:val="2"/>
                <w:sz w:val="16"/>
                <w:szCs w:val="16"/>
                <w:lang w:val="en-US" w:eastAsia="zh-CN" w:bidi="ar-SA"/>
              </w:rPr>
            </w:pPr>
            <w:r>
              <w:rPr>
                <w:rFonts w:hint="eastAsia" w:ascii="仿宋" w:hAnsi="仿宋" w:eastAsia="仿宋" w:cs="宋体"/>
                <w:color w:val="000000"/>
                <w:kern w:val="0"/>
                <w:sz w:val="22"/>
                <w:szCs w:val="22"/>
                <w:lang w:bidi="ar"/>
              </w:rPr>
              <w:t>185.41　</w:t>
            </w: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rPr>
            </w:pP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20</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二十、粮油物资储备支出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51</w:t>
            </w:r>
          </w:p>
        </w:tc>
        <w:tc>
          <w:tcPr>
            <w:tcW w:w="1604"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rPr>
            </w:pP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21</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二十一、国有资本经营预算支出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52</w:t>
            </w:r>
          </w:p>
        </w:tc>
        <w:tc>
          <w:tcPr>
            <w:tcW w:w="1604"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rPr>
            </w:pP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22</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二十二、灾害防治及应急管理支出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53</w:t>
            </w:r>
          </w:p>
        </w:tc>
        <w:tc>
          <w:tcPr>
            <w:tcW w:w="1604"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r>
              <w:rPr>
                <w:rFonts w:hint="eastAsia" w:ascii="仿宋" w:hAnsi="仿宋" w:eastAsia="仿宋" w:cs="宋体"/>
                <w:color w:val="000000"/>
                <w:kern w:val="0"/>
                <w:sz w:val="22"/>
                <w:szCs w:val="22"/>
                <w:lang w:bidi="ar"/>
              </w:rPr>
              <w:t>30.41</w:t>
            </w: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rPr>
            </w:pP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23</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二十三、其他支出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54</w:t>
            </w:r>
          </w:p>
        </w:tc>
        <w:tc>
          <w:tcPr>
            <w:tcW w:w="1604"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b/>
                <w:color w:val="000000"/>
                <w:sz w:val="15"/>
                <w:szCs w:val="16"/>
              </w:rPr>
            </w:pP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24</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二十四、债务还本支出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55</w:t>
            </w:r>
          </w:p>
        </w:tc>
        <w:tc>
          <w:tcPr>
            <w:tcW w:w="1604"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highlight w:val="none"/>
              </w:rPr>
            </w:pP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highlight w:val="none"/>
              </w:rPr>
            </w:pPr>
            <w:r>
              <w:rPr>
                <w:rFonts w:hint="eastAsia" w:ascii="宋体" w:hAnsi="宋体" w:eastAsia="宋体" w:cs="宋体"/>
                <w:color w:val="000000"/>
                <w:kern w:val="0"/>
                <w:sz w:val="15"/>
                <w:szCs w:val="16"/>
                <w:highlight w:val="none"/>
                <w:lang w:bidi="ar"/>
              </w:rPr>
              <w:t>25</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highlight w:val="none"/>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highlight w:val="none"/>
              </w:rPr>
            </w:pPr>
            <w:r>
              <w:rPr>
                <w:rFonts w:hint="eastAsia" w:ascii="宋体" w:hAnsi="宋体" w:eastAsia="宋体" w:cs="宋体"/>
                <w:color w:val="000000"/>
                <w:kern w:val="0"/>
                <w:sz w:val="15"/>
                <w:szCs w:val="16"/>
                <w:highlight w:val="none"/>
                <w:lang w:bidi="ar"/>
              </w:rPr>
              <w:t>二十五、债务付息支出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highlight w:val="none"/>
              </w:rPr>
            </w:pPr>
            <w:r>
              <w:rPr>
                <w:rFonts w:hint="eastAsia" w:ascii="宋体" w:hAnsi="宋体" w:eastAsia="宋体" w:cs="宋体"/>
                <w:color w:val="000000"/>
                <w:kern w:val="0"/>
                <w:sz w:val="15"/>
                <w:szCs w:val="16"/>
                <w:highlight w:val="none"/>
                <w:lang w:bidi="ar"/>
              </w:rPr>
              <w:t>56</w:t>
            </w:r>
          </w:p>
        </w:tc>
        <w:tc>
          <w:tcPr>
            <w:tcW w:w="1604"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highlight w:val="none"/>
              </w:rPr>
            </w:pP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highlight w:val="none"/>
              </w:rPr>
            </w:pP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highlight w:val="none"/>
              </w:rPr>
            </w:pPr>
            <w:r>
              <w:rPr>
                <w:rFonts w:hint="eastAsia" w:ascii="宋体" w:hAnsi="宋体" w:eastAsia="宋体" w:cs="宋体"/>
                <w:color w:val="000000"/>
                <w:kern w:val="0"/>
                <w:sz w:val="15"/>
                <w:szCs w:val="16"/>
                <w:highlight w:val="none"/>
                <w:lang w:bidi="ar"/>
              </w:rPr>
              <w:t>26</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highlight w:val="none"/>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highlight w:val="none"/>
              </w:rPr>
            </w:pPr>
            <w:r>
              <w:rPr>
                <w:rFonts w:hint="eastAsia" w:ascii="宋体" w:hAnsi="宋体" w:eastAsia="宋体" w:cs="宋体"/>
                <w:color w:val="000000"/>
                <w:kern w:val="0"/>
                <w:sz w:val="15"/>
                <w:szCs w:val="16"/>
                <w:highlight w:val="none"/>
                <w:lang w:bidi="ar"/>
              </w:rPr>
              <w:t>二十六、抗疫特别国债安排的支出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highlight w:val="none"/>
              </w:rPr>
            </w:pPr>
            <w:r>
              <w:rPr>
                <w:rFonts w:hint="eastAsia" w:ascii="宋体" w:hAnsi="宋体" w:eastAsia="宋体" w:cs="宋体"/>
                <w:color w:val="000000"/>
                <w:kern w:val="0"/>
                <w:sz w:val="15"/>
                <w:szCs w:val="16"/>
                <w:highlight w:val="none"/>
                <w:lang w:bidi="ar"/>
              </w:rPr>
              <w:t>57</w:t>
            </w:r>
          </w:p>
        </w:tc>
        <w:tc>
          <w:tcPr>
            <w:tcW w:w="1604"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highlight w:val="none"/>
              </w:rPr>
            </w:pP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b/>
                <w:color w:val="000000"/>
                <w:sz w:val="15"/>
                <w:szCs w:val="16"/>
              </w:rPr>
            </w:pPr>
            <w:r>
              <w:rPr>
                <w:rFonts w:hint="eastAsia" w:ascii="宋体" w:hAnsi="宋体" w:eastAsia="宋体" w:cs="宋体"/>
                <w:b/>
                <w:color w:val="000000"/>
                <w:kern w:val="0"/>
                <w:sz w:val="15"/>
                <w:szCs w:val="16"/>
                <w:lang w:bidi="ar"/>
              </w:rPr>
              <w:t>本年收入合计</w:t>
            </w: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27</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r>
              <w:rPr>
                <w:rFonts w:hint="eastAsia" w:ascii="仿宋" w:hAnsi="仿宋" w:eastAsia="仿宋" w:cs="宋体"/>
                <w:color w:val="000000"/>
                <w:kern w:val="0"/>
                <w:sz w:val="20"/>
                <w:szCs w:val="20"/>
                <w:lang w:bidi="ar"/>
              </w:rPr>
              <w:t>15900.03</w:t>
            </w:r>
          </w:p>
        </w:tc>
        <w:tc>
          <w:tcPr>
            <w:tcW w:w="2665"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b/>
                <w:color w:val="000000"/>
                <w:sz w:val="15"/>
                <w:szCs w:val="16"/>
              </w:rPr>
            </w:pPr>
            <w:r>
              <w:rPr>
                <w:rFonts w:hint="eastAsia" w:ascii="宋体" w:hAnsi="宋体" w:eastAsia="宋体" w:cs="宋体"/>
                <w:b/>
                <w:color w:val="000000"/>
                <w:kern w:val="0"/>
                <w:sz w:val="15"/>
                <w:szCs w:val="16"/>
                <w:lang w:bidi="ar"/>
              </w:rPr>
              <w:t>本年支出合计</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58</w:t>
            </w:r>
          </w:p>
        </w:tc>
        <w:tc>
          <w:tcPr>
            <w:tcW w:w="1604" w:type="dxa"/>
            <w:tcBorders>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000000"/>
                <w:kern w:val="2"/>
                <w:sz w:val="18"/>
                <w:szCs w:val="18"/>
                <w:lang w:val="en-US" w:eastAsia="zh-CN" w:bidi="ar-SA"/>
              </w:rPr>
            </w:pPr>
            <w:r>
              <w:rPr>
                <w:rFonts w:hint="eastAsia" w:ascii="仿宋" w:hAnsi="仿宋" w:eastAsia="仿宋" w:cs="宋体"/>
                <w:color w:val="000000"/>
                <w:kern w:val="0"/>
                <w:sz w:val="20"/>
                <w:szCs w:val="20"/>
                <w:lang w:bidi="ar"/>
              </w:rPr>
              <w:t>14967.88</w:t>
            </w: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highlight w:val="none"/>
              </w:rPr>
            </w:pPr>
            <w:r>
              <w:rPr>
                <w:rFonts w:hint="eastAsia" w:ascii="宋体" w:hAnsi="宋体" w:eastAsia="宋体" w:cs="宋体"/>
                <w:color w:val="000000"/>
                <w:kern w:val="0"/>
                <w:sz w:val="15"/>
                <w:szCs w:val="16"/>
                <w:highlight w:val="none"/>
                <w:lang w:bidi="ar"/>
              </w:rPr>
              <w:t>使用非财政拨款结余</w:t>
            </w: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highlight w:val="none"/>
              </w:rPr>
            </w:pPr>
            <w:r>
              <w:rPr>
                <w:rFonts w:hint="eastAsia" w:ascii="宋体" w:hAnsi="宋体" w:eastAsia="宋体" w:cs="宋体"/>
                <w:color w:val="000000"/>
                <w:kern w:val="0"/>
                <w:sz w:val="15"/>
                <w:szCs w:val="16"/>
                <w:highlight w:val="none"/>
                <w:lang w:bidi="ar"/>
              </w:rPr>
              <w:t>28</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highlight w:val="none"/>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highlight w:val="none"/>
              </w:rPr>
            </w:pPr>
            <w:r>
              <w:rPr>
                <w:rFonts w:hint="eastAsia" w:ascii="宋体" w:hAnsi="宋体" w:eastAsia="宋体" w:cs="宋体"/>
                <w:color w:val="000000"/>
                <w:kern w:val="0"/>
                <w:sz w:val="15"/>
                <w:szCs w:val="16"/>
                <w:highlight w:val="none"/>
                <w:lang w:bidi="ar"/>
              </w:rPr>
              <w:t>结余分配</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highlight w:val="none"/>
              </w:rPr>
            </w:pPr>
            <w:r>
              <w:rPr>
                <w:rFonts w:hint="eastAsia" w:ascii="宋体" w:hAnsi="宋体" w:eastAsia="宋体" w:cs="宋体"/>
                <w:color w:val="000000"/>
                <w:kern w:val="0"/>
                <w:sz w:val="15"/>
                <w:szCs w:val="16"/>
                <w:highlight w:val="none"/>
                <w:lang w:bidi="ar"/>
              </w:rPr>
              <w:t>59</w:t>
            </w:r>
          </w:p>
        </w:tc>
        <w:tc>
          <w:tcPr>
            <w:tcW w:w="1604" w:type="dxa"/>
            <w:tcBorders>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000000"/>
                <w:kern w:val="2"/>
                <w:sz w:val="18"/>
                <w:szCs w:val="18"/>
                <w:highlight w:val="none"/>
                <w:lang w:val="en-US" w:eastAsia="zh-CN" w:bidi="ar-SA"/>
              </w:rPr>
            </w:pPr>
            <w:r>
              <w:rPr>
                <w:rFonts w:hint="eastAsia" w:ascii="宋体" w:hAnsi="宋体" w:eastAsia="宋体" w:cs="宋体"/>
                <w:color w:val="000000"/>
                <w:kern w:val="0"/>
                <w:sz w:val="18"/>
                <w:szCs w:val="18"/>
                <w:highlight w:val="none"/>
                <w:lang w:bidi="ar"/>
              </w:rPr>
              <w:t>　</w:t>
            </w: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年初结转和结余</w:t>
            </w: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29</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年末结转和结余</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60</w:t>
            </w:r>
          </w:p>
        </w:tc>
        <w:tc>
          <w:tcPr>
            <w:tcW w:w="1604" w:type="dxa"/>
            <w:tcBorders>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000000"/>
                <w:kern w:val="2"/>
                <w:sz w:val="18"/>
                <w:szCs w:val="18"/>
                <w:lang w:val="en-US" w:eastAsia="zh-CN" w:bidi="ar-SA"/>
              </w:rPr>
            </w:pPr>
            <w:r>
              <w:rPr>
                <w:rFonts w:hint="eastAsia" w:ascii="仿宋" w:hAnsi="仿宋" w:eastAsia="仿宋" w:cs="宋体"/>
                <w:color w:val="000000"/>
                <w:kern w:val="0"/>
                <w:sz w:val="24"/>
                <w:lang w:bidi="ar"/>
              </w:rPr>
              <w:t>932.15</w:t>
            </w:r>
            <w:r>
              <w:rPr>
                <w:rFonts w:hint="eastAsia" w:ascii="宋体" w:hAnsi="宋体" w:eastAsia="宋体" w:cs="宋体"/>
                <w:color w:val="000000"/>
                <w:kern w:val="0"/>
                <w:sz w:val="18"/>
                <w:szCs w:val="18"/>
                <w:lang w:bidi="ar"/>
              </w:rPr>
              <w:t>　</w:t>
            </w: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rPr>
            </w:pP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30</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rPr>
            </w:pP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61</w:t>
            </w:r>
          </w:p>
        </w:tc>
        <w:tc>
          <w:tcPr>
            <w:tcW w:w="1604"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bidi="ar"/>
              </w:rPr>
              <w:t>　</w:t>
            </w: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widowControl/>
              <w:textAlignment w:val="center"/>
              <w:rPr>
                <w:rFonts w:ascii="宋体" w:hAnsi="宋体" w:eastAsia="宋体" w:cs="宋体"/>
                <w:b/>
                <w:color w:val="000000"/>
                <w:sz w:val="15"/>
                <w:szCs w:val="16"/>
              </w:rPr>
            </w:pPr>
            <w:r>
              <w:rPr>
                <w:rFonts w:hint="eastAsia" w:ascii="宋体" w:hAnsi="宋体" w:eastAsia="宋体" w:cs="宋体"/>
                <w:b/>
                <w:color w:val="000000"/>
                <w:kern w:val="0"/>
                <w:sz w:val="15"/>
                <w:szCs w:val="16"/>
                <w:lang w:bidi="ar"/>
              </w:rPr>
              <w:t>总计</w:t>
            </w:r>
          </w:p>
        </w:tc>
        <w:tc>
          <w:tcPr>
            <w:tcW w:w="425" w:type="dxa"/>
            <w:gridSpan w:val="2"/>
            <w:tcBorders>
              <w:bottom w:val="single" w:color="000000" w:sz="18"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31</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r>
              <w:rPr>
                <w:rFonts w:hint="eastAsia" w:ascii="仿宋" w:hAnsi="仿宋" w:eastAsia="仿宋" w:cs="宋体"/>
                <w:color w:val="000000"/>
                <w:kern w:val="0"/>
                <w:sz w:val="20"/>
                <w:szCs w:val="20"/>
                <w:lang w:bidi="ar"/>
              </w:rPr>
              <w:t>15900.03</w:t>
            </w:r>
          </w:p>
        </w:tc>
        <w:tc>
          <w:tcPr>
            <w:tcW w:w="2665" w:type="dxa"/>
            <w:tcBorders>
              <w:bottom w:val="single" w:color="000000" w:sz="4" w:space="0"/>
              <w:right w:val="single" w:color="000000" w:sz="4" w:space="0"/>
            </w:tcBorders>
            <w:shd w:val="clear" w:color="auto" w:fill="FFFFFF"/>
            <w:vAlign w:val="center"/>
          </w:tcPr>
          <w:p>
            <w:pPr>
              <w:widowControl/>
              <w:textAlignment w:val="center"/>
              <w:rPr>
                <w:rFonts w:ascii="宋体" w:hAnsi="宋体" w:eastAsia="宋体" w:cs="宋体"/>
                <w:b/>
                <w:color w:val="000000"/>
                <w:sz w:val="15"/>
                <w:szCs w:val="16"/>
              </w:rPr>
            </w:pPr>
            <w:r>
              <w:rPr>
                <w:rFonts w:hint="eastAsia" w:ascii="宋体" w:hAnsi="宋体" w:eastAsia="宋体" w:cs="宋体"/>
                <w:b/>
                <w:color w:val="000000"/>
                <w:kern w:val="0"/>
                <w:sz w:val="15"/>
                <w:szCs w:val="16"/>
                <w:lang w:bidi="ar"/>
              </w:rPr>
              <w:t>总计</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62</w:t>
            </w:r>
          </w:p>
        </w:tc>
        <w:tc>
          <w:tcPr>
            <w:tcW w:w="1604"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kern w:val="2"/>
                <w:sz w:val="18"/>
                <w:szCs w:val="18"/>
                <w:lang w:val="en-US" w:eastAsia="zh-CN" w:bidi="ar-SA"/>
              </w:rPr>
            </w:pPr>
            <w:r>
              <w:rPr>
                <w:rFonts w:hint="eastAsia" w:ascii="仿宋" w:hAnsi="仿宋" w:eastAsia="仿宋" w:cs="宋体"/>
                <w:color w:val="000000"/>
                <w:kern w:val="0"/>
                <w:sz w:val="20"/>
                <w:szCs w:val="20"/>
                <w:lang w:bidi="ar"/>
              </w:rPr>
              <w:t>15900.03</w:t>
            </w:r>
            <w:r>
              <w:rPr>
                <w:rFonts w:hint="eastAsia" w:ascii="宋体" w:hAnsi="宋体" w:eastAsia="宋体" w:cs="宋体"/>
                <w:color w:val="000000"/>
                <w:kern w:val="0"/>
                <w:sz w:val="18"/>
                <w:szCs w:val="18"/>
                <w:lang w:bidi="ar"/>
              </w:rPr>
              <w:t>　</w:t>
            </w:r>
          </w:p>
        </w:tc>
      </w:tr>
      <w:tr>
        <w:tblPrEx>
          <w:tblCellMar>
            <w:top w:w="15" w:type="dxa"/>
            <w:left w:w="15" w:type="dxa"/>
            <w:bottom w:w="15" w:type="dxa"/>
            <w:right w:w="15" w:type="dxa"/>
          </w:tblCellMar>
        </w:tblPrEx>
        <w:trPr>
          <w:trHeight w:val="340" w:hRule="exact"/>
        </w:trPr>
        <w:tc>
          <w:tcPr>
            <w:tcW w:w="9252" w:type="dxa"/>
            <w:gridSpan w:val="8"/>
            <w:shd w:val="clear" w:color="auto" w:fill="FFFFFF"/>
            <w:vAlign w:val="center"/>
          </w:tcPr>
          <w:p>
            <w:pPr>
              <w:widowControl/>
              <w:jc w:val="left"/>
              <w:textAlignment w:val="center"/>
              <w:rPr>
                <w:rFonts w:ascii="宋体" w:hAnsi="宋体" w:eastAsia="宋体" w:cs="宋体"/>
                <w:color w:val="000000"/>
                <w:sz w:val="15"/>
                <w:szCs w:val="16"/>
                <w:highlight w:val="none"/>
              </w:rPr>
            </w:pPr>
            <w:r>
              <w:rPr>
                <w:rFonts w:hint="eastAsia" w:ascii="宋体" w:hAnsi="宋体" w:eastAsia="宋体" w:cs="宋体"/>
                <w:color w:val="000000"/>
                <w:kern w:val="0"/>
                <w:sz w:val="15"/>
                <w:szCs w:val="16"/>
                <w:highlight w:val="none"/>
                <w:lang w:bidi="ar"/>
              </w:rPr>
              <w:t>注：本表反映部门（或单位）本年度的总收支和年末结转结余情况。本套报表金额单位转换时可能存在尾数误差。</w:t>
            </w:r>
          </w:p>
        </w:tc>
      </w:tr>
    </w:tbl>
    <w:p>
      <w:pPr>
        <w:tabs>
          <w:tab w:val="left" w:pos="459"/>
        </w:tabs>
        <w:bidi w:val="0"/>
        <w:jc w:val="left"/>
        <w:rPr>
          <w:rFonts w:hint="eastAsia"/>
          <w:lang w:val="en-US" w:eastAsia="zh-CN"/>
        </w:rPr>
        <w:sectPr>
          <w:pgSz w:w="11906" w:h="16838"/>
          <w:pgMar w:top="2098" w:right="1531" w:bottom="1984" w:left="1531" w:header="851" w:footer="992" w:gutter="0"/>
          <w:pgNumType w:fmt="numberInDash"/>
          <w:cols w:space="0" w:num="1"/>
          <w:titlePg/>
          <w:docGrid w:type="lines" w:linePitch="312" w:charSpace="0"/>
        </w:sectPr>
      </w:pPr>
    </w:p>
    <w:tbl>
      <w:tblPr>
        <w:tblStyle w:val="5"/>
        <w:tblW w:w="0" w:type="auto"/>
        <w:jc w:val="center"/>
        <w:tblLayout w:type="fixed"/>
        <w:tblCellMar>
          <w:top w:w="0" w:type="dxa"/>
          <w:left w:w="108" w:type="dxa"/>
          <w:bottom w:w="0" w:type="dxa"/>
          <w:right w:w="108" w:type="dxa"/>
        </w:tblCellMar>
      </w:tblPr>
      <w:tblGrid>
        <w:gridCol w:w="299"/>
        <w:gridCol w:w="283"/>
        <w:gridCol w:w="426"/>
        <w:gridCol w:w="1984"/>
        <w:gridCol w:w="1418"/>
        <w:gridCol w:w="1417"/>
        <w:gridCol w:w="567"/>
        <w:gridCol w:w="567"/>
        <w:gridCol w:w="567"/>
        <w:gridCol w:w="567"/>
        <w:gridCol w:w="709"/>
      </w:tblGrid>
      <w:tr>
        <w:tblPrEx>
          <w:tblCellMar>
            <w:top w:w="0" w:type="dxa"/>
            <w:left w:w="108" w:type="dxa"/>
            <w:bottom w:w="0" w:type="dxa"/>
            <w:right w:w="108" w:type="dxa"/>
          </w:tblCellMar>
        </w:tblPrEx>
        <w:trPr>
          <w:trHeight w:val="390" w:hRule="atLeast"/>
          <w:jc w:val="center"/>
        </w:trPr>
        <w:tc>
          <w:tcPr>
            <w:tcW w:w="8804" w:type="dxa"/>
            <w:gridSpan w:val="11"/>
            <w:tcBorders>
              <w:top w:val="nil"/>
              <w:left w:val="nil"/>
              <w:bottom w:val="nil"/>
              <w:right w:val="nil"/>
            </w:tcBorders>
            <w:shd w:val="clear" w:color="auto" w:fill="auto"/>
            <w:noWrap/>
            <w:vAlign w:val="bottom"/>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收入决算表</w:t>
            </w:r>
          </w:p>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 xml:space="preserve">                                       公开02表</w:t>
            </w:r>
          </w:p>
          <w:p>
            <w:pPr>
              <w:widowControl/>
              <w:ind w:right="840"/>
              <w:rPr>
                <w:rFonts w:ascii="仿宋" w:hAnsi="仿宋" w:eastAsia="仿宋" w:cs="Arial"/>
                <w:color w:val="000000"/>
                <w:kern w:val="0"/>
                <w:sz w:val="24"/>
              </w:rPr>
            </w:pPr>
            <w:r>
              <w:rPr>
                <w:rFonts w:ascii="仿宋" w:hAnsi="仿宋" w:eastAsia="仿宋" w:cs="Arial"/>
                <w:color w:val="000000"/>
                <w:kern w:val="0"/>
                <w:sz w:val="24"/>
              </w:rPr>
              <w:t>部门</w:t>
            </w:r>
            <w:r>
              <w:rPr>
                <w:rFonts w:hint="eastAsia" w:ascii="仿宋" w:hAnsi="仿宋" w:eastAsia="仿宋" w:cs="Arial"/>
                <w:color w:val="000000"/>
                <w:kern w:val="0"/>
                <w:sz w:val="24"/>
              </w:rPr>
              <w:t xml:space="preserve">：保定市自然资源和规划局满城区分局  </w:t>
            </w:r>
            <w:r>
              <w:rPr>
                <w:rFonts w:hint="eastAsia" w:ascii="仿宋" w:hAnsi="仿宋" w:eastAsia="仿宋" w:cs="Arial"/>
                <w:color w:val="000000"/>
                <w:kern w:val="0"/>
                <w:sz w:val="24"/>
                <w:lang w:val="en-US" w:eastAsia="zh-CN"/>
              </w:rPr>
              <w:t xml:space="preserve">          </w:t>
            </w:r>
            <w:r>
              <w:rPr>
                <w:rFonts w:hint="eastAsia" w:ascii="仿宋" w:hAnsi="仿宋" w:eastAsia="仿宋" w:cs="Arial"/>
                <w:color w:val="000000"/>
                <w:kern w:val="0"/>
                <w:sz w:val="24"/>
              </w:rPr>
              <w:t xml:space="preserve"> 单位金额：万元</w:t>
            </w:r>
          </w:p>
        </w:tc>
      </w:tr>
      <w:tr>
        <w:tblPrEx>
          <w:tblCellMar>
            <w:top w:w="0" w:type="dxa"/>
            <w:left w:w="108" w:type="dxa"/>
            <w:bottom w:w="0" w:type="dxa"/>
            <w:right w:w="108" w:type="dxa"/>
          </w:tblCellMar>
        </w:tblPrEx>
        <w:trPr>
          <w:trHeight w:val="312" w:hRule="atLeast"/>
          <w:jc w:val="center"/>
        </w:trPr>
        <w:tc>
          <w:tcPr>
            <w:tcW w:w="1008" w:type="dxa"/>
            <w:gridSpan w:val="3"/>
            <w:vMerge w:val="restart"/>
            <w:tcBorders>
              <w:top w:val="single" w:color="000000" w:sz="4" w:space="0"/>
              <w:left w:val="single" w:color="000000" w:sz="4" w:space="0"/>
              <w:bottom w:val="single" w:color="000000" w:sz="4" w:space="0"/>
              <w:right w:val="single" w:color="000000" w:sz="4" w:space="0"/>
            </w:tcBorders>
            <w:shd w:val="clear" w:color="FFFFFF" w:fill="C0C0C0"/>
            <w:noWrap/>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科目编码</w:t>
            </w:r>
          </w:p>
        </w:tc>
        <w:tc>
          <w:tcPr>
            <w:tcW w:w="1984" w:type="dxa"/>
            <w:vMerge w:val="restart"/>
            <w:tcBorders>
              <w:top w:val="single" w:color="000000" w:sz="4" w:space="0"/>
              <w:left w:val="nil"/>
              <w:bottom w:val="single" w:color="000000" w:sz="4" w:space="0"/>
              <w:right w:val="single" w:color="000000" w:sz="4" w:space="0"/>
            </w:tcBorders>
            <w:shd w:val="clear" w:color="FFFFFF" w:fill="C0C0C0"/>
            <w:noWrap/>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科目名称</w:t>
            </w:r>
          </w:p>
        </w:tc>
        <w:tc>
          <w:tcPr>
            <w:tcW w:w="1418" w:type="dxa"/>
            <w:vMerge w:val="restart"/>
            <w:tcBorders>
              <w:top w:val="single" w:color="000000" w:sz="4" w:space="0"/>
              <w:left w:val="nil"/>
              <w:bottom w:val="single" w:color="000000" w:sz="4" w:space="0"/>
              <w:right w:val="single" w:color="000000" w:sz="4" w:space="0"/>
            </w:tcBorders>
            <w:shd w:val="clear" w:color="FFFFFF" w:fill="C0C0C0"/>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本年收入合计</w:t>
            </w:r>
          </w:p>
        </w:tc>
        <w:tc>
          <w:tcPr>
            <w:tcW w:w="1417" w:type="dxa"/>
            <w:vMerge w:val="restart"/>
            <w:tcBorders>
              <w:top w:val="single" w:color="000000" w:sz="4" w:space="0"/>
              <w:left w:val="nil"/>
              <w:bottom w:val="single" w:color="000000" w:sz="4" w:space="0"/>
              <w:right w:val="single" w:color="000000" w:sz="4" w:space="0"/>
            </w:tcBorders>
            <w:shd w:val="clear" w:color="FFFFFF" w:fill="C0C0C0"/>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财政拨款收入</w:t>
            </w:r>
          </w:p>
        </w:tc>
        <w:tc>
          <w:tcPr>
            <w:tcW w:w="567" w:type="dxa"/>
            <w:vMerge w:val="restart"/>
            <w:tcBorders>
              <w:top w:val="single" w:color="000000" w:sz="4" w:space="0"/>
              <w:left w:val="nil"/>
              <w:bottom w:val="single" w:color="000000" w:sz="4" w:space="0"/>
              <w:right w:val="single" w:color="000000" w:sz="4" w:space="0"/>
            </w:tcBorders>
            <w:shd w:val="clear" w:color="FFFFFF" w:fill="C0C0C0"/>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上级补助收入</w:t>
            </w:r>
          </w:p>
        </w:tc>
        <w:tc>
          <w:tcPr>
            <w:tcW w:w="567" w:type="dxa"/>
            <w:vMerge w:val="restart"/>
            <w:tcBorders>
              <w:top w:val="single" w:color="000000" w:sz="4" w:space="0"/>
              <w:left w:val="nil"/>
              <w:bottom w:val="single" w:color="000000" w:sz="4" w:space="0"/>
              <w:right w:val="single" w:color="000000" w:sz="4" w:space="0"/>
            </w:tcBorders>
            <w:shd w:val="clear" w:color="FFFFFF" w:fill="C0C0C0"/>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事业收入</w:t>
            </w:r>
          </w:p>
        </w:tc>
        <w:tc>
          <w:tcPr>
            <w:tcW w:w="567" w:type="dxa"/>
            <w:vMerge w:val="restart"/>
            <w:tcBorders>
              <w:top w:val="single" w:color="000000" w:sz="4" w:space="0"/>
              <w:left w:val="nil"/>
              <w:bottom w:val="single" w:color="000000" w:sz="4" w:space="0"/>
              <w:right w:val="single" w:color="000000" w:sz="4" w:space="0"/>
            </w:tcBorders>
            <w:shd w:val="clear" w:color="FFFFFF" w:fill="C0C0C0"/>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经营收入</w:t>
            </w:r>
          </w:p>
        </w:tc>
        <w:tc>
          <w:tcPr>
            <w:tcW w:w="567" w:type="dxa"/>
            <w:vMerge w:val="restart"/>
            <w:tcBorders>
              <w:top w:val="single" w:color="000000" w:sz="4" w:space="0"/>
              <w:left w:val="nil"/>
              <w:bottom w:val="single" w:color="000000" w:sz="4" w:space="0"/>
              <w:right w:val="single" w:color="000000" w:sz="4" w:space="0"/>
            </w:tcBorders>
            <w:shd w:val="clear" w:color="FFFFFF" w:fill="C0C0C0"/>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附属单位上缴收入</w:t>
            </w:r>
          </w:p>
        </w:tc>
        <w:tc>
          <w:tcPr>
            <w:tcW w:w="709" w:type="dxa"/>
            <w:vMerge w:val="restart"/>
            <w:tcBorders>
              <w:top w:val="single" w:color="000000" w:sz="4" w:space="0"/>
              <w:left w:val="nil"/>
              <w:bottom w:val="single" w:color="000000" w:sz="4" w:space="0"/>
              <w:right w:val="single" w:color="000000" w:sz="4" w:space="0"/>
            </w:tcBorders>
            <w:shd w:val="clear" w:color="FFFFFF" w:fill="C0C0C0"/>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其他收入</w:t>
            </w:r>
          </w:p>
        </w:tc>
      </w:tr>
      <w:tr>
        <w:tblPrEx>
          <w:tblCellMar>
            <w:top w:w="0" w:type="dxa"/>
            <w:left w:w="108" w:type="dxa"/>
            <w:bottom w:w="0" w:type="dxa"/>
            <w:right w:w="108" w:type="dxa"/>
          </w:tblCellMar>
        </w:tblPrEx>
        <w:trPr>
          <w:trHeight w:val="312" w:hRule="atLeast"/>
          <w:jc w:val="center"/>
        </w:trPr>
        <w:tc>
          <w:tcPr>
            <w:tcW w:w="1008" w:type="dxa"/>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1984"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1418"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1417"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567"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567"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567"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567"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709"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r>
      <w:tr>
        <w:tblPrEx>
          <w:tblCellMar>
            <w:top w:w="0" w:type="dxa"/>
            <w:left w:w="108" w:type="dxa"/>
            <w:bottom w:w="0" w:type="dxa"/>
            <w:right w:w="108" w:type="dxa"/>
          </w:tblCellMar>
        </w:tblPrEx>
        <w:trPr>
          <w:trHeight w:val="312" w:hRule="atLeast"/>
          <w:jc w:val="center"/>
        </w:trPr>
        <w:tc>
          <w:tcPr>
            <w:tcW w:w="1008" w:type="dxa"/>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1984"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1418"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1417"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567"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567"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567"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567"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709"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r>
      <w:tr>
        <w:tblPrEx>
          <w:tblCellMar>
            <w:top w:w="0" w:type="dxa"/>
            <w:left w:w="108" w:type="dxa"/>
            <w:bottom w:w="0" w:type="dxa"/>
            <w:right w:w="108" w:type="dxa"/>
          </w:tblCellMar>
        </w:tblPrEx>
        <w:trPr>
          <w:trHeight w:val="1158" w:hRule="atLeast"/>
          <w:jc w:val="center"/>
        </w:trPr>
        <w:tc>
          <w:tcPr>
            <w:tcW w:w="1008" w:type="dxa"/>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1984"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1418"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1417"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567"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567"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567"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567"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709"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299" w:type="dxa"/>
            <w:vMerge w:val="restart"/>
            <w:tcBorders>
              <w:top w:val="nil"/>
              <w:left w:val="single" w:color="000000" w:sz="4" w:space="0"/>
              <w:bottom w:val="single" w:color="000000" w:sz="4" w:space="0"/>
              <w:right w:val="single" w:color="000000" w:sz="4" w:space="0"/>
            </w:tcBorders>
            <w:shd w:val="clear" w:color="FFFFFF" w:fill="C0C0C0"/>
            <w:noWrap/>
            <w:vAlign w:val="center"/>
          </w:tcPr>
          <w:p>
            <w:pPr>
              <w:widowControl/>
              <w:rPr>
                <w:rFonts w:ascii="仿宋" w:hAnsi="仿宋" w:eastAsia="仿宋" w:cs="Arial"/>
                <w:color w:val="000000"/>
                <w:kern w:val="0"/>
                <w:sz w:val="24"/>
              </w:rPr>
            </w:pPr>
            <w:r>
              <w:rPr>
                <w:rFonts w:hint="eastAsia" w:ascii="仿宋" w:hAnsi="仿宋" w:eastAsia="仿宋" w:cs="Arial"/>
                <w:color w:val="000000"/>
                <w:kern w:val="0"/>
                <w:sz w:val="24"/>
              </w:rPr>
              <w:t>类</w:t>
            </w:r>
          </w:p>
        </w:tc>
        <w:tc>
          <w:tcPr>
            <w:tcW w:w="283" w:type="dxa"/>
            <w:vMerge w:val="restart"/>
            <w:tcBorders>
              <w:top w:val="nil"/>
              <w:left w:val="nil"/>
              <w:bottom w:val="single" w:color="000000" w:sz="4" w:space="0"/>
              <w:right w:val="single" w:color="000000" w:sz="4" w:space="0"/>
            </w:tcBorders>
            <w:shd w:val="clear" w:color="FFFFFF" w:fill="C0C0C0"/>
            <w:noWrap/>
            <w:vAlign w:val="center"/>
          </w:tcPr>
          <w:p>
            <w:pPr>
              <w:widowControl/>
              <w:rPr>
                <w:rFonts w:ascii="仿宋" w:hAnsi="仿宋" w:eastAsia="仿宋" w:cs="Arial"/>
                <w:color w:val="000000"/>
                <w:kern w:val="0"/>
                <w:sz w:val="24"/>
              </w:rPr>
            </w:pPr>
            <w:r>
              <w:rPr>
                <w:rFonts w:hint="eastAsia" w:ascii="仿宋" w:hAnsi="仿宋" w:eastAsia="仿宋" w:cs="Arial"/>
                <w:color w:val="000000"/>
                <w:kern w:val="0"/>
                <w:sz w:val="24"/>
              </w:rPr>
              <w:t>款</w:t>
            </w:r>
          </w:p>
        </w:tc>
        <w:tc>
          <w:tcPr>
            <w:tcW w:w="426" w:type="dxa"/>
            <w:vMerge w:val="restart"/>
            <w:tcBorders>
              <w:top w:val="nil"/>
              <w:left w:val="nil"/>
              <w:bottom w:val="single" w:color="000000" w:sz="4" w:space="0"/>
              <w:right w:val="single" w:color="000000" w:sz="4" w:space="0"/>
            </w:tcBorders>
            <w:shd w:val="clear" w:color="FFFFFF" w:fill="C0C0C0"/>
            <w:noWrap/>
            <w:vAlign w:val="center"/>
          </w:tcPr>
          <w:p>
            <w:pPr>
              <w:widowControl/>
              <w:rPr>
                <w:rFonts w:ascii="仿宋" w:hAnsi="仿宋" w:eastAsia="仿宋" w:cs="Arial"/>
                <w:color w:val="000000"/>
                <w:kern w:val="0"/>
                <w:sz w:val="24"/>
              </w:rPr>
            </w:pPr>
            <w:r>
              <w:rPr>
                <w:rFonts w:hint="eastAsia" w:ascii="仿宋" w:hAnsi="仿宋" w:eastAsia="仿宋" w:cs="Arial"/>
                <w:color w:val="000000"/>
                <w:kern w:val="0"/>
                <w:sz w:val="24"/>
              </w:rPr>
              <w:t>项</w:t>
            </w:r>
          </w:p>
        </w:tc>
        <w:tc>
          <w:tcPr>
            <w:tcW w:w="1984" w:type="dxa"/>
            <w:tcBorders>
              <w:top w:val="nil"/>
              <w:left w:val="nil"/>
              <w:bottom w:val="single" w:color="000000" w:sz="4" w:space="0"/>
              <w:right w:val="single" w:color="000000" w:sz="4" w:space="0"/>
            </w:tcBorders>
            <w:shd w:val="clear" w:color="FFFFFF" w:fill="C0C0C0"/>
            <w:noWrap/>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栏次</w:t>
            </w:r>
          </w:p>
        </w:tc>
        <w:tc>
          <w:tcPr>
            <w:tcW w:w="1418" w:type="dxa"/>
            <w:tcBorders>
              <w:top w:val="nil"/>
              <w:left w:val="nil"/>
              <w:bottom w:val="single" w:color="000000" w:sz="4" w:space="0"/>
              <w:right w:val="single" w:color="000000" w:sz="4" w:space="0"/>
            </w:tcBorders>
            <w:shd w:val="clear" w:color="FFFFFF" w:fill="C0C0C0"/>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1</w:t>
            </w:r>
          </w:p>
        </w:tc>
        <w:tc>
          <w:tcPr>
            <w:tcW w:w="1417" w:type="dxa"/>
            <w:tcBorders>
              <w:top w:val="nil"/>
              <w:left w:val="nil"/>
              <w:bottom w:val="single" w:color="000000" w:sz="4" w:space="0"/>
              <w:right w:val="single" w:color="000000" w:sz="4" w:space="0"/>
            </w:tcBorders>
            <w:shd w:val="clear" w:color="FFFFFF" w:fill="C0C0C0"/>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2</w:t>
            </w:r>
          </w:p>
        </w:tc>
        <w:tc>
          <w:tcPr>
            <w:tcW w:w="567" w:type="dxa"/>
            <w:tcBorders>
              <w:top w:val="nil"/>
              <w:left w:val="nil"/>
              <w:bottom w:val="single" w:color="000000" w:sz="4" w:space="0"/>
              <w:right w:val="single" w:color="000000" w:sz="4" w:space="0"/>
            </w:tcBorders>
            <w:shd w:val="clear" w:color="FFFFFF" w:fill="C0C0C0"/>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3</w:t>
            </w:r>
          </w:p>
        </w:tc>
        <w:tc>
          <w:tcPr>
            <w:tcW w:w="567" w:type="dxa"/>
            <w:tcBorders>
              <w:top w:val="nil"/>
              <w:left w:val="nil"/>
              <w:bottom w:val="single" w:color="000000" w:sz="4" w:space="0"/>
              <w:right w:val="single" w:color="000000" w:sz="4" w:space="0"/>
            </w:tcBorders>
            <w:shd w:val="clear" w:color="FFFFFF" w:fill="C0C0C0"/>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4</w:t>
            </w:r>
          </w:p>
        </w:tc>
        <w:tc>
          <w:tcPr>
            <w:tcW w:w="567" w:type="dxa"/>
            <w:tcBorders>
              <w:top w:val="nil"/>
              <w:left w:val="nil"/>
              <w:bottom w:val="single" w:color="000000" w:sz="4" w:space="0"/>
              <w:right w:val="single" w:color="000000" w:sz="4" w:space="0"/>
            </w:tcBorders>
            <w:shd w:val="clear" w:color="FFFFFF" w:fill="C0C0C0"/>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5</w:t>
            </w:r>
          </w:p>
        </w:tc>
        <w:tc>
          <w:tcPr>
            <w:tcW w:w="567" w:type="dxa"/>
            <w:tcBorders>
              <w:top w:val="nil"/>
              <w:left w:val="nil"/>
              <w:bottom w:val="single" w:color="000000" w:sz="4" w:space="0"/>
              <w:right w:val="single" w:color="000000" w:sz="4" w:space="0"/>
            </w:tcBorders>
            <w:shd w:val="clear" w:color="FFFFFF" w:fill="C0C0C0"/>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6</w:t>
            </w:r>
          </w:p>
        </w:tc>
        <w:tc>
          <w:tcPr>
            <w:tcW w:w="709" w:type="dxa"/>
            <w:tcBorders>
              <w:top w:val="nil"/>
              <w:left w:val="nil"/>
              <w:bottom w:val="single" w:color="000000" w:sz="4" w:space="0"/>
              <w:right w:val="single" w:color="000000" w:sz="4" w:space="0"/>
            </w:tcBorders>
            <w:shd w:val="clear" w:color="FFFFFF" w:fill="C0C0C0"/>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7</w:t>
            </w:r>
          </w:p>
        </w:tc>
      </w:tr>
      <w:tr>
        <w:tblPrEx>
          <w:tblCellMar>
            <w:top w:w="0" w:type="dxa"/>
            <w:left w:w="108" w:type="dxa"/>
            <w:bottom w:w="0" w:type="dxa"/>
            <w:right w:w="108" w:type="dxa"/>
          </w:tblCellMar>
        </w:tblPrEx>
        <w:trPr>
          <w:trHeight w:val="308" w:hRule="atLeast"/>
          <w:jc w:val="center"/>
        </w:trPr>
        <w:tc>
          <w:tcPr>
            <w:tcW w:w="299" w:type="dxa"/>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283"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426"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1984" w:type="dxa"/>
            <w:tcBorders>
              <w:top w:val="nil"/>
              <w:left w:val="nil"/>
              <w:bottom w:val="single" w:color="000000" w:sz="4" w:space="0"/>
              <w:right w:val="single" w:color="000000" w:sz="4" w:space="0"/>
            </w:tcBorders>
            <w:shd w:val="clear" w:color="FFFFFF" w:fill="C0C0C0"/>
            <w:noWrap/>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合计</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bCs/>
                <w:color w:val="000000"/>
                <w:kern w:val="0"/>
                <w:sz w:val="24"/>
              </w:rPr>
            </w:pPr>
            <w:r>
              <w:rPr>
                <w:rFonts w:hint="eastAsia" w:ascii="仿宋" w:hAnsi="仿宋" w:eastAsia="仿宋" w:cs="Arial"/>
                <w:bCs/>
                <w:color w:val="000000"/>
                <w:kern w:val="0"/>
                <w:sz w:val="24"/>
              </w:rPr>
              <w:t>15900.03</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bCs/>
                <w:color w:val="000000"/>
                <w:kern w:val="0"/>
                <w:sz w:val="24"/>
              </w:rPr>
            </w:pPr>
            <w:r>
              <w:rPr>
                <w:rFonts w:hint="eastAsia" w:ascii="仿宋" w:hAnsi="仿宋" w:eastAsia="仿宋" w:cs="Arial"/>
                <w:bCs/>
                <w:color w:val="000000"/>
                <w:kern w:val="0"/>
                <w:sz w:val="24"/>
              </w:rPr>
              <w:t>15900.03</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b/>
                <w:bCs/>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b/>
                <w:bCs/>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b/>
                <w:bCs/>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b/>
                <w:bCs/>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b/>
                <w:bCs/>
                <w:color w:val="000000"/>
                <w:kern w:val="0"/>
                <w:sz w:val="24"/>
              </w:rPr>
            </w:pPr>
          </w:p>
        </w:tc>
      </w:tr>
      <w:tr>
        <w:tblPrEx>
          <w:tblCellMar>
            <w:top w:w="0" w:type="dxa"/>
            <w:left w:w="108" w:type="dxa"/>
            <w:bottom w:w="0" w:type="dxa"/>
            <w:right w:w="108" w:type="dxa"/>
          </w:tblCellMar>
        </w:tblPrEx>
        <w:trPr>
          <w:trHeight w:val="500"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208</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社会保障和就业支出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480.27</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480.27</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20805</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行政事业单位养老支出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480.27</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480.27</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2080501</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行政单位离退休</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11.88</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11.88</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2080505</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机关事业单位基本养老保险缴费支出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323.33</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323.33</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2080506</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机关事业单位职业年金缴费支出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145.06</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145.06</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210</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卫生健康支出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123.03</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123.03</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21011</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行政事业单位医疗</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123.03</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123.03</w:t>
            </w:r>
          </w:p>
        </w:tc>
        <w:tc>
          <w:tcPr>
            <w:tcW w:w="567" w:type="dxa"/>
            <w:tcBorders>
              <w:top w:val="nil"/>
              <w:left w:val="nil"/>
              <w:bottom w:val="single" w:color="000000" w:sz="4" w:space="0"/>
              <w:right w:val="single" w:color="000000" w:sz="4" w:space="0"/>
            </w:tcBorders>
            <w:shd w:val="clear" w:color="auto" w:fill="auto"/>
            <w:noWrap/>
            <w:vAlign w:val="center"/>
          </w:tcPr>
          <w:p>
            <w:pPr>
              <w:widowControl/>
              <w:ind w:right="240"/>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2101101</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行政单位医疗</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12.70</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12.70</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2101102</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事业单位医疗</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110.33</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110.33</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211</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节能环保支出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24.70</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24.70</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21105</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天然林保护</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9.44</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9.44</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2110507</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停伐补助</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9.44</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9.44</w:t>
            </w:r>
          </w:p>
        </w:tc>
        <w:tc>
          <w:tcPr>
            <w:tcW w:w="567" w:type="dxa"/>
            <w:tcBorders>
              <w:top w:val="nil"/>
              <w:left w:val="nil"/>
              <w:bottom w:val="single" w:color="000000" w:sz="4" w:space="0"/>
              <w:right w:val="single" w:color="000000" w:sz="4" w:space="0"/>
            </w:tcBorders>
            <w:shd w:val="clear" w:color="auto" w:fill="auto"/>
            <w:noWrap/>
            <w:vAlign w:val="center"/>
          </w:tcPr>
          <w:p>
            <w:pPr>
              <w:widowControl/>
              <w:ind w:right="240"/>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21106</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退耕还林还草</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15.26</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15.26</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2110602</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退耕现金</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15.26</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15.26</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212</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城乡社区支出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7056.48</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7056.48</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21208</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国有土地使用权出让收入安排的支出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6899.04</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6899.04</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ind w:right="240"/>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2120801</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征地和拆迁补偿支出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5246.08</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5246.08</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2120802</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土地开发支出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1652.96</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1652.962</w:t>
            </w:r>
          </w:p>
        </w:tc>
        <w:tc>
          <w:tcPr>
            <w:tcW w:w="567" w:type="dxa"/>
            <w:tcBorders>
              <w:top w:val="nil"/>
              <w:left w:val="nil"/>
              <w:bottom w:val="single" w:color="000000" w:sz="4" w:space="0"/>
              <w:right w:val="single" w:color="000000" w:sz="4" w:space="0"/>
            </w:tcBorders>
            <w:shd w:val="clear" w:color="auto" w:fill="auto"/>
            <w:noWrap/>
            <w:vAlign w:val="center"/>
          </w:tcPr>
          <w:p>
            <w:pPr>
              <w:widowControl/>
              <w:ind w:right="240"/>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21210</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国有土地收益基金安排的支出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157.44</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157.44</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2121002</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土地开发支出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157.44</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157.44</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213</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农林水支出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2050.86</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2050.86</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ind w:right="240"/>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21301</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农业农村</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5.60</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5.60</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2130125</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农产品加工与促销</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5.60</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5.60</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21302</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林业和草原</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2045.26</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2045.26</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2130205</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森林资源培育</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1840.35</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1840.35</w:t>
            </w:r>
          </w:p>
        </w:tc>
        <w:tc>
          <w:tcPr>
            <w:tcW w:w="567" w:type="dxa"/>
            <w:tcBorders>
              <w:top w:val="nil"/>
              <w:left w:val="nil"/>
              <w:bottom w:val="single" w:color="000000" w:sz="4" w:space="0"/>
              <w:right w:val="single" w:color="000000" w:sz="4" w:space="0"/>
            </w:tcBorders>
            <w:shd w:val="clear" w:color="auto" w:fill="auto"/>
            <w:noWrap/>
            <w:vAlign w:val="center"/>
          </w:tcPr>
          <w:p>
            <w:pPr>
              <w:widowControl/>
              <w:ind w:right="240"/>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ind w:right="240"/>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2130206</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技术推广与转化</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70.00</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70.00</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2130209</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森林生态效益补偿</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16.74</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16.74</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2130211</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动植物保护</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23.29</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23.29</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2130234</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林业草原防灾减灾</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59.89</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59.89</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ind w:right="240"/>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2130299</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其他林业和草原支出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35.00</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35.00</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ind w:right="240"/>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220</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自然资源海洋气象等支出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5948.87</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5948.87</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22001</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自然资源事务</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5646.87</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5646.87</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2200101</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行政运行</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334.19</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334.19</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ind w:right="240"/>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2200104</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自然资源规划及管理</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363.39</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363.39</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ind w:right="240"/>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2200106</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自然资源利用与保护</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103.62</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103.62</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2200108</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自然资源行业业务管理</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50.00</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50.00</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ind w:right="240"/>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2200109</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自然资源调查与确权登记</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156.30</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156.30</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2200114</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地质勘查与矿产资源管理</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1842.42</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1842.42</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2200150</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事业运行</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1998.39</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1998.39</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2200199</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其他自然资源事务支出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798.56</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798.56</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22099</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其他自然资源海洋气象等支出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302.00</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302.00</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2209901</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其他自然资源海洋气象等支出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302.00</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302.00</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221</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住房保障支出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185.41</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185.41</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ind w:right="240"/>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22102</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住房改革支出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185.41</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185.41</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2210201</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住房公积金</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185.41</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185.41</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224</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灾害防治及应急管理支出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30.41</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30.41</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22402</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消防事务</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17.06</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17.06</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2240204</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消防应急救援</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17.06</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17.06</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22403</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森林消防事务</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13.35</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13.35</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2240304</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森林消防应急救援</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13.35</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13.35</w:t>
            </w: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ind w:right="240"/>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bl>
    <w:p>
      <w:pPr>
        <w:jc w:val="left"/>
      </w:pPr>
    </w:p>
    <w:p/>
    <w:p/>
    <w:p/>
    <w:p/>
    <w:p/>
    <w:p/>
    <w:p/>
    <w:p/>
    <w:p/>
    <w:p/>
    <w:p/>
    <w:p/>
    <w:p/>
    <w:p/>
    <w:p/>
    <w:p/>
    <w:tbl>
      <w:tblPr>
        <w:tblStyle w:val="5"/>
        <w:tblW w:w="9494" w:type="dxa"/>
        <w:jc w:val="center"/>
        <w:tblLayout w:type="fixed"/>
        <w:tblCellMar>
          <w:top w:w="0" w:type="dxa"/>
          <w:left w:w="0" w:type="dxa"/>
          <w:bottom w:w="0" w:type="dxa"/>
          <w:right w:w="0" w:type="dxa"/>
        </w:tblCellMar>
      </w:tblPr>
      <w:tblGrid>
        <w:gridCol w:w="848"/>
        <w:gridCol w:w="101"/>
        <w:gridCol w:w="53"/>
        <w:gridCol w:w="50"/>
        <w:gridCol w:w="1825"/>
        <w:gridCol w:w="1276"/>
        <w:gridCol w:w="1275"/>
        <w:gridCol w:w="1134"/>
        <w:gridCol w:w="993"/>
        <w:gridCol w:w="947"/>
        <w:gridCol w:w="992"/>
      </w:tblGrid>
      <w:tr>
        <w:tblPrEx>
          <w:tblCellMar>
            <w:top w:w="0" w:type="dxa"/>
            <w:left w:w="0" w:type="dxa"/>
            <w:bottom w:w="0" w:type="dxa"/>
            <w:right w:w="0" w:type="dxa"/>
          </w:tblCellMar>
        </w:tblPrEx>
        <w:trPr>
          <w:trHeight w:val="612" w:hRule="atLeast"/>
          <w:jc w:val="center"/>
        </w:trPr>
        <w:tc>
          <w:tcPr>
            <w:tcW w:w="9494" w:type="dxa"/>
            <w:gridSpan w:val="11"/>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仿宋" w:hAnsi="仿宋" w:eastAsia="仿宋" w:cs="黑体"/>
                <w:color w:val="000000"/>
                <w:sz w:val="24"/>
              </w:rPr>
            </w:pPr>
            <w:r>
              <w:rPr>
                <w:rFonts w:hint="eastAsia" w:ascii="仿宋" w:hAnsi="仿宋" w:eastAsia="仿宋" w:cs="黑体"/>
                <w:color w:val="000000"/>
                <w:kern w:val="0"/>
                <w:sz w:val="24"/>
                <w:lang w:bidi="ar"/>
              </w:rPr>
              <w:t>支出决算表</w:t>
            </w:r>
          </w:p>
        </w:tc>
      </w:tr>
      <w:tr>
        <w:tblPrEx>
          <w:tblCellMar>
            <w:top w:w="0" w:type="dxa"/>
            <w:left w:w="0" w:type="dxa"/>
            <w:bottom w:w="0" w:type="dxa"/>
            <w:right w:w="0" w:type="dxa"/>
          </w:tblCellMar>
        </w:tblPrEx>
        <w:trPr>
          <w:trHeight w:val="313" w:hRule="atLeast"/>
          <w:jc w:val="center"/>
        </w:trPr>
        <w:tc>
          <w:tcPr>
            <w:tcW w:w="949" w:type="dxa"/>
            <w:gridSpan w:val="2"/>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1825"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1276"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1275"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1134"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993"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947"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992" w:type="dxa"/>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仿宋" w:hAnsi="仿宋" w:eastAsia="仿宋" w:cs="宋体"/>
                <w:color w:val="000000"/>
                <w:sz w:val="24"/>
              </w:rPr>
            </w:pPr>
            <w:r>
              <w:rPr>
                <w:rFonts w:hint="eastAsia" w:ascii="仿宋" w:hAnsi="仿宋" w:eastAsia="仿宋" w:cs="宋体"/>
                <w:color w:val="000000"/>
                <w:kern w:val="0"/>
                <w:sz w:val="24"/>
                <w:lang w:bidi="ar"/>
              </w:rPr>
              <w:t>公开03表</w:t>
            </w:r>
          </w:p>
        </w:tc>
      </w:tr>
      <w:tr>
        <w:tblPrEx>
          <w:tblCellMar>
            <w:top w:w="0" w:type="dxa"/>
            <w:left w:w="0" w:type="dxa"/>
            <w:bottom w:w="0" w:type="dxa"/>
            <w:right w:w="0" w:type="dxa"/>
          </w:tblCellMar>
        </w:tblPrEx>
        <w:trPr>
          <w:trHeight w:val="313" w:hRule="atLeast"/>
          <w:jc w:val="center"/>
        </w:trPr>
        <w:tc>
          <w:tcPr>
            <w:tcW w:w="949" w:type="dxa"/>
            <w:gridSpan w:val="2"/>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仿宋" w:hAnsi="仿宋" w:eastAsia="仿宋" w:cs="宋体"/>
                <w:color w:val="000000"/>
                <w:sz w:val="24"/>
              </w:rPr>
            </w:pPr>
            <w:r>
              <w:rPr>
                <w:rFonts w:hint="eastAsia" w:ascii="仿宋" w:hAnsi="仿宋" w:eastAsia="仿宋" w:cs="宋体"/>
                <w:color w:val="000000"/>
                <w:kern w:val="0"/>
                <w:sz w:val="24"/>
                <w:lang w:bidi="ar"/>
              </w:rPr>
              <w:t>部门：</w:t>
            </w: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1825"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r>
              <w:rPr>
                <w:rFonts w:hint="eastAsia" w:ascii="仿宋" w:hAnsi="仿宋" w:eastAsia="仿宋" w:cs="Arial"/>
                <w:color w:val="000000"/>
                <w:sz w:val="24"/>
              </w:rPr>
              <w:t>保定市自然资源和规划局满城区分局</w:t>
            </w:r>
          </w:p>
        </w:tc>
        <w:tc>
          <w:tcPr>
            <w:tcW w:w="1276"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1275"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1134"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993"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1939"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仿宋" w:hAnsi="仿宋" w:eastAsia="仿宋" w:cs="宋体"/>
                <w:color w:val="000000"/>
                <w:sz w:val="24"/>
              </w:rPr>
            </w:pPr>
            <w:r>
              <w:rPr>
                <w:rFonts w:hint="eastAsia" w:ascii="仿宋" w:hAnsi="仿宋" w:eastAsia="仿宋" w:cs="宋体"/>
                <w:color w:val="000000"/>
                <w:kern w:val="0"/>
                <w:sz w:val="24"/>
                <w:lang w:bidi="ar"/>
              </w:rPr>
              <w:t>金额单位：万元</w:t>
            </w:r>
          </w:p>
        </w:tc>
      </w:tr>
      <w:tr>
        <w:tblPrEx>
          <w:tblCellMar>
            <w:top w:w="0" w:type="dxa"/>
            <w:left w:w="0" w:type="dxa"/>
            <w:bottom w:w="0" w:type="dxa"/>
            <w:right w:w="0" w:type="dxa"/>
          </w:tblCellMar>
        </w:tblPrEx>
        <w:trPr>
          <w:trHeight w:val="323" w:hRule="atLeast"/>
          <w:jc w:val="center"/>
        </w:trPr>
        <w:tc>
          <w:tcPr>
            <w:tcW w:w="2877"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项目</w:t>
            </w:r>
          </w:p>
        </w:tc>
        <w:tc>
          <w:tcPr>
            <w:tcW w:w="127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本年支出合计</w:t>
            </w:r>
          </w:p>
        </w:tc>
        <w:tc>
          <w:tcPr>
            <w:tcW w:w="127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基本支出</w:t>
            </w:r>
          </w:p>
        </w:tc>
        <w:tc>
          <w:tcPr>
            <w:tcW w:w="113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项目支出</w:t>
            </w:r>
          </w:p>
        </w:tc>
        <w:tc>
          <w:tcPr>
            <w:tcW w:w="99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上缴上级支出</w:t>
            </w:r>
          </w:p>
        </w:tc>
        <w:tc>
          <w:tcPr>
            <w:tcW w:w="947"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经营支出</w:t>
            </w:r>
          </w:p>
        </w:tc>
        <w:tc>
          <w:tcPr>
            <w:tcW w:w="992"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对附属单位补助支出</w:t>
            </w:r>
          </w:p>
        </w:tc>
      </w:tr>
      <w:tr>
        <w:tblPrEx>
          <w:tblCellMar>
            <w:top w:w="0" w:type="dxa"/>
            <w:left w:w="0" w:type="dxa"/>
            <w:bottom w:w="0" w:type="dxa"/>
            <w:right w:w="0" w:type="dxa"/>
          </w:tblCellMar>
        </w:tblPrEx>
        <w:trPr>
          <w:trHeight w:val="319" w:hRule="atLeast"/>
          <w:jc w:val="center"/>
        </w:trPr>
        <w:tc>
          <w:tcPr>
            <w:tcW w:w="84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功能分类科目编码</w:t>
            </w:r>
          </w:p>
        </w:tc>
        <w:tc>
          <w:tcPr>
            <w:tcW w:w="2029" w:type="dxa"/>
            <w:gridSpan w:val="4"/>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科目名称</w:t>
            </w:r>
          </w:p>
        </w:tc>
        <w:tc>
          <w:tcPr>
            <w:tcW w:w="127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27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1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99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94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99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r>
      <w:tr>
        <w:tblPrEx>
          <w:tblCellMar>
            <w:top w:w="0" w:type="dxa"/>
            <w:left w:w="0" w:type="dxa"/>
            <w:bottom w:w="0" w:type="dxa"/>
            <w:right w:w="0" w:type="dxa"/>
          </w:tblCellMar>
        </w:tblPrEx>
        <w:trPr>
          <w:trHeight w:val="319" w:hRule="atLeast"/>
          <w:jc w:val="center"/>
        </w:trPr>
        <w:tc>
          <w:tcPr>
            <w:tcW w:w="84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2029" w:type="dxa"/>
            <w:gridSpan w:val="4"/>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27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27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1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99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94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99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r>
      <w:tr>
        <w:tblPrEx>
          <w:tblCellMar>
            <w:top w:w="0" w:type="dxa"/>
            <w:left w:w="0" w:type="dxa"/>
            <w:bottom w:w="0" w:type="dxa"/>
            <w:right w:w="0" w:type="dxa"/>
          </w:tblCellMar>
        </w:tblPrEx>
        <w:trPr>
          <w:trHeight w:val="312" w:hRule="atLeast"/>
          <w:jc w:val="center"/>
        </w:trPr>
        <w:tc>
          <w:tcPr>
            <w:tcW w:w="84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2029" w:type="dxa"/>
            <w:gridSpan w:val="4"/>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27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27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1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99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94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99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2877"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栏次</w:t>
            </w:r>
          </w:p>
        </w:tc>
        <w:tc>
          <w:tcPr>
            <w:tcW w:w="12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2</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w:t>
            </w:r>
          </w:p>
        </w:tc>
        <w:tc>
          <w:tcPr>
            <w:tcW w:w="99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4</w:t>
            </w:r>
          </w:p>
        </w:tc>
        <w:tc>
          <w:tcPr>
            <w:tcW w:w="94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5</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6</w:t>
            </w:r>
          </w:p>
        </w:tc>
      </w:tr>
      <w:tr>
        <w:tblPrEx>
          <w:tblCellMar>
            <w:top w:w="0" w:type="dxa"/>
            <w:left w:w="0" w:type="dxa"/>
            <w:bottom w:w="0" w:type="dxa"/>
            <w:right w:w="0" w:type="dxa"/>
          </w:tblCellMar>
        </w:tblPrEx>
        <w:trPr>
          <w:trHeight w:val="323" w:hRule="atLeast"/>
          <w:jc w:val="center"/>
        </w:trPr>
        <w:tc>
          <w:tcPr>
            <w:tcW w:w="2877"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合计</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rPr>
                <w:rFonts w:ascii="仿宋" w:hAnsi="仿宋" w:eastAsia="仿宋"/>
                <w:sz w:val="24"/>
              </w:rPr>
            </w:pPr>
            <w:r>
              <w:rPr>
                <w:rFonts w:hint="eastAsia" w:ascii="仿宋" w:hAnsi="仿宋" w:eastAsia="仿宋"/>
                <w:sz w:val="24"/>
              </w:rPr>
              <w:t>14967.88</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rPr>
                <w:rFonts w:ascii="仿宋" w:hAnsi="仿宋" w:eastAsia="仿宋"/>
                <w:sz w:val="24"/>
              </w:rPr>
            </w:pPr>
            <w:r>
              <w:rPr>
                <w:rFonts w:hint="eastAsia" w:ascii="仿宋" w:hAnsi="仿宋" w:eastAsia="仿宋"/>
                <w:sz w:val="24"/>
              </w:rPr>
              <w:t>3919.85</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rPr>
                <w:rFonts w:ascii="仿宋" w:hAnsi="仿宋" w:eastAsia="仿宋"/>
                <w:sz w:val="24"/>
              </w:rPr>
            </w:pPr>
            <w:r>
              <w:rPr>
                <w:rFonts w:hint="eastAsia" w:ascii="仿宋" w:hAnsi="仿宋" w:eastAsia="仿宋"/>
                <w:sz w:val="24"/>
              </w:rPr>
              <w:t>11048.03</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rPr>
                <w:rFonts w:ascii="仿宋" w:hAnsi="仿宋" w:eastAsia="仿宋"/>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rPr>
                <w:rFonts w:ascii="仿宋" w:hAnsi="仿宋" w:eastAsia="仿宋"/>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rPr>
                <w:rFonts w:ascii="仿宋" w:hAnsi="仿宋" w:eastAsia="仿宋"/>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208</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社会保障和就业支出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r>
              <w:rPr>
                <w:rFonts w:hint="eastAsia" w:ascii="仿宋" w:hAnsi="仿宋" w:eastAsia="仿宋" w:cs="宋体"/>
                <w:color w:val="000000"/>
                <w:sz w:val="24"/>
              </w:rPr>
              <w:t>480.27</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r>
              <w:rPr>
                <w:rFonts w:hint="eastAsia" w:ascii="仿宋" w:hAnsi="仿宋" w:eastAsia="仿宋" w:cs="宋体"/>
                <w:color w:val="000000"/>
                <w:sz w:val="24"/>
              </w:rPr>
              <w:t>480.27</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20805</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行政事业单位养老支出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480.27</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480.27</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2080501</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宋体"/>
                <w:color w:val="000000"/>
                <w:sz w:val="24"/>
              </w:rPr>
            </w:pPr>
            <w:r>
              <w:rPr>
                <w:rFonts w:hint="eastAsia" w:ascii="仿宋" w:hAnsi="仿宋" w:eastAsia="仿宋" w:cs="宋体"/>
                <w:color w:val="000000"/>
                <w:sz w:val="24"/>
              </w:rPr>
              <w:t xml:space="preserve">  行政单位离退休</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11.88</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11.88</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2080505</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机关事业单位基本养老保险缴费支出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323.33</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323.33</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2080506</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机关事业单位职业年金缴费支出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145.06</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145.06</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210</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卫生健康支出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123.03</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123.03</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21011</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行政事业单位医疗</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123.03</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123.03</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2101101</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行政单位医疗</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12.70</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12.70</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2101102</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事业单位医疗</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110.33</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110.33</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211</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节能环保支出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24.70</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24.70</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21105</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天然林保护</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9.44</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9.44</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2110507</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停伐补助</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9.44</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9.44</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21106</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退耕还林还草</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15.26</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15.26</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2110602</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退耕现金</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15.26</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15.26</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212</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城乡社区支出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7056.48</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7056.48</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21208</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国有土地使用权出让收入安排的支出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6899.04</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6899.04</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2120801</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征地和拆迁补偿支出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5246.08</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5246.08</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2120802</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土地开发支出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1652.96</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1652.96</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21210</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国有土地收益基金安排的支出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157.44</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157.44</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2121002</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土地开发支出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157.44</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157.44</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213</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农林水支出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1550.86</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1550.86</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21301</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农业农村</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5.60</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5.60</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2130125</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农产品加工与促销</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5.60</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5.60</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21302</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林业和草原</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1545.26</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1545.26</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2130205</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森林资源培育</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1340.35</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1340.35</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2130206</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技术推广与转化</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70.00</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70.00</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2130209</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森林生态效益补偿</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16.74</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16.74</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2130211</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动植物保护</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23.29</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23.29</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2130234</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林业草原防灾减灾</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59.89</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59.89</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2130299</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其他林业和草原支出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35.00</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35.00</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220</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自然资源海洋气象等支出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5516.72</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3131.14</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2385.58</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22001</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自然资源事务</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5214.72</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3131.14</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2083.58</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2200101</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行政运行</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334.19</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334.19</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2200104</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自然资源规划及管理</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363.39</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363.39</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2200106</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自然资源利用与保护</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103.62</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103.62</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2200108</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自然资源行业业务管理</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50.00</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50.00</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2200109</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自然资源调查与确权登记</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156.30</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156.30</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2200114</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地质勘查与矿产资源管理</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1410.27</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1410.27</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2200150</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事业运行</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1998.39</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1998.39</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2200199</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其他自然资源事务支出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798.56</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798.56</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22099</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其他自然资源海洋气象等支出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302.00</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302.00</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2209901</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其他自然资源海洋气象等支出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302.00</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302.00</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221</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住房保障支出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185.41</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185.41</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宋体"/>
                <w:color w:val="000000"/>
                <w:sz w:val="24"/>
              </w:rPr>
            </w:pP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22102</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住房改革支出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jc w:val="center"/>
              <w:rPr>
                <w:rFonts w:ascii="仿宋" w:hAnsi="仿宋" w:eastAsia="仿宋"/>
                <w:sz w:val="24"/>
              </w:rPr>
            </w:pPr>
            <w:r>
              <w:rPr>
                <w:rFonts w:hint="eastAsia" w:ascii="仿宋" w:hAnsi="仿宋" w:eastAsia="仿宋" w:cs="宋体"/>
                <w:color w:val="000000"/>
                <w:sz w:val="24"/>
              </w:rPr>
              <w:t>185.41</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jc w:val="center"/>
              <w:rPr>
                <w:rFonts w:ascii="仿宋" w:hAnsi="仿宋" w:eastAsia="仿宋"/>
                <w:sz w:val="24"/>
              </w:rPr>
            </w:pPr>
            <w:r>
              <w:rPr>
                <w:rFonts w:hint="eastAsia" w:ascii="仿宋" w:hAnsi="仿宋" w:eastAsia="仿宋" w:cs="宋体"/>
                <w:color w:val="000000"/>
                <w:sz w:val="24"/>
              </w:rPr>
              <w:t>185.41</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宋体"/>
                <w:color w:val="000000"/>
                <w:sz w:val="24"/>
              </w:rPr>
            </w:pP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2210201</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住房公积金</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jc w:val="center"/>
              <w:rPr>
                <w:rFonts w:ascii="仿宋" w:hAnsi="仿宋" w:eastAsia="仿宋"/>
                <w:sz w:val="24"/>
              </w:rPr>
            </w:pPr>
            <w:r>
              <w:rPr>
                <w:rFonts w:hint="eastAsia" w:ascii="仿宋" w:hAnsi="仿宋" w:eastAsia="仿宋" w:cs="宋体"/>
                <w:color w:val="000000"/>
                <w:sz w:val="24"/>
              </w:rPr>
              <w:t>185.41</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jc w:val="center"/>
              <w:rPr>
                <w:rFonts w:ascii="仿宋" w:hAnsi="仿宋" w:eastAsia="仿宋"/>
                <w:sz w:val="24"/>
              </w:rPr>
            </w:pPr>
            <w:r>
              <w:rPr>
                <w:rFonts w:hint="eastAsia" w:ascii="仿宋" w:hAnsi="仿宋" w:eastAsia="仿宋" w:cs="宋体"/>
                <w:color w:val="000000"/>
                <w:sz w:val="24"/>
              </w:rPr>
              <w:t>185.41</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224</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灾害防治及应急管理支出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30.41</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30.41</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22402</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消防事务</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17.06</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17.06</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2240204</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消防应急救援</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17.06</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17.06</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22403</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森林消防事务</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13.35</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13.35</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2240304</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森林消防应急救援</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13.35</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13.35</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9494" w:type="dxa"/>
            <w:gridSpan w:val="11"/>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kern w:val="0"/>
                <w:sz w:val="24"/>
                <w:lang w:bidi="ar"/>
              </w:rPr>
            </w:pPr>
          </w:p>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注：本表反映部门本年度各项支出情况。</w:t>
            </w:r>
          </w:p>
        </w:tc>
      </w:tr>
    </w:tbl>
    <w:p>
      <w:pPr>
        <w:rPr>
          <w:sz w:val="24"/>
        </w:rPr>
      </w:pPr>
      <w:r>
        <w:rPr>
          <w:sz w:val="24"/>
        </w:rPr>
        <w:br w:type="page"/>
      </w:r>
    </w:p>
    <w:tbl>
      <w:tblPr>
        <w:tblStyle w:val="5"/>
        <w:tblW w:w="9984" w:type="dxa"/>
        <w:jc w:val="center"/>
        <w:tblLayout w:type="fixed"/>
        <w:tblCellMar>
          <w:top w:w="0" w:type="dxa"/>
          <w:left w:w="0" w:type="dxa"/>
          <w:bottom w:w="0" w:type="dxa"/>
          <w:right w:w="0" w:type="dxa"/>
        </w:tblCellMar>
      </w:tblPr>
      <w:tblGrid>
        <w:gridCol w:w="1168"/>
        <w:gridCol w:w="67"/>
        <w:gridCol w:w="67"/>
        <w:gridCol w:w="1695"/>
        <w:gridCol w:w="2329"/>
        <w:gridCol w:w="2329"/>
        <w:gridCol w:w="1859"/>
        <w:gridCol w:w="470"/>
      </w:tblGrid>
      <w:tr>
        <w:tblPrEx>
          <w:tblCellMar>
            <w:top w:w="0" w:type="dxa"/>
            <w:left w:w="0" w:type="dxa"/>
            <w:bottom w:w="0" w:type="dxa"/>
            <w:right w:w="0" w:type="dxa"/>
          </w:tblCellMar>
        </w:tblPrEx>
        <w:trPr>
          <w:gridAfter w:val="1"/>
          <w:wAfter w:w="470" w:type="dxa"/>
          <w:trHeight w:val="406" w:hRule="atLeast"/>
          <w:jc w:val="center"/>
        </w:trPr>
        <w:tc>
          <w:tcPr>
            <w:tcW w:w="9514" w:type="dxa"/>
            <w:gridSpan w:val="7"/>
            <w:tcBorders>
              <w:top w:val="nil"/>
              <w:left w:val="nil"/>
              <w:bottom w:val="nil"/>
              <w:right w:val="nil"/>
            </w:tcBorders>
            <w:shd w:val="clear" w:color="auto" w:fill="auto"/>
            <w:noWrap/>
            <w:tcMar>
              <w:top w:w="15" w:type="dxa"/>
              <w:left w:w="15" w:type="dxa"/>
              <w:right w:w="15" w:type="dxa"/>
            </w:tcMar>
            <w:vAlign w:val="bottom"/>
          </w:tcPr>
          <w:p>
            <w:pPr>
              <w:spacing w:line="320" w:lineRule="exact"/>
              <w:jc w:val="center"/>
              <w:rPr>
                <w:rFonts w:ascii="黑体" w:hAnsi="宋体" w:eastAsia="黑体" w:cs="黑体"/>
                <w:color w:val="000000"/>
                <w:sz w:val="32"/>
                <w:szCs w:val="32"/>
              </w:rPr>
            </w:pPr>
            <w:r>
              <w:rPr>
                <w:rFonts w:hint="eastAsia" w:ascii="黑体" w:hAnsi="宋体" w:eastAsia="黑体" w:cs="黑体"/>
                <w:color w:val="000000"/>
                <w:kern w:val="0"/>
                <w:sz w:val="32"/>
                <w:szCs w:val="32"/>
                <w:lang w:bidi="ar"/>
              </w:rPr>
              <w:t>财政拨款收入支出决算总表</w:t>
            </w:r>
          </w:p>
        </w:tc>
      </w:tr>
      <w:tr>
        <w:tblPrEx>
          <w:tblCellMar>
            <w:top w:w="0" w:type="dxa"/>
            <w:left w:w="0" w:type="dxa"/>
            <w:bottom w:w="0" w:type="dxa"/>
            <w:right w:w="0" w:type="dxa"/>
          </w:tblCellMar>
        </w:tblPrEx>
        <w:trPr>
          <w:trHeight w:val="600" w:hRule="atLeast"/>
          <w:jc w:val="center"/>
        </w:trPr>
        <w:tc>
          <w:tcPr>
            <w:tcW w:w="9984" w:type="dxa"/>
            <w:gridSpan w:val="8"/>
            <w:tcBorders>
              <w:top w:val="nil"/>
              <w:left w:val="nil"/>
              <w:bottom w:val="nil"/>
              <w:right w:val="nil"/>
            </w:tcBorders>
            <w:shd w:val="clear" w:color="auto" w:fill="auto"/>
            <w:noWrap/>
            <w:tcMar>
              <w:top w:w="15" w:type="dxa"/>
              <w:left w:w="15" w:type="dxa"/>
              <w:right w:w="15" w:type="dxa"/>
            </w:tcMar>
            <w:vAlign w:val="center"/>
          </w:tcPr>
          <w:tbl>
            <w:tblPr>
              <w:tblStyle w:val="5"/>
              <w:tblW w:w="9918" w:type="dxa"/>
              <w:tblInd w:w="0" w:type="dxa"/>
              <w:tblLayout w:type="fixed"/>
              <w:tblCellMar>
                <w:top w:w="0" w:type="dxa"/>
                <w:left w:w="108" w:type="dxa"/>
                <w:bottom w:w="0" w:type="dxa"/>
                <w:right w:w="108" w:type="dxa"/>
              </w:tblCellMar>
            </w:tblPr>
            <w:tblGrid>
              <w:gridCol w:w="1406"/>
              <w:gridCol w:w="567"/>
              <w:gridCol w:w="338"/>
              <w:gridCol w:w="465"/>
              <w:gridCol w:w="441"/>
              <w:gridCol w:w="1733"/>
              <w:gridCol w:w="567"/>
              <w:gridCol w:w="461"/>
              <w:gridCol w:w="446"/>
              <w:gridCol w:w="278"/>
              <w:gridCol w:w="1079"/>
              <w:gridCol w:w="1021"/>
              <w:gridCol w:w="880"/>
              <w:gridCol w:w="236"/>
            </w:tblGrid>
            <w:tr>
              <w:tblPrEx>
                <w:tblCellMar>
                  <w:top w:w="0" w:type="dxa"/>
                  <w:left w:w="108" w:type="dxa"/>
                  <w:bottom w:w="0" w:type="dxa"/>
                  <w:right w:w="108" w:type="dxa"/>
                </w:tblCellMar>
              </w:tblPrEx>
              <w:trPr>
                <w:gridAfter w:val="1"/>
                <w:wAfter w:w="236" w:type="dxa"/>
                <w:trHeight w:val="90" w:hRule="atLeast"/>
              </w:trPr>
              <w:tc>
                <w:tcPr>
                  <w:tcW w:w="2311" w:type="dxa"/>
                  <w:gridSpan w:val="3"/>
                  <w:tcBorders>
                    <w:top w:val="nil"/>
                    <w:left w:val="nil"/>
                    <w:bottom w:val="nil"/>
                    <w:right w:val="nil"/>
                  </w:tcBorders>
                  <w:shd w:val="clear" w:color="auto" w:fill="auto"/>
                  <w:vAlign w:val="bottom"/>
                </w:tcPr>
                <w:p>
                  <w:pPr>
                    <w:widowControl/>
                    <w:spacing w:line="240" w:lineRule="exact"/>
                    <w:jc w:val="left"/>
                    <w:rPr>
                      <w:rFonts w:ascii="仿宋" w:hAnsi="仿宋" w:eastAsia="仿宋" w:cs="宋体"/>
                      <w:kern w:val="0"/>
                      <w:sz w:val="24"/>
                    </w:rPr>
                  </w:pPr>
                </w:p>
              </w:tc>
              <w:tc>
                <w:tcPr>
                  <w:tcW w:w="465" w:type="dxa"/>
                  <w:tcBorders>
                    <w:top w:val="nil"/>
                    <w:left w:val="nil"/>
                    <w:bottom w:val="nil"/>
                    <w:right w:val="nil"/>
                  </w:tcBorders>
                  <w:shd w:val="clear" w:color="auto" w:fill="auto"/>
                  <w:vAlign w:val="bottom"/>
                </w:tcPr>
                <w:p>
                  <w:pPr>
                    <w:widowControl/>
                    <w:spacing w:line="240" w:lineRule="exact"/>
                    <w:jc w:val="left"/>
                    <w:rPr>
                      <w:rFonts w:ascii="仿宋" w:hAnsi="仿宋" w:eastAsia="仿宋" w:cs="Times New Roman"/>
                      <w:kern w:val="0"/>
                      <w:sz w:val="24"/>
                    </w:rPr>
                  </w:pPr>
                </w:p>
              </w:tc>
              <w:tc>
                <w:tcPr>
                  <w:tcW w:w="441" w:type="dxa"/>
                  <w:tcBorders>
                    <w:top w:val="nil"/>
                    <w:left w:val="nil"/>
                    <w:bottom w:val="nil"/>
                    <w:right w:val="nil"/>
                  </w:tcBorders>
                  <w:shd w:val="clear" w:color="auto" w:fill="auto"/>
                  <w:vAlign w:val="bottom"/>
                </w:tcPr>
                <w:p>
                  <w:pPr>
                    <w:widowControl/>
                    <w:spacing w:line="240" w:lineRule="exact"/>
                    <w:jc w:val="left"/>
                    <w:rPr>
                      <w:rFonts w:ascii="仿宋" w:hAnsi="仿宋" w:eastAsia="仿宋" w:cs="Times New Roman"/>
                      <w:kern w:val="0"/>
                      <w:sz w:val="24"/>
                    </w:rPr>
                  </w:pPr>
                </w:p>
              </w:tc>
              <w:tc>
                <w:tcPr>
                  <w:tcW w:w="2761" w:type="dxa"/>
                  <w:gridSpan w:val="3"/>
                  <w:tcBorders>
                    <w:top w:val="nil"/>
                    <w:left w:val="nil"/>
                    <w:bottom w:val="nil"/>
                    <w:right w:val="nil"/>
                  </w:tcBorders>
                  <w:shd w:val="clear" w:color="auto" w:fill="auto"/>
                  <w:vAlign w:val="bottom"/>
                </w:tcPr>
                <w:p>
                  <w:pPr>
                    <w:widowControl/>
                    <w:spacing w:line="240" w:lineRule="exact"/>
                    <w:jc w:val="left"/>
                    <w:rPr>
                      <w:rFonts w:ascii="仿宋" w:hAnsi="仿宋" w:eastAsia="仿宋" w:cs="Times New Roman"/>
                      <w:kern w:val="0"/>
                      <w:sz w:val="24"/>
                    </w:rPr>
                  </w:pPr>
                </w:p>
              </w:tc>
              <w:tc>
                <w:tcPr>
                  <w:tcW w:w="446" w:type="dxa"/>
                  <w:tcBorders>
                    <w:top w:val="nil"/>
                    <w:left w:val="nil"/>
                    <w:bottom w:val="nil"/>
                    <w:right w:val="nil"/>
                  </w:tcBorders>
                  <w:shd w:val="clear" w:color="auto" w:fill="auto"/>
                  <w:vAlign w:val="bottom"/>
                </w:tcPr>
                <w:p>
                  <w:pPr>
                    <w:widowControl/>
                    <w:spacing w:line="240" w:lineRule="exact"/>
                    <w:jc w:val="left"/>
                    <w:rPr>
                      <w:rFonts w:ascii="仿宋" w:hAnsi="仿宋" w:eastAsia="仿宋" w:cs="Times New Roman"/>
                      <w:kern w:val="0"/>
                      <w:sz w:val="24"/>
                    </w:rPr>
                  </w:pPr>
                </w:p>
              </w:tc>
              <w:tc>
                <w:tcPr>
                  <w:tcW w:w="278" w:type="dxa"/>
                  <w:tcBorders>
                    <w:top w:val="nil"/>
                    <w:left w:val="nil"/>
                    <w:bottom w:val="nil"/>
                    <w:right w:val="nil"/>
                  </w:tcBorders>
                  <w:shd w:val="clear" w:color="auto" w:fill="auto"/>
                  <w:vAlign w:val="bottom"/>
                </w:tcPr>
                <w:p>
                  <w:pPr>
                    <w:widowControl/>
                    <w:spacing w:line="240" w:lineRule="exact"/>
                    <w:jc w:val="left"/>
                    <w:rPr>
                      <w:rFonts w:ascii="仿宋" w:hAnsi="仿宋" w:eastAsia="仿宋" w:cs="Times New Roman"/>
                      <w:kern w:val="0"/>
                      <w:sz w:val="24"/>
                    </w:rPr>
                  </w:pPr>
                </w:p>
              </w:tc>
              <w:tc>
                <w:tcPr>
                  <w:tcW w:w="2980" w:type="dxa"/>
                  <w:gridSpan w:val="3"/>
                  <w:tcBorders>
                    <w:top w:val="nil"/>
                    <w:left w:val="nil"/>
                    <w:bottom w:val="nil"/>
                    <w:right w:val="nil"/>
                  </w:tcBorders>
                  <w:shd w:val="clear" w:color="auto" w:fill="auto"/>
                  <w:vAlign w:val="bottom"/>
                </w:tcPr>
                <w:p>
                  <w:pPr>
                    <w:widowControl/>
                    <w:spacing w:line="240" w:lineRule="exact"/>
                    <w:ind w:right="300"/>
                    <w:jc w:val="right"/>
                    <w:rPr>
                      <w:rFonts w:ascii="仿宋" w:hAnsi="仿宋" w:eastAsia="仿宋" w:cs="Arial"/>
                      <w:color w:val="000000"/>
                      <w:kern w:val="0"/>
                      <w:sz w:val="24"/>
                    </w:rPr>
                  </w:pPr>
                  <w:r>
                    <w:rPr>
                      <w:rFonts w:hint="eastAsia" w:ascii="仿宋" w:hAnsi="仿宋" w:eastAsia="仿宋" w:cs="Arial"/>
                      <w:color w:val="000000"/>
                      <w:kern w:val="0"/>
                      <w:sz w:val="24"/>
                    </w:rPr>
                    <w:t>公开04表</w:t>
                  </w:r>
                </w:p>
              </w:tc>
            </w:tr>
            <w:tr>
              <w:tblPrEx>
                <w:tblCellMar>
                  <w:top w:w="0" w:type="dxa"/>
                  <w:left w:w="108" w:type="dxa"/>
                  <w:bottom w:w="0" w:type="dxa"/>
                  <w:right w:w="108" w:type="dxa"/>
                </w:tblCellMar>
              </w:tblPrEx>
              <w:trPr>
                <w:gridAfter w:val="1"/>
                <w:wAfter w:w="236" w:type="dxa"/>
                <w:trHeight w:val="90" w:hRule="atLeast"/>
              </w:trPr>
              <w:tc>
                <w:tcPr>
                  <w:tcW w:w="5978" w:type="dxa"/>
                  <w:gridSpan w:val="8"/>
                  <w:tcBorders>
                    <w:top w:val="nil"/>
                    <w:left w:val="nil"/>
                    <w:bottom w:val="nil"/>
                    <w:right w:val="nil"/>
                  </w:tcBorders>
                  <w:shd w:val="clear" w:color="auto" w:fill="auto"/>
                  <w:vAlign w:val="bottom"/>
                </w:tcPr>
                <w:p>
                  <w:pPr>
                    <w:widowControl/>
                    <w:spacing w:line="240" w:lineRule="exact"/>
                    <w:jc w:val="left"/>
                    <w:rPr>
                      <w:rFonts w:ascii="仿宋" w:hAnsi="仿宋" w:eastAsia="仿宋" w:cs="Times New Roman"/>
                      <w:kern w:val="0"/>
                      <w:sz w:val="24"/>
                    </w:rPr>
                  </w:pPr>
                  <w:r>
                    <w:rPr>
                      <w:rFonts w:hint="eastAsia" w:ascii="仿宋" w:hAnsi="仿宋" w:eastAsia="仿宋" w:cs="Arial"/>
                      <w:color w:val="000000"/>
                      <w:kern w:val="0"/>
                      <w:sz w:val="24"/>
                    </w:rPr>
                    <w:t>部门：保定市自然资源和规划局满城区分局</w:t>
                  </w:r>
                </w:p>
              </w:tc>
              <w:tc>
                <w:tcPr>
                  <w:tcW w:w="446" w:type="dxa"/>
                  <w:tcBorders>
                    <w:top w:val="nil"/>
                    <w:left w:val="nil"/>
                    <w:bottom w:val="nil"/>
                    <w:right w:val="nil"/>
                  </w:tcBorders>
                  <w:shd w:val="clear" w:color="auto" w:fill="auto"/>
                  <w:vAlign w:val="bottom"/>
                </w:tcPr>
                <w:p>
                  <w:pPr>
                    <w:widowControl/>
                    <w:spacing w:line="240" w:lineRule="exact"/>
                    <w:jc w:val="left"/>
                    <w:rPr>
                      <w:rFonts w:ascii="仿宋" w:hAnsi="仿宋" w:eastAsia="仿宋" w:cs="Times New Roman"/>
                      <w:kern w:val="0"/>
                      <w:sz w:val="24"/>
                    </w:rPr>
                  </w:pPr>
                </w:p>
              </w:tc>
              <w:tc>
                <w:tcPr>
                  <w:tcW w:w="278" w:type="dxa"/>
                  <w:tcBorders>
                    <w:top w:val="nil"/>
                    <w:left w:val="nil"/>
                    <w:bottom w:val="nil"/>
                    <w:right w:val="nil"/>
                  </w:tcBorders>
                  <w:shd w:val="clear" w:color="auto" w:fill="auto"/>
                  <w:vAlign w:val="bottom"/>
                </w:tcPr>
                <w:p>
                  <w:pPr>
                    <w:widowControl/>
                    <w:spacing w:line="240" w:lineRule="exact"/>
                    <w:jc w:val="left"/>
                    <w:rPr>
                      <w:rFonts w:ascii="仿宋" w:hAnsi="仿宋" w:eastAsia="仿宋" w:cs="Times New Roman"/>
                      <w:kern w:val="0"/>
                      <w:sz w:val="24"/>
                    </w:rPr>
                  </w:pPr>
                </w:p>
              </w:tc>
              <w:tc>
                <w:tcPr>
                  <w:tcW w:w="1079" w:type="dxa"/>
                  <w:tcBorders>
                    <w:top w:val="nil"/>
                    <w:left w:val="nil"/>
                    <w:bottom w:val="nil"/>
                    <w:right w:val="nil"/>
                  </w:tcBorders>
                  <w:shd w:val="clear" w:color="auto" w:fill="auto"/>
                  <w:vAlign w:val="bottom"/>
                </w:tcPr>
                <w:p>
                  <w:pPr>
                    <w:widowControl/>
                    <w:spacing w:line="240" w:lineRule="exact"/>
                    <w:jc w:val="left"/>
                    <w:rPr>
                      <w:rFonts w:ascii="仿宋" w:hAnsi="仿宋" w:eastAsia="仿宋" w:cs="Times New Roman"/>
                      <w:kern w:val="0"/>
                      <w:sz w:val="24"/>
                    </w:rPr>
                  </w:pPr>
                </w:p>
              </w:tc>
              <w:tc>
                <w:tcPr>
                  <w:tcW w:w="1901" w:type="dxa"/>
                  <w:gridSpan w:val="2"/>
                  <w:tcBorders>
                    <w:top w:val="nil"/>
                    <w:left w:val="nil"/>
                    <w:bottom w:val="nil"/>
                    <w:right w:val="nil"/>
                  </w:tcBorders>
                  <w:shd w:val="clear" w:color="auto" w:fill="auto"/>
                  <w:vAlign w:val="bottom"/>
                </w:tcPr>
                <w:p>
                  <w:pPr>
                    <w:widowControl/>
                    <w:spacing w:line="240" w:lineRule="exact"/>
                    <w:jc w:val="center"/>
                    <w:rPr>
                      <w:rFonts w:ascii="仿宋" w:hAnsi="仿宋" w:eastAsia="仿宋" w:cs="Arial"/>
                      <w:color w:val="000000"/>
                      <w:kern w:val="0"/>
                      <w:sz w:val="24"/>
                    </w:rPr>
                  </w:pPr>
                  <w:r>
                    <w:rPr>
                      <w:rFonts w:hint="eastAsia" w:ascii="仿宋" w:hAnsi="仿宋" w:eastAsia="仿宋" w:cs="Arial"/>
                      <w:color w:val="000000"/>
                      <w:kern w:val="0"/>
                      <w:sz w:val="24"/>
                    </w:rPr>
                    <w:t>金额单位：万元</w:t>
                  </w:r>
                </w:p>
              </w:tc>
            </w:tr>
            <w:tr>
              <w:tblPrEx>
                <w:tblCellMar>
                  <w:top w:w="0" w:type="dxa"/>
                  <w:left w:w="108" w:type="dxa"/>
                  <w:bottom w:w="0" w:type="dxa"/>
                  <w:right w:w="108" w:type="dxa"/>
                </w:tblCellMar>
              </w:tblPrEx>
              <w:trPr>
                <w:gridAfter w:val="1"/>
                <w:wAfter w:w="236" w:type="dxa"/>
                <w:trHeight w:val="90" w:hRule="atLeast"/>
              </w:trPr>
              <w:tc>
                <w:tcPr>
                  <w:tcW w:w="32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收     入</w:t>
                  </w:r>
                </w:p>
              </w:tc>
              <w:tc>
                <w:tcPr>
                  <w:tcW w:w="6465" w:type="dxa"/>
                  <w:gridSpan w:val="8"/>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支     出</w:t>
                  </w:r>
                </w:p>
              </w:tc>
            </w:tr>
            <w:tr>
              <w:tblPrEx>
                <w:tblCellMar>
                  <w:top w:w="0" w:type="dxa"/>
                  <w:left w:w="108" w:type="dxa"/>
                  <w:bottom w:w="0" w:type="dxa"/>
                  <w:right w:w="108" w:type="dxa"/>
                </w:tblCellMar>
              </w:tblPrEx>
              <w:trPr>
                <w:gridAfter w:val="1"/>
                <w:wAfter w:w="236" w:type="dxa"/>
                <w:trHeight w:val="312" w:hRule="atLeast"/>
              </w:trPr>
              <w:tc>
                <w:tcPr>
                  <w:tcW w:w="1406"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pacing w:line="180" w:lineRule="exact"/>
                    <w:jc w:val="center"/>
                    <w:rPr>
                      <w:rFonts w:ascii="仿宋" w:hAnsi="仿宋" w:eastAsia="仿宋" w:cs="Arial"/>
                      <w:color w:val="000000"/>
                      <w:kern w:val="0"/>
                      <w:sz w:val="24"/>
                    </w:rPr>
                  </w:pPr>
                  <w:r>
                    <w:rPr>
                      <w:rFonts w:hint="eastAsia" w:ascii="仿宋" w:hAnsi="仿宋" w:eastAsia="仿宋" w:cs="Arial"/>
                      <w:color w:val="000000"/>
                      <w:kern w:val="0"/>
                      <w:sz w:val="24"/>
                    </w:rPr>
                    <w:t>项目</w:t>
                  </w:r>
                </w:p>
              </w:tc>
              <w:tc>
                <w:tcPr>
                  <w:tcW w:w="567"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仿宋" w:hAnsi="仿宋" w:eastAsia="仿宋" w:cs="Arial"/>
                      <w:color w:val="000000"/>
                      <w:kern w:val="0"/>
                      <w:sz w:val="24"/>
                    </w:rPr>
                  </w:pPr>
                  <w:r>
                    <w:rPr>
                      <w:rFonts w:hint="eastAsia" w:ascii="仿宋" w:hAnsi="仿宋" w:eastAsia="仿宋" w:cs="Arial"/>
                      <w:color w:val="000000"/>
                      <w:kern w:val="0"/>
                      <w:sz w:val="24"/>
                    </w:rPr>
                    <w:t>行次</w:t>
                  </w:r>
                </w:p>
              </w:tc>
              <w:tc>
                <w:tcPr>
                  <w:tcW w:w="1244" w:type="dxa"/>
                  <w:gridSpan w:val="3"/>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仿宋" w:hAnsi="仿宋" w:eastAsia="仿宋" w:cs="Arial"/>
                      <w:color w:val="000000"/>
                      <w:kern w:val="0"/>
                      <w:sz w:val="24"/>
                    </w:rPr>
                  </w:pPr>
                  <w:r>
                    <w:rPr>
                      <w:rFonts w:hint="eastAsia" w:ascii="仿宋" w:hAnsi="仿宋" w:eastAsia="仿宋" w:cs="Arial"/>
                      <w:color w:val="000000"/>
                      <w:kern w:val="0"/>
                      <w:sz w:val="24"/>
                    </w:rPr>
                    <w:t>金额</w:t>
                  </w:r>
                </w:p>
              </w:tc>
              <w:tc>
                <w:tcPr>
                  <w:tcW w:w="1733"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仿宋" w:hAnsi="仿宋" w:eastAsia="仿宋" w:cs="Arial"/>
                      <w:color w:val="000000"/>
                      <w:kern w:val="0"/>
                      <w:sz w:val="24"/>
                    </w:rPr>
                  </w:pPr>
                  <w:r>
                    <w:rPr>
                      <w:rFonts w:hint="eastAsia" w:ascii="仿宋" w:hAnsi="仿宋" w:eastAsia="仿宋" w:cs="Arial"/>
                      <w:color w:val="000000"/>
                      <w:kern w:val="0"/>
                      <w:sz w:val="24"/>
                    </w:rPr>
                    <w:t>项目</w:t>
                  </w:r>
                </w:p>
              </w:tc>
              <w:tc>
                <w:tcPr>
                  <w:tcW w:w="567"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仿宋" w:hAnsi="仿宋" w:eastAsia="仿宋" w:cs="Arial"/>
                      <w:color w:val="000000"/>
                      <w:kern w:val="0"/>
                      <w:sz w:val="24"/>
                    </w:rPr>
                  </w:pPr>
                  <w:r>
                    <w:rPr>
                      <w:rFonts w:hint="eastAsia" w:ascii="仿宋" w:hAnsi="仿宋" w:eastAsia="仿宋" w:cs="Arial"/>
                      <w:color w:val="000000"/>
                      <w:kern w:val="0"/>
                      <w:sz w:val="24"/>
                    </w:rPr>
                    <w:t>行次</w:t>
                  </w:r>
                </w:p>
              </w:tc>
              <w:tc>
                <w:tcPr>
                  <w:tcW w:w="1185" w:type="dxa"/>
                  <w:gridSpan w:val="3"/>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仿宋" w:hAnsi="仿宋" w:eastAsia="仿宋" w:cs="Arial"/>
                      <w:color w:val="000000"/>
                      <w:kern w:val="0"/>
                      <w:sz w:val="24"/>
                    </w:rPr>
                  </w:pPr>
                  <w:r>
                    <w:rPr>
                      <w:rFonts w:hint="eastAsia" w:ascii="仿宋" w:hAnsi="仿宋" w:eastAsia="仿宋" w:cs="Arial"/>
                      <w:color w:val="000000"/>
                      <w:kern w:val="0"/>
                      <w:sz w:val="24"/>
                    </w:rPr>
                    <w:t>合计</w:t>
                  </w:r>
                </w:p>
              </w:tc>
              <w:tc>
                <w:tcPr>
                  <w:tcW w:w="1079"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仿宋" w:hAnsi="仿宋" w:eastAsia="仿宋" w:cs="Arial"/>
                      <w:color w:val="000000"/>
                      <w:kern w:val="0"/>
                      <w:sz w:val="24"/>
                    </w:rPr>
                  </w:pPr>
                  <w:r>
                    <w:rPr>
                      <w:rFonts w:hint="eastAsia" w:ascii="仿宋" w:hAnsi="仿宋" w:eastAsia="仿宋" w:cs="Arial"/>
                      <w:color w:val="000000"/>
                      <w:kern w:val="0"/>
                      <w:sz w:val="24"/>
                    </w:rPr>
                    <w:t>一般公共预算财政拨款</w:t>
                  </w:r>
                </w:p>
              </w:tc>
              <w:tc>
                <w:tcPr>
                  <w:tcW w:w="1021"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仿宋" w:hAnsi="仿宋" w:eastAsia="仿宋" w:cs="Arial"/>
                      <w:color w:val="000000"/>
                      <w:kern w:val="0"/>
                      <w:sz w:val="24"/>
                    </w:rPr>
                  </w:pPr>
                  <w:r>
                    <w:rPr>
                      <w:rFonts w:hint="eastAsia" w:ascii="仿宋" w:hAnsi="仿宋" w:eastAsia="仿宋" w:cs="Arial"/>
                      <w:color w:val="000000"/>
                      <w:kern w:val="0"/>
                      <w:sz w:val="24"/>
                    </w:rPr>
                    <w:t>政府性基金预算财政拨款</w:t>
                  </w:r>
                </w:p>
              </w:tc>
              <w:tc>
                <w:tcPr>
                  <w:tcW w:w="880"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仿宋" w:hAnsi="仿宋" w:eastAsia="仿宋" w:cs="Arial"/>
                      <w:color w:val="000000"/>
                      <w:kern w:val="0"/>
                      <w:sz w:val="24"/>
                    </w:rPr>
                  </w:pPr>
                  <w:r>
                    <w:rPr>
                      <w:rFonts w:hint="eastAsia" w:ascii="仿宋" w:hAnsi="仿宋" w:eastAsia="仿宋" w:cs="Arial"/>
                      <w:color w:val="000000"/>
                      <w:kern w:val="0"/>
                      <w:sz w:val="24"/>
                    </w:rPr>
                    <w:t>国有资本经营预算财政拨款</w:t>
                  </w:r>
                </w:p>
              </w:tc>
            </w:tr>
            <w:tr>
              <w:tblPrEx>
                <w:tblCellMar>
                  <w:top w:w="0" w:type="dxa"/>
                  <w:left w:w="108" w:type="dxa"/>
                  <w:bottom w:w="0" w:type="dxa"/>
                  <w:right w:w="108" w:type="dxa"/>
                </w:tblCellMar>
              </w:tblPrEx>
              <w:trPr>
                <w:trHeight w:val="1756" w:hRule="atLeast"/>
              </w:trPr>
              <w:tc>
                <w:tcPr>
                  <w:tcW w:w="1406"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仿宋" w:hAnsi="仿宋" w:eastAsia="仿宋" w:cs="Arial"/>
                      <w:color w:val="000000"/>
                      <w:kern w:val="0"/>
                      <w:sz w:val="24"/>
                    </w:rPr>
                  </w:pPr>
                </w:p>
              </w:tc>
              <w:tc>
                <w:tcPr>
                  <w:tcW w:w="567"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仿宋" w:hAnsi="仿宋" w:eastAsia="仿宋" w:cs="Arial"/>
                      <w:color w:val="000000"/>
                      <w:kern w:val="0"/>
                      <w:sz w:val="24"/>
                    </w:rPr>
                  </w:pPr>
                </w:p>
              </w:tc>
              <w:tc>
                <w:tcPr>
                  <w:tcW w:w="1244" w:type="dxa"/>
                  <w:gridSpan w:val="3"/>
                  <w:vMerge w:val="continue"/>
                  <w:tcBorders>
                    <w:top w:val="nil"/>
                    <w:left w:val="nil"/>
                    <w:bottom w:val="single" w:color="000000" w:sz="4" w:space="0"/>
                    <w:right w:val="single" w:color="000000" w:sz="4" w:space="0"/>
                  </w:tcBorders>
                  <w:vAlign w:val="center"/>
                </w:tcPr>
                <w:p>
                  <w:pPr>
                    <w:widowControl/>
                    <w:spacing w:line="240" w:lineRule="exact"/>
                    <w:jc w:val="left"/>
                    <w:rPr>
                      <w:rFonts w:ascii="仿宋" w:hAnsi="仿宋" w:eastAsia="仿宋" w:cs="Arial"/>
                      <w:color w:val="000000"/>
                      <w:kern w:val="0"/>
                      <w:sz w:val="24"/>
                    </w:rPr>
                  </w:pPr>
                </w:p>
              </w:tc>
              <w:tc>
                <w:tcPr>
                  <w:tcW w:w="1733"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仿宋" w:hAnsi="仿宋" w:eastAsia="仿宋" w:cs="Arial"/>
                      <w:color w:val="000000"/>
                      <w:kern w:val="0"/>
                      <w:sz w:val="24"/>
                    </w:rPr>
                  </w:pPr>
                </w:p>
              </w:tc>
              <w:tc>
                <w:tcPr>
                  <w:tcW w:w="567"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仿宋" w:hAnsi="仿宋" w:eastAsia="仿宋" w:cs="Arial"/>
                      <w:color w:val="000000"/>
                      <w:kern w:val="0"/>
                      <w:sz w:val="24"/>
                    </w:rPr>
                  </w:pPr>
                </w:p>
              </w:tc>
              <w:tc>
                <w:tcPr>
                  <w:tcW w:w="1185" w:type="dxa"/>
                  <w:gridSpan w:val="3"/>
                  <w:vMerge w:val="continue"/>
                  <w:tcBorders>
                    <w:top w:val="nil"/>
                    <w:left w:val="nil"/>
                    <w:bottom w:val="single" w:color="000000" w:sz="4" w:space="0"/>
                    <w:right w:val="single" w:color="000000" w:sz="4" w:space="0"/>
                  </w:tcBorders>
                  <w:vAlign w:val="center"/>
                </w:tcPr>
                <w:p>
                  <w:pPr>
                    <w:widowControl/>
                    <w:spacing w:line="240" w:lineRule="exact"/>
                    <w:jc w:val="left"/>
                    <w:rPr>
                      <w:rFonts w:ascii="仿宋" w:hAnsi="仿宋" w:eastAsia="仿宋" w:cs="Arial"/>
                      <w:color w:val="000000"/>
                      <w:kern w:val="0"/>
                      <w:sz w:val="24"/>
                    </w:rPr>
                  </w:pPr>
                </w:p>
              </w:tc>
              <w:tc>
                <w:tcPr>
                  <w:tcW w:w="1079"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仿宋" w:hAnsi="仿宋" w:eastAsia="仿宋" w:cs="Arial"/>
                      <w:color w:val="000000"/>
                      <w:kern w:val="0"/>
                      <w:sz w:val="24"/>
                    </w:rPr>
                  </w:pPr>
                </w:p>
              </w:tc>
              <w:tc>
                <w:tcPr>
                  <w:tcW w:w="1021"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仿宋" w:hAnsi="仿宋" w:eastAsia="仿宋" w:cs="Arial"/>
                      <w:color w:val="000000"/>
                      <w:kern w:val="0"/>
                      <w:sz w:val="24"/>
                    </w:rPr>
                  </w:pPr>
                </w:p>
              </w:tc>
              <w:tc>
                <w:tcPr>
                  <w:tcW w:w="880"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仿宋" w:hAnsi="仿宋" w:eastAsia="仿宋" w:cs="Arial"/>
                      <w:color w:val="000000"/>
                      <w:kern w:val="0"/>
                      <w:sz w:val="24"/>
                    </w:rPr>
                  </w:pPr>
                </w:p>
              </w:tc>
              <w:tc>
                <w:tcPr>
                  <w:tcW w:w="236" w:type="dxa"/>
                  <w:tcBorders>
                    <w:top w:val="nil"/>
                    <w:left w:val="nil"/>
                    <w:bottom w:val="nil"/>
                    <w:right w:val="nil"/>
                  </w:tcBorders>
                  <w:shd w:val="clear" w:color="auto" w:fill="auto"/>
                  <w:noWrap/>
                  <w:vAlign w:val="bottom"/>
                </w:tcPr>
                <w:p>
                  <w:pPr>
                    <w:widowControl/>
                    <w:jc w:val="center"/>
                    <w:rPr>
                      <w:rFonts w:ascii="仿宋" w:hAnsi="仿宋" w:eastAsia="仿宋" w:cs="Arial"/>
                      <w:color w:val="000000"/>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栏次</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244"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1</w:t>
                  </w:r>
                </w:p>
              </w:tc>
              <w:tc>
                <w:tcPr>
                  <w:tcW w:w="1733"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栏次</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185"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2</w:t>
                  </w:r>
                </w:p>
              </w:tc>
              <w:tc>
                <w:tcPr>
                  <w:tcW w:w="107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3</w:t>
                  </w:r>
                </w:p>
              </w:tc>
              <w:tc>
                <w:tcPr>
                  <w:tcW w:w="1021"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4</w:t>
                  </w:r>
                </w:p>
              </w:tc>
              <w:tc>
                <w:tcPr>
                  <w:tcW w:w="880"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5</w:t>
                  </w:r>
                </w:p>
              </w:tc>
              <w:tc>
                <w:tcPr>
                  <w:tcW w:w="236"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4"/>
                    </w:rPr>
                  </w:pPr>
                  <w:r>
                    <w:rPr>
                      <w:rFonts w:hint="eastAsia" w:ascii="仿宋" w:hAnsi="仿宋" w:eastAsia="仿宋" w:cs="Arial"/>
                      <w:color w:val="000000"/>
                      <w:kern w:val="0"/>
                      <w:sz w:val="24"/>
                    </w:rPr>
                    <w:t>一、一般公共预算财政拨款</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1</w:t>
                  </w:r>
                </w:p>
              </w:tc>
              <w:tc>
                <w:tcPr>
                  <w:tcW w:w="1244"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8843.55</w:t>
                  </w:r>
                </w:p>
              </w:tc>
              <w:tc>
                <w:tcPr>
                  <w:tcW w:w="173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2"/>
                      <w:szCs w:val="22"/>
                    </w:rPr>
                  </w:pPr>
                  <w:r>
                    <w:rPr>
                      <w:rFonts w:hint="eastAsia" w:ascii="仿宋" w:hAnsi="仿宋" w:eastAsia="仿宋" w:cs="Arial"/>
                      <w:color w:val="000000"/>
                      <w:kern w:val="0"/>
                      <w:sz w:val="22"/>
                      <w:szCs w:val="22"/>
                    </w:rPr>
                    <w:t>一、一般公共服务支出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33</w:t>
                  </w:r>
                </w:p>
              </w:tc>
              <w:tc>
                <w:tcPr>
                  <w:tcW w:w="1185"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079"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02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88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36"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4"/>
                    </w:rPr>
                  </w:pPr>
                  <w:r>
                    <w:rPr>
                      <w:rFonts w:hint="eastAsia" w:ascii="仿宋" w:hAnsi="仿宋" w:eastAsia="仿宋" w:cs="Arial"/>
                      <w:color w:val="000000"/>
                      <w:kern w:val="0"/>
                      <w:sz w:val="24"/>
                    </w:rPr>
                    <w:t>二、政府性基金预算财政拨款</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2</w:t>
                  </w:r>
                </w:p>
              </w:tc>
              <w:tc>
                <w:tcPr>
                  <w:tcW w:w="1244"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7056.48</w:t>
                  </w:r>
                </w:p>
              </w:tc>
              <w:tc>
                <w:tcPr>
                  <w:tcW w:w="173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2"/>
                      <w:szCs w:val="22"/>
                    </w:rPr>
                  </w:pPr>
                  <w:r>
                    <w:rPr>
                      <w:rFonts w:hint="eastAsia" w:ascii="仿宋" w:hAnsi="仿宋" w:eastAsia="仿宋" w:cs="Arial"/>
                      <w:color w:val="000000"/>
                      <w:kern w:val="0"/>
                      <w:sz w:val="22"/>
                      <w:szCs w:val="22"/>
                    </w:rPr>
                    <w:t>二、外交支出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34</w:t>
                  </w:r>
                </w:p>
              </w:tc>
              <w:tc>
                <w:tcPr>
                  <w:tcW w:w="1185"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079"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02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88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36"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4"/>
                    </w:rPr>
                  </w:pPr>
                  <w:r>
                    <w:rPr>
                      <w:rFonts w:hint="eastAsia" w:ascii="仿宋" w:hAnsi="仿宋" w:eastAsia="仿宋" w:cs="Arial"/>
                      <w:color w:val="000000"/>
                      <w:kern w:val="0"/>
                      <w:sz w:val="24"/>
                    </w:rPr>
                    <w:t>三、国有资本经营财政拨款</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3</w:t>
                  </w:r>
                </w:p>
              </w:tc>
              <w:tc>
                <w:tcPr>
                  <w:tcW w:w="1244"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73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2"/>
                      <w:szCs w:val="22"/>
                    </w:rPr>
                  </w:pPr>
                  <w:r>
                    <w:rPr>
                      <w:rFonts w:hint="eastAsia" w:ascii="仿宋" w:hAnsi="仿宋" w:eastAsia="仿宋" w:cs="Arial"/>
                      <w:color w:val="000000"/>
                      <w:kern w:val="0"/>
                      <w:sz w:val="22"/>
                      <w:szCs w:val="22"/>
                    </w:rPr>
                    <w:t>三、国防支出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35</w:t>
                  </w:r>
                </w:p>
              </w:tc>
              <w:tc>
                <w:tcPr>
                  <w:tcW w:w="1185"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079"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02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88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36"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4</w:t>
                  </w:r>
                </w:p>
              </w:tc>
              <w:tc>
                <w:tcPr>
                  <w:tcW w:w="1244"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73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2"/>
                      <w:szCs w:val="22"/>
                    </w:rPr>
                  </w:pPr>
                  <w:r>
                    <w:rPr>
                      <w:rFonts w:hint="eastAsia" w:ascii="仿宋" w:hAnsi="仿宋" w:eastAsia="仿宋" w:cs="Arial"/>
                      <w:color w:val="000000"/>
                      <w:kern w:val="0"/>
                      <w:sz w:val="22"/>
                      <w:szCs w:val="22"/>
                    </w:rPr>
                    <w:t>四、公共安全支出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36</w:t>
                  </w:r>
                </w:p>
              </w:tc>
              <w:tc>
                <w:tcPr>
                  <w:tcW w:w="1185"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079"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02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88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36"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5</w:t>
                  </w:r>
                </w:p>
              </w:tc>
              <w:tc>
                <w:tcPr>
                  <w:tcW w:w="1244"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73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2"/>
                      <w:szCs w:val="22"/>
                    </w:rPr>
                  </w:pPr>
                  <w:r>
                    <w:rPr>
                      <w:rFonts w:hint="eastAsia" w:ascii="仿宋" w:hAnsi="仿宋" w:eastAsia="仿宋" w:cs="Arial"/>
                      <w:color w:val="000000"/>
                      <w:kern w:val="0"/>
                      <w:sz w:val="22"/>
                      <w:szCs w:val="22"/>
                    </w:rPr>
                    <w:t>五、教育支出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37</w:t>
                  </w:r>
                </w:p>
              </w:tc>
              <w:tc>
                <w:tcPr>
                  <w:tcW w:w="1185"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079"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02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88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36"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6</w:t>
                  </w:r>
                </w:p>
              </w:tc>
              <w:tc>
                <w:tcPr>
                  <w:tcW w:w="1244"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73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2"/>
                      <w:szCs w:val="22"/>
                    </w:rPr>
                  </w:pPr>
                  <w:r>
                    <w:rPr>
                      <w:rFonts w:hint="eastAsia" w:ascii="仿宋" w:hAnsi="仿宋" w:eastAsia="仿宋" w:cs="Arial"/>
                      <w:color w:val="000000"/>
                      <w:kern w:val="0"/>
                      <w:sz w:val="22"/>
                      <w:szCs w:val="22"/>
                    </w:rPr>
                    <w:t>六、科学技术支出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38</w:t>
                  </w:r>
                </w:p>
              </w:tc>
              <w:tc>
                <w:tcPr>
                  <w:tcW w:w="1185"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079"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02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88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36"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7</w:t>
                  </w:r>
                </w:p>
              </w:tc>
              <w:tc>
                <w:tcPr>
                  <w:tcW w:w="1244"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73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2"/>
                      <w:szCs w:val="22"/>
                    </w:rPr>
                  </w:pPr>
                  <w:r>
                    <w:rPr>
                      <w:rFonts w:hint="eastAsia" w:ascii="仿宋" w:hAnsi="仿宋" w:eastAsia="仿宋" w:cs="Arial"/>
                      <w:color w:val="000000"/>
                      <w:kern w:val="0"/>
                      <w:sz w:val="22"/>
                      <w:szCs w:val="22"/>
                    </w:rPr>
                    <w:t>七、文化旅游体育与传媒支出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39</w:t>
                  </w:r>
                </w:p>
              </w:tc>
              <w:tc>
                <w:tcPr>
                  <w:tcW w:w="1185"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079"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02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88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36"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8</w:t>
                  </w:r>
                </w:p>
              </w:tc>
              <w:tc>
                <w:tcPr>
                  <w:tcW w:w="1244"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73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2"/>
                      <w:szCs w:val="22"/>
                    </w:rPr>
                  </w:pPr>
                  <w:r>
                    <w:rPr>
                      <w:rFonts w:hint="eastAsia" w:ascii="仿宋" w:hAnsi="仿宋" w:eastAsia="仿宋" w:cs="Arial"/>
                      <w:color w:val="000000"/>
                      <w:kern w:val="0"/>
                      <w:sz w:val="22"/>
                      <w:szCs w:val="22"/>
                    </w:rPr>
                    <w:t>八、社会保障和就业支出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40</w:t>
                  </w:r>
                </w:p>
              </w:tc>
              <w:tc>
                <w:tcPr>
                  <w:tcW w:w="1185"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480.27</w:t>
                  </w:r>
                </w:p>
              </w:tc>
              <w:tc>
                <w:tcPr>
                  <w:tcW w:w="1079"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r>
                    <w:rPr>
                      <w:rFonts w:hint="eastAsia" w:ascii="仿宋" w:hAnsi="仿宋" w:eastAsia="仿宋" w:cs="Times New Roman"/>
                      <w:kern w:val="0"/>
                      <w:sz w:val="24"/>
                    </w:rPr>
                    <w:t>480.27</w:t>
                  </w:r>
                </w:p>
              </w:tc>
              <w:tc>
                <w:tcPr>
                  <w:tcW w:w="102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88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36"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9</w:t>
                  </w:r>
                </w:p>
              </w:tc>
              <w:tc>
                <w:tcPr>
                  <w:tcW w:w="1244"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73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2"/>
                      <w:szCs w:val="22"/>
                    </w:rPr>
                  </w:pPr>
                  <w:r>
                    <w:rPr>
                      <w:rFonts w:hint="eastAsia" w:ascii="仿宋" w:hAnsi="仿宋" w:eastAsia="仿宋" w:cs="Arial"/>
                      <w:color w:val="000000"/>
                      <w:kern w:val="0"/>
                      <w:sz w:val="22"/>
                      <w:szCs w:val="22"/>
                    </w:rPr>
                    <w:t>九、卫生健康支出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41</w:t>
                  </w:r>
                </w:p>
              </w:tc>
              <w:tc>
                <w:tcPr>
                  <w:tcW w:w="1185"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123.03</w:t>
                  </w:r>
                </w:p>
              </w:tc>
              <w:tc>
                <w:tcPr>
                  <w:tcW w:w="1079"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r>
                    <w:rPr>
                      <w:rFonts w:hint="eastAsia" w:ascii="仿宋" w:hAnsi="仿宋" w:eastAsia="仿宋" w:cs="Times New Roman"/>
                      <w:kern w:val="0"/>
                      <w:sz w:val="24"/>
                    </w:rPr>
                    <w:t>123.03</w:t>
                  </w:r>
                </w:p>
              </w:tc>
              <w:tc>
                <w:tcPr>
                  <w:tcW w:w="102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88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36"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10</w:t>
                  </w:r>
                </w:p>
              </w:tc>
              <w:tc>
                <w:tcPr>
                  <w:tcW w:w="1244"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73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2"/>
                      <w:szCs w:val="22"/>
                    </w:rPr>
                  </w:pPr>
                  <w:r>
                    <w:rPr>
                      <w:rFonts w:hint="eastAsia" w:ascii="仿宋" w:hAnsi="仿宋" w:eastAsia="仿宋" w:cs="Arial"/>
                      <w:color w:val="000000"/>
                      <w:kern w:val="0"/>
                      <w:sz w:val="22"/>
                      <w:szCs w:val="22"/>
                    </w:rPr>
                    <w:t>十、节能环保支出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42</w:t>
                  </w:r>
                </w:p>
              </w:tc>
              <w:tc>
                <w:tcPr>
                  <w:tcW w:w="1185"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24.70</w:t>
                  </w:r>
                </w:p>
              </w:tc>
              <w:tc>
                <w:tcPr>
                  <w:tcW w:w="1079"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r>
                    <w:rPr>
                      <w:rFonts w:hint="eastAsia" w:ascii="仿宋" w:hAnsi="仿宋" w:eastAsia="仿宋" w:cs="Times New Roman"/>
                      <w:kern w:val="0"/>
                      <w:sz w:val="24"/>
                    </w:rPr>
                    <w:t>24.70</w:t>
                  </w:r>
                </w:p>
              </w:tc>
              <w:tc>
                <w:tcPr>
                  <w:tcW w:w="102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88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36"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11</w:t>
                  </w:r>
                </w:p>
              </w:tc>
              <w:tc>
                <w:tcPr>
                  <w:tcW w:w="1244"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73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2"/>
                      <w:szCs w:val="22"/>
                    </w:rPr>
                  </w:pPr>
                  <w:r>
                    <w:rPr>
                      <w:rFonts w:hint="eastAsia" w:ascii="仿宋" w:hAnsi="仿宋" w:eastAsia="仿宋" w:cs="Arial"/>
                      <w:color w:val="000000"/>
                      <w:kern w:val="0"/>
                      <w:sz w:val="22"/>
                      <w:szCs w:val="22"/>
                    </w:rPr>
                    <w:t>十一、城乡社区支出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43</w:t>
                  </w:r>
                </w:p>
              </w:tc>
              <w:tc>
                <w:tcPr>
                  <w:tcW w:w="1185"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7056.48</w:t>
                  </w:r>
                </w:p>
              </w:tc>
              <w:tc>
                <w:tcPr>
                  <w:tcW w:w="1079"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02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r>
                    <w:rPr>
                      <w:rFonts w:hint="eastAsia" w:ascii="仿宋" w:hAnsi="仿宋" w:eastAsia="仿宋" w:cs="Times New Roman"/>
                      <w:kern w:val="0"/>
                      <w:sz w:val="22"/>
                      <w:szCs w:val="22"/>
                    </w:rPr>
                    <w:t>7056.48</w:t>
                  </w:r>
                </w:p>
              </w:tc>
              <w:tc>
                <w:tcPr>
                  <w:tcW w:w="88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36"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12</w:t>
                  </w:r>
                </w:p>
              </w:tc>
              <w:tc>
                <w:tcPr>
                  <w:tcW w:w="1244"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73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2"/>
                      <w:szCs w:val="22"/>
                    </w:rPr>
                  </w:pPr>
                  <w:r>
                    <w:rPr>
                      <w:rFonts w:hint="eastAsia" w:ascii="仿宋" w:hAnsi="仿宋" w:eastAsia="仿宋" w:cs="Arial"/>
                      <w:color w:val="000000"/>
                      <w:kern w:val="0"/>
                      <w:sz w:val="22"/>
                      <w:szCs w:val="22"/>
                    </w:rPr>
                    <w:t>十二、农林水支出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44</w:t>
                  </w:r>
                </w:p>
              </w:tc>
              <w:tc>
                <w:tcPr>
                  <w:tcW w:w="1185"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1550.86</w:t>
                  </w:r>
                </w:p>
              </w:tc>
              <w:tc>
                <w:tcPr>
                  <w:tcW w:w="1079"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r>
                    <w:rPr>
                      <w:rFonts w:hint="eastAsia" w:ascii="仿宋" w:hAnsi="仿宋" w:eastAsia="仿宋" w:cs="Times New Roman"/>
                      <w:kern w:val="0"/>
                      <w:sz w:val="24"/>
                    </w:rPr>
                    <w:t>1550.86</w:t>
                  </w:r>
                </w:p>
              </w:tc>
              <w:tc>
                <w:tcPr>
                  <w:tcW w:w="102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88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36"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13</w:t>
                  </w:r>
                </w:p>
              </w:tc>
              <w:tc>
                <w:tcPr>
                  <w:tcW w:w="1244"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73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2"/>
                      <w:szCs w:val="22"/>
                    </w:rPr>
                  </w:pPr>
                  <w:r>
                    <w:rPr>
                      <w:rFonts w:hint="eastAsia" w:ascii="仿宋" w:hAnsi="仿宋" w:eastAsia="仿宋" w:cs="Arial"/>
                      <w:color w:val="000000"/>
                      <w:kern w:val="0"/>
                      <w:sz w:val="22"/>
                      <w:szCs w:val="22"/>
                    </w:rPr>
                    <w:t>十三、交通运输支出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45</w:t>
                  </w:r>
                </w:p>
              </w:tc>
              <w:tc>
                <w:tcPr>
                  <w:tcW w:w="1185"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079"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02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88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36"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14</w:t>
                  </w:r>
                </w:p>
              </w:tc>
              <w:tc>
                <w:tcPr>
                  <w:tcW w:w="1244"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73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2"/>
                      <w:szCs w:val="22"/>
                    </w:rPr>
                  </w:pPr>
                  <w:r>
                    <w:rPr>
                      <w:rFonts w:hint="eastAsia" w:ascii="仿宋" w:hAnsi="仿宋" w:eastAsia="仿宋" w:cs="Arial"/>
                      <w:color w:val="000000"/>
                      <w:kern w:val="0"/>
                      <w:sz w:val="22"/>
                      <w:szCs w:val="22"/>
                    </w:rPr>
                    <w:t>十四、资源勘探工业信息等支出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46</w:t>
                  </w:r>
                </w:p>
              </w:tc>
              <w:tc>
                <w:tcPr>
                  <w:tcW w:w="1185"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079"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02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88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36"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15</w:t>
                  </w:r>
                </w:p>
              </w:tc>
              <w:tc>
                <w:tcPr>
                  <w:tcW w:w="1244"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73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2"/>
                      <w:szCs w:val="22"/>
                    </w:rPr>
                  </w:pPr>
                  <w:r>
                    <w:rPr>
                      <w:rFonts w:hint="eastAsia" w:ascii="仿宋" w:hAnsi="仿宋" w:eastAsia="仿宋" w:cs="Arial"/>
                      <w:color w:val="000000"/>
                      <w:kern w:val="0"/>
                      <w:sz w:val="22"/>
                      <w:szCs w:val="22"/>
                    </w:rPr>
                    <w:t>十五、商业服务业等支出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47</w:t>
                  </w:r>
                </w:p>
              </w:tc>
              <w:tc>
                <w:tcPr>
                  <w:tcW w:w="1185"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079"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02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88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36"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16</w:t>
                  </w:r>
                </w:p>
              </w:tc>
              <w:tc>
                <w:tcPr>
                  <w:tcW w:w="1244"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73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2"/>
                      <w:szCs w:val="22"/>
                    </w:rPr>
                  </w:pPr>
                  <w:r>
                    <w:rPr>
                      <w:rFonts w:hint="eastAsia" w:ascii="仿宋" w:hAnsi="仿宋" w:eastAsia="仿宋" w:cs="Arial"/>
                      <w:color w:val="000000"/>
                      <w:kern w:val="0"/>
                      <w:sz w:val="22"/>
                      <w:szCs w:val="22"/>
                    </w:rPr>
                    <w:t>十六、金融支出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48</w:t>
                  </w:r>
                </w:p>
              </w:tc>
              <w:tc>
                <w:tcPr>
                  <w:tcW w:w="1185"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079"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02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88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36"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17</w:t>
                  </w:r>
                </w:p>
              </w:tc>
              <w:tc>
                <w:tcPr>
                  <w:tcW w:w="1244"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73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2"/>
                      <w:szCs w:val="22"/>
                    </w:rPr>
                  </w:pPr>
                  <w:r>
                    <w:rPr>
                      <w:rFonts w:hint="eastAsia" w:ascii="仿宋" w:hAnsi="仿宋" w:eastAsia="仿宋" w:cs="Arial"/>
                      <w:color w:val="000000"/>
                      <w:kern w:val="0"/>
                      <w:sz w:val="22"/>
                      <w:szCs w:val="22"/>
                    </w:rPr>
                    <w:t>十七、援助其他地区支出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49</w:t>
                  </w:r>
                </w:p>
              </w:tc>
              <w:tc>
                <w:tcPr>
                  <w:tcW w:w="1185"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079"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02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88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36"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18</w:t>
                  </w:r>
                </w:p>
              </w:tc>
              <w:tc>
                <w:tcPr>
                  <w:tcW w:w="1244"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73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2"/>
                      <w:szCs w:val="22"/>
                    </w:rPr>
                  </w:pPr>
                  <w:r>
                    <w:rPr>
                      <w:rFonts w:hint="eastAsia" w:ascii="仿宋" w:hAnsi="仿宋" w:eastAsia="仿宋" w:cs="Arial"/>
                      <w:color w:val="000000"/>
                      <w:kern w:val="0"/>
                      <w:sz w:val="22"/>
                      <w:szCs w:val="22"/>
                    </w:rPr>
                    <w:t>十八、自然资源海洋气象等支出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50</w:t>
                  </w:r>
                </w:p>
              </w:tc>
              <w:tc>
                <w:tcPr>
                  <w:tcW w:w="1185"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5516.72</w:t>
                  </w:r>
                </w:p>
              </w:tc>
              <w:tc>
                <w:tcPr>
                  <w:tcW w:w="1079"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r>
                    <w:rPr>
                      <w:rFonts w:hint="eastAsia" w:ascii="仿宋" w:hAnsi="仿宋" w:eastAsia="仿宋" w:cs="Times New Roman"/>
                      <w:kern w:val="0"/>
                      <w:sz w:val="24"/>
                    </w:rPr>
                    <w:t>5516.72</w:t>
                  </w:r>
                </w:p>
              </w:tc>
              <w:tc>
                <w:tcPr>
                  <w:tcW w:w="102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88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36"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19</w:t>
                  </w:r>
                </w:p>
              </w:tc>
              <w:tc>
                <w:tcPr>
                  <w:tcW w:w="1244"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73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2"/>
                      <w:szCs w:val="22"/>
                    </w:rPr>
                  </w:pPr>
                  <w:r>
                    <w:rPr>
                      <w:rFonts w:hint="eastAsia" w:ascii="仿宋" w:hAnsi="仿宋" w:eastAsia="仿宋" w:cs="Arial"/>
                      <w:color w:val="000000"/>
                      <w:kern w:val="0"/>
                      <w:sz w:val="22"/>
                      <w:szCs w:val="22"/>
                    </w:rPr>
                    <w:t>十九、住房保障支出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51</w:t>
                  </w:r>
                </w:p>
              </w:tc>
              <w:tc>
                <w:tcPr>
                  <w:tcW w:w="1185"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185.41</w:t>
                  </w:r>
                </w:p>
              </w:tc>
              <w:tc>
                <w:tcPr>
                  <w:tcW w:w="1079"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r>
                    <w:rPr>
                      <w:rFonts w:hint="eastAsia" w:ascii="仿宋" w:hAnsi="仿宋" w:eastAsia="仿宋" w:cs="Times New Roman"/>
                      <w:kern w:val="0"/>
                      <w:sz w:val="24"/>
                    </w:rPr>
                    <w:t>185.41</w:t>
                  </w:r>
                </w:p>
              </w:tc>
              <w:tc>
                <w:tcPr>
                  <w:tcW w:w="102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88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36"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20</w:t>
                  </w:r>
                </w:p>
              </w:tc>
              <w:tc>
                <w:tcPr>
                  <w:tcW w:w="1244"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73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2"/>
                      <w:szCs w:val="22"/>
                    </w:rPr>
                  </w:pPr>
                  <w:r>
                    <w:rPr>
                      <w:rFonts w:hint="eastAsia" w:ascii="仿宋" w:hAnsi="仿宋" w:eastAsia="仿宋" w:cs="Arial"/>
                      <w:color w:val="000000"/>
                      <w:kern w:val="0"/>
                      <w:sz w:val="22"/>
                      <w:szCs w:val="22"/>
                    </w:rPr>
                    <w:t>二十、粮油物资储备支出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52</w:t>
                  </w:r>
                </w:p>
              </w:tc>
              <w:tc>
                <w:tcPr>
                  <w:tcW w:w="1185"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079"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02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88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36"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21</w:t>
                  </w:r>
                </w:p>
              </w:tc>
              <w:tc>
                <w:tcPr>
                  <w:tcW w:w="1244"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73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2"/>
                      <w:szCs w:val="22"/>
                    </w:rPr>
                  </w:pPr>
                  <w:r>
                    <w:rPr>
                      <w:rFonts w:hint="eastAsia" w:ascii="仿宋" w:hAnsi="仿宋" w:eastAsia="仿宋" w:cs="Arial"/>
                      <w:color w:val="000000"/>
                      <w:kern w:val="0"/>
                      <w:sz w:val="22"/>
                      <w:szCs w:val="22"/>
                    </w:rPr>
                    <w:t>二十一、国有资本经营预算支出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53</w:t>
                  </w:r>
                </w:p>
              </w:tc>
              <w:tc>
                <w:tcPr>
                  <w:tcW w:w="1185"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079"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02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88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36"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22</w:t>
                  </w:r>
                </w:p>
              </w:tc>
              <w:tc>
                <w:tcPr>
                  <w:tcW w:w="1244"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73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2"/>
                      <w:szCs w:val="22"/>
                    </w:rPr>
                  </w:pPr>
                  <w:r>
                    <w:rPr>
                      <w:rFonts w:hint="eastAsia" w:ascii="仿宋" w:hAnsi="仿宋" w:eastAsia="仿宋" w:cs="Arial"/>
                      <w:color w:val="000000"/>
                      <w:kern w:val="0"/>
                      <w:sz w:val="22"/>
                      <w:szCs w:val="22"/>
                    </w:rPr>
                    <w:t>二十二、灾害防治及应急管理支出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54</w:t>
                  </w:r>
                </w:p>
              </w:tc>
              <w:tc>
                <w:tcPr>
                  <w:tcW w:w="1185"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30.41</w:t>
                  </w:r>
                </w:p>
              </w:tc>
              <w:tc>
                <w:tcPr>
                  <w:tcW w:w="1079"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r>
                    <w:rPr>
                      <w:rFonts w:hint="eastAsia" w:ascii="仿宋" w:hAnsi="仿宋" w:eastAsia="仿宋" w:cs="Times New Roman"/>
                      <w:kern w:val="0"/>
                      <w:sz w:val="24"/>
                    </w:rPr>
                    <w:t>30.41</w:t>
                  </w:r>
                </w:p>
              </w:tc>
              <w:tc>
                <w:tcPr>
                  <w:tcW w:w="102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88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36"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23</w:t>
                  </w:r>
                </w:p>
              </w:tc>
              <w:tc>
                <w:tcPr>
                  <w:tcW w:w="1244"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73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2"/>
                      <w:szCs w:val="22"/>
                    </w:rPr>
                  </w:pPr>
                  <w:r>
                    <w:rPr>
                      <w:rFonts w:hint="eastAsia" w:ascii="仿宋" w:hAnsi="仿宋" w:eastAsia="仿宋" w:cs="Arial"/>
                      <w:color w:val="000000"/>
                      <w:kern w:val="0"/>
                      <w:sz w:val="22"/>
                      <w:szCs w:val="22"/>
                    </w:rPr>
                    <w:t>二十三、其他支出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55</w:t>
                  </w:r>
                </w:p>
              </w:tc>
              <w:tc>
                <w:tcPr>
                  <w:tcW w:w="1185"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079"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02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88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36"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25</w:t>
                  </w:r>
                </w:p>
              </w:tc>
              <w:tc>
                <w:tcPr>
                  <w:tcW w:w="1244"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73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2"/>
                      <w:szCs w:val="22"/>
                    </w:rPr>
                  </w:pPr>
                  <w:r>
                    <w:rPr>
                      <w:rFonts w:hint="eastAsia" w:ascii="仿宋" w:hAnsi="仿宋" w:eastAsia="仿宋" w:cs="Arial"/>
                      <w:color w:val="000000"/>
                      <w:kern w:val="0"/>
                      <w:sz w:val="22"/>
                      <w:szCs w:val="22"/>
                    </w:rPr>
                    <w:t>二十五、债务付息支出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57</w:t>
                  </w:r>
                </w:p>
              </w:tc>
              <w:tc>
                <w:tcPr>
                  <w:tcW w:w="1185"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079"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02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88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36"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26</w:t>
                  </w:r>
                </w:p>
              </w:tc>
              <w:tc>
                <w:tcPr>
                  <w:tcW w:w="1244"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73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2"/>
                      <w:szCs w:val="22"/>
                    </w:rPr>
                  </w:pPr>
                  <w:r>
                    <w:rPr>
                      <w:rFonts w:hint="eastAsia" w:ascii="仿宋" w:hAnsi="仿宋" w:eastAsia="仿宋" w:cs="Arial"/>
                      <w:color w:val="000000"/>
                      <w:kern w:val="0"/>
                      <w:sz w:val="22"/>
                      <w:szCs w:val="22"/>
                    </w:rPr>
                    <w:t>二十六、抗疫特别国债安排的支出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58</w:t>
                  </w:r>
                </w:p>
              </w:tc>
              <w:tc>
                <w:tcPr>
                  <w:tcW w:w="1185"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079"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02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88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36"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Times New Roman"/>
                      <w:kern w:val="0"/>
                      <w:sz w:val="24"/>
                    </w:rPr>
                  </w:pPr>
                  <w:r>
                    <w:rPr>
                      <w:rFonts w:hint="eastAsia" w:ascii="仿宋" w:hAnsi="仿宋" w:eastAsia="仿宋" w:cs="Arial"/>
                      <w:b/>
                      <w:bCs/>
                      <w:color w:val="000000"/>
                      <w:kern w:val="0"/>
                      <w:sz w:val="24"/>
                    </w:rPr>
                    <w:t>本年收入合计</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27</w:t>
                  </w:r>
                </w:p>
              </w:tc>
              <w:tc>
                <w:tcPr>
                  <w:tcW w:w="1244"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15900.03</w:t>
                  </w:r>
                </w:p>
              </w:tc>
              <w:tc>
                <w:tcPr>
                  <w:tcW w:w="1733"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2"/>
                      <w:szCs w:val="22"/>
                    </w:rPr>
                  </w:pPr>
                  <w:r>
                    <w:rPr>
                      <w:rFonts w:hint="eastAsia" w:ascii="仿宋" w:hAnsi="仿宋" w:eastAsia="仿宋" w:cs="Arial"/>
                      <w:b/>
                      <w:bCs/>
                      <w:color w:val="000000"/>
                      <w:kern w:val="0"/>
                      <w:sz w:val="22"/>
                      <w:szCs w:val="22"/>
                    </w:rPr>
                    <w:t>本年支出合计</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59</w:t>
                  </w:r>
                </w:p>
              </w:tc>
              <w:tc>
                <w:tcPr>
                  <w:tcW w:w="1185"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14967.88</w:t>
                  </w:r>
                </w:p>
              </w:tc>
              <w:tc>
                <w:tcPr>
                  <w:tcW w:w="1079"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r>
                    <w:rPr>
                      <w:rFonts w:hint="eastAsia" w:ascii="仿宋" w:hAnsi="仿宋" w:eastAsia="仿宋" w:cs="Times New Roman"/>
                      <w:kern w:val="0"/>
                      <w:sz w:val="24"/>
                    </w:rPr>
                    <w:t>7911.40</w:t>
                  </w:r>
                </w:p>
              </w:tc>
              <w:tc>
                <w:tcPr>
                  <w:tcW w:w="102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r>
                    <w:rPr>
                      <w:rFonts w:hint="eastAsia" w:ascii="仿宋" w:hAnsi="仿宋" w:eastAsia="仿宋" w:cs="Times New Roman"/>
                      <w:kern w:val="0"/>
                      <w:sz w:val="22"/>
                      <w:szCs w:val="22"/>
                    </w:rPr>
                    <w:t>7056.48</w:t>
                  </w:r>
                </w:p>
              </w:tc>
              <w:tc>
                <w:tcPr>
                  <w:tcW w:w="88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36"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b/>
                      <w:bCs/>
                      <w:color w:val="000000"/>
                      <w:kern w:val="0"/>
                      <w:sz w:val="24"/>
                    </w:rPr>
                  </w:pPr>
                  <w:r>
                    <w:rPr>
                      <w:rFonts w:hint="eastAsia" w:ascii="仿宋" w:hAnsi="仿宋" w:eastAsia="仿宋" w:cs="Arial"/>
                      <w:color w:val="000000"/>
                      <w:kern w:val="0"/>
                      <w:sz w:val="24"/>
                    </w:rPr>
                    <w:t>年初财政拨款结转和结余</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28</w:t>
                  </w:r>
                </w:p>
              </w:tc>
              <w:tc>
                <w:tcPr>
                  <w:tcW w:w="1244"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73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b/>
                      <w:bCs/>
                      <w:color w:val="000000"/>
                      <w:kern w:val="0"/>
                      <w:sz w:val="22"/>
                      <w:szCs w:val="22"/>
                    </w:rPr>
                  </w:pPr>
                  <w:r>
                    <w:rPr>
                      <w:rFonts w:hint="eastAsia" w:ascii="仿宋" w:hAnsi="仿宋" w:eastAsia="仿宋" w:cs="Arial"/>
                      <w:color w:val="000000"/>
                      <w:kern w:val="0"/>
                      <w:sz w:val="22"/>
                      <w:szCs w:val="22"/>
                    </w:rPr>
                    <w:t>年末财政拨款结转和结余</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60</w:t>
                  </w:r>
                </w:p>
              </w:tc>
              <w:tc>
                <w:tcPr>
                  <w:tcW w:w="1185"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932.15</w:t>
                  </w:r>
                </w:p>
              </w:tc>
              <w:tc>
                <w:tcPr>
                  <w:tcW w:w="1079"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r>
                    <w:rPr>
                      <w:rFonts w:hint="eastAsia" w:ascii="仿宋" w:hAnsi="仿宋" w:eastAsia="仿宋" w:cs="Times New Roman"/>
                      <w:kern w:val="0"/>
                      <w:sz w:val="24"/>
                    </w:rPr>
                    <w:t>932.15</w:t>
                  </w:r>
                </w:p>
              </w:tc>
              <w:tc>
                <w:tcPr>
                  <w:tcW w:w="102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88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36"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4"/>
                    </w:rPr>
                  </w:pPr>
                  <w:r>
                    <w:rPr>
                      <w:rFonts w:hint="eastAsia" w:ascii="仿宋" w:hAnsi="仿宋" w:eastAsia="仿宋" w:cs="Arial"/>
                      <w:color w:val="000000"/>
                      <w:kern w:val="0"/>
                      <w:sz w:val="24"/>
                    </w:rPr>
                    <w:t xml:space="preserve">  一般公共预算财政拨款</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29</w:t>
                  </w:r>
                </w:p>
              </w:tc>
              <w:tc>
                <w:tcPr>
                  <w:tcW w:w="1244"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73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61</w:t>
                  </w:r>
                </w:p>
              </w:tc>
              <w:tc>
                <w:tcPr>
                  <w:tcW w:w="1185"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079"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02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88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36"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4"/>
                    </w:rPr>
                  </w:pPr>
                  <w:r>
                    <w:rPr>
                      <w:rFonts w:hint="eastAsia" w:ascii="仿宋" w:hAnsi="仿宋" w:eastAsia="仿宋" w:cs="Arial"/>
                      <w:color w:val="000000"/>
                      <w:kern w:val="0"/>
                      <w:sz w:val="24"/>
                    </w:rPr>
                    <w:t xml:space="preserve">  政府性基金预算财政拨款</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30</w:t>
                  </w:r>
                </w:p>
              </w:tc>
              <w:tc>
                <w:tcPr>
                  <w:tcW w:w="1244"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73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62</w:t>
                  </w:r>
                </w:p>
              </w:tc>
              <w:tc>
                <w:tcPr>
                  <w:tcW w:w="1185"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079"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02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88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36"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4"/>
                    </w:rPr>
                  </w:pPr>
                  <w:r>
                    <w:rPr>
                      <w:rFonts w:hint="eastAsia" w:ascii="仿宋" w:hAnsi="仿宋" w:eastAsia="仿宋" w:cs="Arial"/>
                      <w:color w:val="000000"/>
                      <w:kern w:val="0"/>
                      <w:sz w:val="24"/>
                    </w:rPr>
                    <w:t xml:space="preserve">  国有资本经营预算财政拨款</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31</w:t>
                  </w:r>
                </w:p>
              </w:tc>
              <w:tc>
                <w:tcPr>
                  <w:tcW w:w="1244"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73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63</w:t>
                  </w:r>
                </w:p>
              </w:tc>
              <w:tc>
                <w:tcPr>
                  <w:tcW w:w="1185"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079"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02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88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36"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b/>
                      <w:bCs/>
                      <w:color w:val="000000"/>
                      <w:kern w:val="0"/>
                      <w:sz w:val="24"/>
                    </w:rPr>
                    <w:t>总计</w:t>
                  </w:r>
                </w:p>
              </w:tc>
              <w:tc>
                <w:tcPr>
                  <w:tcW w:w="567" w:type="dxa"/>
                  <w:tcBorders>
                    <w:top w:val="nil"/>
                    <w:left w:val="nil"/>
                    <w:bottom w:val="single" w:color="000000" w:sz="8"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32</w:t>
                  </w:r>
                </w:p>
              </w:tc>
              <w:tc>
                <w:tcPr>
                  <w:tcW w:w="1244"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733"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Times New Roman"/>
                      <w:kern w:val="0"/>
                      <w:sz w:val="24"/>
                    </w:rPr>
                  </w:pPr>
                  <w:r>
                    <w:rPr>
                      <w:rFonts w:hint="eastAsia" w:ascii="仿宋" w:hAnsi="仿宋" w:eastAsia="仿宋" w:cs="Arial"/>
                      <w:b/>
                      <w:bCs/>
                      <w:color w:val="000000"/>
                      <w:kern w:val="0"/>
                      <w:sz w:val="24"/>
                    </w:rPr>
                    <w:t>总计</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64</w:t>
                  </w:r>
                </w:p>
              </w:tc>
              <w:tc>
                <w:tcPr>
                  <w:tcW w:w="1185"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15900.03</w:t>
                  </w:r>
                </w:p>
              </w:tc>
              <w:tc>
                <w:tcPr>
                  <w:tcW w:w="1079"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r>
                    <w:rPr>
                      <w:rFonts w:hint="eastAsia" w:ascii="仿宋" w:hAnsi="仿宋" w:eastAsia="仿宋" w:cs="Times New Roman"/>
                      <w:kern w:val="0"/>
                      <w:sz w:val="24"/>
                    </w:rPr>
                    <w:t>8843.55</w:t>
                  </w:r>
                </w:p>
              </w:tc>
              <w:tc>
                <w:tcPr>
                  <w:tcW w:w="102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r>
                    <w:rPr>
                      <w:rFonts w:hint="eastAsia" w:ascii="仿宋" w:hAnsi="仿宋" w:eastAsia="仿宋" w:cs="Times New Roman"/>
                      <w:kern w:val="0"/>
                      <w:sz w:val="24"/>
                    </w:rPr>
                    <w:t>7056.4</w:t>
                  </w:r>
                </w:p>
              </w:tc>
              <w:tc>
                <w:tcPr>
                  <w:tcW w:w="88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36"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9682" w:type="dxa"/>
                  <w:gridSpan w:val="13"/>
                  <w:tcBorders>
                    <w:top w:val="nil"/>
                    <w:left w:val="nil"/>
                    <w:bottom w:val="nil"/>
                    <w:right w:val="single" w:color="000000" w:sz="4" w:space="0"/>
                  </w:tcBorders>
                  <w:shd w:val="clear" w:color="auto" w:fill="auto"/>
                  <w:vAlign w:val="center"/>
                </w:tcPr>
                <w:p>
                  <w:pPr>
                    <w:widowControl/>
                    <w:spacing w:line="200" w:lineRule="exact"/>
                    <w:jc w:val="left"/>
                    <w:rPr>
                      <w:rFonts w:ascii="仿宋" w:hAnsi="仿宋" w:eastAsia="仿宋" w:cs="Times New Roman"/>
                      <w:kern w:val="0"/>
                      <w:sz w:val="24"/>
                    </w:rPr>
                  </w:pPr>
                  <w:r>
                    <w:rPr>
                      <w:rFonts w:hint="eastAsia" w:ascii="仿宋" w:hAnsi="仿宋" w:eastAsia="仿宋" w:cs="Arial"/>
                      <w:color w:val="000000"/>
                      <w:kern w:val="0"/>
                      <w:sz w:val="24"/>
                    </w:rPr>
                    <w:t>注：本表反映部门本年度一般公共预算财政拨款、政府性基金预算财政拨款和国有资本经营预算财政拨款的总收支和年末结转结余情况。</w:t>
                  </w:r>
                </w:p>
              </w:tc>
              <w:tc>
                <w:tcPr>
                  <w:tcW w:w="236"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9682" w:type="dxa"/>
                  <w:gridSpan w:val="13"/>
                  <w:tcBorders>
                    <w:top w:val="nil"/>
                    <w:left w:val="nil"/>
                    <w:bottom w:val="nil"/>
                    <w:right w:val="nil"/>
                  </w:tcBorders>
                  <w:shd w:val="clear" w:color="auto" w:fill="auto"/>
                  <w:vAlign w:val="center"/>
                </w:tcPr>
                <w:p>
                  <w:pPr>
                    <w:widowControl/>
                    <w:spacing w:line="240" w:lineRule="exact"/>
                    <w:jc w:val="left"/>
                    <w:rPr>
                      <w:rFonts w:ascii="仿宋" w:hAnsi="仿宋" w:eastAsia="仿宋" w:cs="Arial"/>
                      <w:color w:val="000000"/>
                      <w:kern w:val="0"/>
                      <w:sz w:val="24"/>
                    </w:rPr>
                  </w:pPr>
                </w:p>
              </w:tc>
              <w:tc>
                <w:tcPr>
                  <w:tcW w:w="236" w:type="dxa"/>
                  <w:vAlign w:val="center"/>
                </w:tcPr>
                <w:p>
                  <w:pPr>
                    <w:widowControl/>
                    <w:jc w:val="left"/>
                    <w:rPr>
                      <w:rFonts w:ascii="仿宋" w:hAnsi="仿宋" w:eastAsia="仿宋" w:cs="Times New Roman"/>
                      <w:kern w:val="0"/>
                      <w:sz w:val="24"/>
                    </w:rPr>
                  </w:pPr>
                </w:p>
              </w:tc>
            </w:tr>
          </w:tbl>
          <w:p>
            <w:pPr>
              <w:widowControl/>
              <w:jc w:val="center"/>
              <w:textAlignment w:val="center"/>
              <w:rPr>
                <w:rFonts w:ascii="仿宋" w:hAnsi="仿宋" w:eastAsia="仿宋" w:cs="黑体"/>
                <w:color w:val="000000"/>
                <w:sz w:val="24"/>
              </w:rPr>
            </w:pPr>
            <w:r>
              <w:rPr>
                <w:rFonts w:hint="eastAsia" w:ascii="仿宋" w:hAnsi="仿宋" w:eastAsia="仿宋" w:cs="黑体"/>
                <w:color w:val="000000"/>
                <w:kern w:val="0"/>
                <w:sz w:val="24"/>
                <w:lang w:bidi="ar"/>
              </w:rPr>
              <w:t>一般公共预算财政拨款支出决算表</w:t>
            </w:r>
          </w:p>
        </w:tc>
      </w:tr>
      <w:tr>
        <w:tblPrEx>
          <w:tblCellMar>
            <w:top w:w="0" w:type="dxa"/>
            <w:left w:w="0" w:type="dxa"/>
            <w:bottom w:w="0" w:type="dxa"/>
            <w:right w:w="0" w:type="dxa"/>
          </w:tblCellMar>
        </w:tblPrEx>
        <w:trPr>
          <w:trHeight w:val="255" w:hRule="atLeast"/>
          <w:jc w:val="center"/>
        </w:trPr>
        <w:tc>
          <w:tcPr>
            <w:tcW w:w="1168"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1695"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2329"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仿宋" w:hAnsi="仿宋" w:eastAsia="仿宋" w:cs="宋体"/>
                <w:color w:val="000000"/>
                <w:sz w:val="24"/>
              </w:rPr>
            </w:pPr>
            <w:r>
              <w:rPr>
                <w:rFonts w:hint="eastAsia" w:ascii="仿宋" w:hAnsi="仿宋" w:eastAsia="仿宋" w:cs="宋体"/>
                <w:color w:val="000000"/>
                <w:kern w:val="0"/>
                <w:sz w:val="24"/>
                <w:lang w:bidi="ar"/>
              </w:rPr>
              <w:t>公开05表</w:t>
            </w:r>
          </w:p>
        </w:tc>
      </w:tr>
      <w:tr>
        <w:tblPrEx>
          <w:tblCellMar>
            <w:top w:w="0" w:type="dxa"/>
            <w:left w:w="0" w:type="dxa"/>
            <w:bottom w:w="0" w:type="dxa"/>
            <w:right w:w="0" w:type="dxa"/>
          </w:tblCellMar>
        </w:tblPrEx>
        <w:trPr>
          <w:trHeight w:val="255" w:hRule="atLeast"/>
          <w:jc w:val="center"/>
        </w:trPr>
        <w:tc>
          <w:tcPr>
            <w:tcW w:w="1168"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仿宋" w:hAnsi="仿宋" w:eastAsia="仿宋" w:cs="宋体"/>
                <w:color w:val="000000"/>
                <w:sz w:val="24"/>
              </w:rPr>
            </w:pPr>
            <w:r>
              <w:rPr>
                <w:rFonts w:hint="eastAsia" w:ascii="仿宋" w:hAnsi="仿宋" w:eastAsia="仿宋" w:cs="宋体"/>
                <w:color w:val="000000"/>
                <w:kern w:val="0"/>
                <w:sz w:val="24"/>
                <w:lang w:bidi="ar"/>
              </w:rPr>
              <w:t>部门：</w:t>
            </w: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1695"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b w:val="0"/>
                <w:bCs w:val="0"/>
                <w:color w:val="000000"/>
                <w:sz w:val="24"/>
              </w:rPr>
            </w:pPr>
            <w:r>
              <w:rPr>
                <w:rFonts w:hint="eastAsia" w:ascii="仿宋" w:hAnsi="仿宋" w:eastAsia="仿宋" w:cs="Arial"/>
                <w:b w:val="0"/>
                <w:bCs w:val="0"/>
                <w:color w:val="000000"/>
                <w:sz w:val="24"/>
              </w:rPr>
              <w:t>保定市自然资源和规划局满城区分局</w:t>
            </w:r>
          </w:p>
        </w:tc>
        <w:tc>
          <w:tcPr>
            <w:tcW w:w="2329"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仿宋" w:hAnsi="仿宋" w:eastAsia="仿宋" w:cs="宋体"/>
                <w:color w:val="000000"/>
                <w:sz w:val="24"/>
              </w:rPr>
            </w:pPr>
            <w:r>
              <w:rPr>
                <w:rFonts w:hint="eastAsia" w:ascii="仿宋" w:hAnsi="仿宋" w:eastAsia="仿宋" w:cs="宋体"/>
                <w:color w:val="000000"/>
                <w:kern w:val="0"/>
                <w:sz w:val="24"/>
                <w:lang w:bidi="ar"/>
              </w:rPr>
              <w:t>金额单位：万元</w:t>
            </w:r>
          </w:p>
        </w:tc>
      </w:tr>
      <w:tr>
        <w:tblPrEx>
          <w:tblCellMar>
            <w:top w:w="0" w:type="dxa"/>
            <w:left w:w="0" w:type="dxa"/>
            <w:bottom w:w="0" w:type="dxa"/>
            <w:right w:w="0" w:type="dxa"/>
          </w:tblCellMar>
        </w:tblPrEx>
        <w:trPr>
          <w:trHeight w:val="308" w:hRule="atLeast"/>
          <w:jc w:val="center"/>
        </w:trPr>
        <w:tc>
          <w:tcPr>
            <w:tcW w:w="299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项目</w:t>
            </w:r>
          </w:p>
        </w:tc>
        <w:tc>
          <w:tcPr>
            <w:tcW w:w="6987"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本年支出</w:t>
            </w:r>
          </w:p>
        </w:tc>
      </w:tr>
      <w:tr>
        <w:tblPrEx>
          <w:tblCellMar>
            <w:top w:w="0" w:type="dxa"/>
            <w:left w:w="0" w:type="dxa"/>
            <w:bottom w:w="0" w:type="dxa"/>
            <w:right w:w="0" w:type="dxa"/>
          </w:tblCellMar>
        </w:tblPrEx>
        <w:trPr>
          <w:trHeight w:val="312" w:hRule="atLeast"/>
          <w:jc w:val="center"/>
        </w:trPr>
        <w:tc>
          <w:tcPr>
            <w:tcW w:w="1302"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功能分类科目编码</w:t>
            </w:r>
          </w:p>
        </w:tc>
        <w:tc>
          <w:tcPr>
            <w:tcW w:w="1695"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科目名称</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小计</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基本支出</w:t>
            </w:r>
          </w:p>
        </w:tc>
        <w:tc>
          <w:tcPr>
            <w:tcW w:w="232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项目支出</w:t>
            </w:r>
          </w:p>
        </w:tc>
      </w:tr>
      <w:tr>
        <w:tblPrEx>
          <w:tblCellMar>
            <w:top w:w="0" w:type="dxa"/>
            <w:left w:w="0" w:type="dxa"/>
            <w:bottom w:w="0" w:type="dxa"/>
            <w:right w:w="0" w:type="dxa"/>
          </w:tblCellMar>
        </w:tblPrEx>
        <w:trPr>
          <w:trHeight w:val="312" w:hRule="atLeast"/>
          <w:jc w:val="center"/>
        </w:trPr>
        <w:tc>
          <w:tcPr>
            <w:tcW w:w="1302"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69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r>
      <w:tr>
        <w:tblPrEx>
          <w:tblCellMar>
            <w:top w:w="0" w:type="dxa"/>
            <w:left w:w="0" w:type="dxa"/>
            <w:bottom w:w="0" w:type="dxa"/>
            <w:right w:w="0" w:type="dxa"/>
          </w:tblCellMar>
        </w:tblPrEx>
        <w:trPr>
          <w:trHeight w:val="312" w:hRule="atLeast"/>
          <w:jc w:val="center"/>
        </w:trPr>
        <w:tc>
          <w:tcPr>
            <w:tcW w:w="1302"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69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r>
      <w:tr>
        <w:tblPrEx>
          <w:tblCellMar>
            <w:top w:w="0" w:type="dxa"/>
            <w:left w:w="0" w:type="dxa"/>
            <w:bottom w:w="0" w:type="dxa"/>
            <w:right w:w="0" w:type="dxa"/>
          </w:tblCellMar>
        </w:tblPrEx>
        <w:trPr>
          <w:trHeight w:val="308" w:hRule="atLeast"/>
          <w:jc w:val="center"/>
        </w:trPr>
        <w:tc>
          <w:tcPr>
            <w:tcW w:w="2997"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栏次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w:t>
            </w:r>
          </w:p>
        </w:tc>
      </w:tr>
      <w:tr>
        <w:tblPrEx>
          <w:tblCellMar>
            <w:top w:w="0" w:type="dxa"/>
            <w:left w:w="0" w:type="dxa"/>
            <w:bottom w:w="0" w:type="dxa"/>
            <w:right w:w="0" w:type="dxa"/>
          </w:tblCellMar>
        </w:tblPrEx>
        <w:trPr>
          <w:trHeight w:val="308" w:hRule="atLeast"/>
          <w:jc w:val="center"/>
        </w:trPr>
        <w:tc>
          <w:tcPr>
            <w:tcW w:w="2997"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合计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b/>
                <w:color w:val="000000"/>
                <w:sz w:val="24"/>
              </w:rPr>
            </w:pPr>
            <w:r>
              <w:rPr>
                <w:rFonts w:hint="eastAsia" w:ascii="仿宋" w:hAnsi="仿宋" w:eastAsia="仿宋" w:cs="宋体"/>
                <w:b/>
                <w:color w:val="000000"/>
                <w:sz w:val="24"/>
              </w:rPr>
              <w:t>8843.55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b/>
                <w:color w:val="000000"/>
                <w:sz w:val="24"/>
              </w:rPr>
            </w:pPr>
            <w:r>
              <w:rPr>
                <w:rFonts w:hint="eastAsia" w:ascii="仿宋" w:hAnsi="仿宋" w:eastAsia="仿宋" w:cs="宋体"/>
                <w:b/>
                <w:color w:val="000000"/>
                <w:sz w:val="24"/>
              </w:rPr>
              <w:t>3919.85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b/>
                <w:color w:val="000000"/>
                <w:sz w:val="24"/>
              </w:rPr>
            </w:pPr>
            <w:r>
              <w:rPr>
                <w:rFonts w:hint="eastAsia" w:ascii="仿宋" w:hAnsi="仿宋" w:eastAsia="仿宋" w:cs="宋体"/>
                <w:b/>
                <w:color w:val="000000"/>
                <w:sz w:val="24"/>
              </w:rPr>
              <w:t>4923.70</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208</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社会保障和就业支出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480.27</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jc w:val="center"/>
              <w:rPr>
                <w:rFonts w:ascii="仿宋" w:hAnsi="仿宋" w:eastAsia="仿宋"/>
                <w:sz w:val="24"/>
              </w:rPr>
            </w:pPr>
            <w:r>
              <w:rPr>
                <w:rFonts w:hint="eastAsia" w:ascii="仿宋" w:hAnsi="仿宋" w:eastAsia="仿宋" w:cs="Arial"/>
                <w:color w:val="000000"/>
                <w:sz w:val="24"/>
              </w:rPr>
              <w:t>480.27</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20805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行政事业单位养老支出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480.27</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jc w:val="center"/>
              <w:rPr>
                <w:rFonts w:ascii="仿宋" w:hAnsi="仿宋" w:eastAsia="仿宋"/>
                <w:sz w:val="24"/>
              </w:rPr>
            </w:pPr>
            <w:r>
              <w:rPr>
                <w:rFonts w:hint="eastAsia" w:ascii="仿宋" w:hAnsi="仿宋" w:eastAsia="仿宋" w:cs="Arial"/>
                <w:color w:val="000000"/>
                <w:sz w:val="24"/>
              </w:rPr>
              <w:t>480.27</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2080501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行政单位离退休</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11.88</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11.88</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2080505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机关事业单位基本养老保险缴费支出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323.33</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323.33</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2080506</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机关事业单位职业年金缴费支出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145.06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145.06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210</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卫生健康支出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123.03</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123.03</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21011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行政事业单位医疗</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jc w:val="center"/>
              <w:rPr>
                <w:rFonts w:ascii="仿宋" w:hAnsi="仿宋" w:eastAsia="仿宋"/>
                <w:sz w:val="24"/>
              </w:rPr>
            </w:pPr>
            <w:r>
              <w:rPr>
                <w:rFonts w:hint="eastAsia" w:ascii="仿宋" w:hAnsi="仿宋" w:eastAsia="仿宋" w:cs="Arial"/>
                <w:color w:val="000000"/>
                <w:sz w:val="24"/>
              </w:rPr>
              <w:t>123.03</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jc w:val="center"/>
              <w:rPr>
                <w:rFonts w:ascii="仿宋" w:hAnsi="仿宋" w:eastAsia="仿宋"/>
                <w:sz w:val="24"/>
              </w:rPr>
            </w:pPr>
            <w:r>
              <w:rPr>
                <w:rFonts w:hint="eastAsia" w:ascii="仿宋" w:hAnsi="仿宋" w:eastAsia="仿宋" w:cs="Arial"/>
                <w:color w:val="000000"/>
                <w:sz w:val="24"/>
              </w:rPr>
              <w:t>123.03</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2101101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行政单位医疗</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12.70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12.70</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2101102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事业单位医疗</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110.33</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110.33</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211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节能环保支出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24.70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24.70</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21105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天然林保护</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9.44</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9.44</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2110507</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停伐补助</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9.44</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9.44</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21106</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退耕还林还草</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15.26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15.26</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2110602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退耕现金</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15.26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15.26</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213</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农林水支出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2050.86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2050.86</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21301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农业农村</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5.6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5.6</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2130125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农产品加工与促销</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5.6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5.6</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21302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林业和草原</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2045.26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2045.26</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2130205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森林资源培育</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1840.35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1840.35</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2130206</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技术推广与转化</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70.00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70.00</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2130209</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森林生态效益补偿</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16.74</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16.74</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2130211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动植物保护</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23.29</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23.29</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2130234</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林业草原防灾减灾</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59.89</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59.89</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2130299</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其他林业和草原支出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35.00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35.00</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220</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自然资源海洋气象等支出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5948.87</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3131.14</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2817.73</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22001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自然资源事务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5646.87</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3131.14</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2515.73</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2200101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行政运行</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334.19</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334.19</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2200104</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自然资源规划及管理</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363.39</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363.39</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2200106</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自然资源利用与保护</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103.62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103.62</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2200108</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自然资源行业业务管理</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50.00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50.00</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2200109</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自然资源调查与确权登记</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156.30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156.30</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2200114</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地质勘查与矿产资源管理</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1842.42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1842.42</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2200150</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事业运行</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1998.39</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1998.39</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2200199</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其他自然资源事务支出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798.56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798.56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22099</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其他自然资源海洋气象等支出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302.00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302.00</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2209901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其他自然资源海洋气象等支出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302.00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302.00</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住房保障支出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185.41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jc w:val="center"/>
              <w:rPr>
                <w:rFonts w:ascii="仿宋" w:hAnsi="仿宋" w:eastAsia="仿宋"/>
                <w:sz w:val="24"/>
              </w:rPr>
            </w:pPr>
            <w:r>
              <w:rPr>
                <w:rFonts w:hint="eastAsia" w:ascii="仿宋" w:hAnsi="仿宋" w:eastAsia="仿宋" w:cs="Arial"/>
                <w:color w:val="000000"/>
                <w:sz w:val="24"/>
              </w:rPr>
              <w:t>185.41</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ind w:right="200"/>
              <w:jc w:val="center"/>
              <w:rPr>
                <w:rFonts w:ascii="仿宋" w:hAnsi="仿宋" w:eastAsia="仿宋"/>
                <w:sz w:val="24"/>
              </w:rPr>
            </w:pP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22102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住房改革支出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jc w:val="center"/>
              <w:rPr>
                <w:rFonts w:ascii="仿宋" w:hAnsi="仿宋" w:eastAsia="仿宋"/>
                <w:sz w:val="24"/>
              </w:rPr>
            </w:pPr>
            <w:r>
              <w:rPr>
                <w:rFonts w:hint="eastAsia" w:ascii="仿宋" w:hAnsi="仿宋" w:eastAsia="仿宋" w:cs="Arial"/>
                <w:color w:val="000000"/>
                <w:sz w:val="24"/>
              </w:rPr>
              <w:t>185.41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jc w:val="center"/>
              <w:rPr>
                <w:rFonts w:ascii="仿宋" w:hAnsi="仿宋" w:eastAsia="仿宋"/>
                <w:sz w:val="24"/>
              </w:rPr>
            </w:pPr>
            <w:r>
              <w:rPr>
                <w:rFonts w:hint="eastAsia" w:ascii="仿宋" w:hAnsi="仿宋" w:eastAsia="仿宋" w:cs="Arial"/>
                <w:color w:val="000000"/>
                <w:sz w:val="24"/>
              </w:rPr>
              <w:t>185.41</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2210201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住房公积金</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jc w:val="center"/>
              <w:rPr>
                <w:rFonts w:ascii="仿宋" w:hAnsi="仿宋" w:eastAsia="仿宋"/>
                <w:sz w:val="24"/>
              </w:rPr>
            </w:pPr>
            <w:r>
              <w:rPr>
                <w:rFonts w:hint="eastAsia" w:ascii="仿宋" w:hAnsi="仿宋" w:eastAsia="仿宋" w:cs="Arial"/>
                <w:color w:val="000000"/>
                <w:sz w:val="24"/>
              </w:rPr>
              <w:t>185.41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jc w:val="center"/>
              <w:rPr>
                <w:rFonts w:ascii="仿宋" w:hAnsi="仿宋" w:eastAsia="仿宋"/>
                <w:sz w:val="24"/>
              </w:rPr>
            </w:pPr>
            <w:r>
              <w:rPr>
                <w:rFonts w:hint="eastAsia" w:ascii="仿宋" w:hAnsi="仿宋" w:eastAsia="仿宋" w:cs="Arial"/>
                <w:color w:val="000000"/>
                <w:sz w:val="24"/>
              </w:rPr>
              <w:t>185.41</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right="200"/>
              <w:jc w:val="center"/>
              <w:rPr>
                <w:rFonts w:ascii="仿宋" w:hAnsi="仿宋" w:eastAsia="仿宋" w:cs="Arial"/>
                <w:color w:val="000000"/>
                <w:sz w:val="24"/>
              </w:rPr>
            </w:pP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224</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灾害防治及应急管理支出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30.41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330.41</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22402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消防事务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17.06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17.06</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2240204</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消防应急救援</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17.06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17.06</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22403</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森林消防事务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13.35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13.35</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2240304</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森林消防应急救援</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13.35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13.35</w:t>
            </w:r>
          </w:p>
        </w:tc>
      </w:tr>
    </w:tbl>
    <w:p>
      <w:pPr>
        <w:rPr>
          <w:rFonts w:ascii="仿宋" w:hAnsi="仿宋" w:eastAsia="仿宋"/>
          <w:sz w:val="24"/>
        </w:rPr>
      </w:pPr>
      <w:r>
        <w:rPr>
          <w:rFonts w:ascii="仿宋" w:hAnsi="仿宋" w:eastAsia="仿宋"/>
          <w:sz w:val="24"/>
        </w:rPr>
        <w:br w:type="page"/>
      </w:r>
    </w:p>
    <w:p>
      <w:pPr>
        <w:widowControl/>
        <w:jc w:val="center"/>
        <w:textAlignment w:val="center"/>
        <w:rPr>
          <w:rFonts w:ascii="黑体" w:hAnsi="宋体" w:eastAsia="黑体" w:cs="黑体"/>
          <w:color w:val="000000"/>
          <w:kern w:val="0"/>
          <w:sz w:val="28"/>
          <w:szCs w:val="28"/>
          <w:lang w:bidi="ar"/>
        </w:rPr>
        <w:sectPr>
          <w:pgSz w:w="11906" w:h="16838"/>
          <w:pgMar w:top="2098" w:right="1531" w:bottom="1984" w:left="1531" w:header="851" w:footer="992" w:gutter="0"/>
          <w:cols w:space="425" w:num="1"/>
          <w:docGrid w:type="lines" w:linePitch="312" w:charSpace="0"/>
        </w:sectPr>
      </w:pPr>
    </w:p>
    <w:tbl>
      <w:tblPr>
        <w:tblStyle w:val="5"/>
        <w:tblW w:w="14076" w:type="dxa"/>
        <w:jc w:val="center"/>
        <w:tblLayout w:type="fixed"/>
        <w:tblCellMar>
          <w:top w:w="0" w:type="dxa"/>
          <w:left w:w="0" w:type="dxa"/>
          <w:bottom w:w="0" w:type="dxa"/>
          <w:right w:w="0" w:type="dxa"/>
        </w:tblCellMar>
      </w:tblPr>
      <w:tblGrid>
        <w:gridCol w:w="1251"/>
        <w:gridCol w:w="2477"/>
        <w:gridCol w:w="1317"/>
        <w:gridCol w:w="913"/>
        <w:gridCol w:w="2463"/>
        <w:gridCol w:w="966"/>
        <w:gridCol w:w="861"/>
        <w:gridCol w:w="3028"/>
        <w:gridCol w:w="800"/>
      </w:tblGrid>
      <w:tr>
        <w:tblPrEx>
          <w:tblCellMar>
            <w:top w:w="0" w:type="dxa"/>
            <w:left w:w="0" w:type="dxa"/>
            <w:bottom w:w="0" w:type="dxa"/>
            <w:right w:w="0" w:type="dxa"/>
          </w:tblCellMar>
        </w:tblPrEx>
        <w:trPr>
          <w:trHeight w:val="404" w:hRule="atLeast"/>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pPr>
              <w:widowControl/>
              <w:spacing w:line="420" w:lineRule="exact"/>
              <w:jc w:val="center"/>
              <w:textAlignment w:val="center"/>
              <w:rPr>
                <w:rFonts w:ascii="仿宋" w:hAnsi="仿宋" w:eastAsia="仿宋" w:cs="黑体"/>
                <w:color w:val="000000"/>
                <w:sz w:val="24"/>
              </w:rPr>
            </w:pPr>
            <w:r>
              <w:rPr>
                <w:rFonts w:hint="eastAsia" w:ascii="仿宋" w:hAnsi="仿宋" w:eastAsia="仿宋" w:cs="黑体"/>
                <w:color w:val="000000"/>
                <w:kern w:val="0"/>
                <w:sz w:val="24"/>
                <w:lang w:bidi="ar"/>
              </w:rPr>
              <w:t>一般公共预算财政拨款基本支出决算表</w:t>
            </w:r>
          </w:p>
        </w:tc>
      </w:tr>
      <w:tr>
        <w:tblPrEx>
          <w:tblCellMar>
            <w:top w:w="0" w:type="dxa"/>
            <w:left w:w="0" w:type="dxa"/>
            <w:bottom w:w="0" w:type="dxa"/>
            <w:right w:w="0" w:type="dxa"/>
          </w:tblCellMar>
        </w:tblPrEx>
        <w:trPr>
          <w:trHeight w:val="66"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仿宋" w:hAnsi="仿宋" w:eastAsia="仿宋" w:cs="Arial"/>
                <w:color w:val="000000"/>
                <w:sz w:val="24"/>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仿宋" w:hAnsi="仿宋" w:eastAsia="仿宋" w:cs="Arial"/>
                <w:color w:val="000000"/>
                <w:sz w:val="24"/>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仿宋" w:hAnsi="仿宋" w:eastAsia="仿宋" w:cs="宋体"/>
                <w:color w:val="000000"/>
                <w:sz w:val="24"/>
              </w:rPr>
            </w:pPr>
            <w:r>
              <w:rPr>
                <w:rFonts w:hint="eastAsia" w:ascii="仿宋" w:hAnsi="仿宋" w:eastAsia="仿宋" w:cs="宋体"/>
                <w:color w:val="000000"/>
                <w:kern w:val="0"/>
                <w:sz w:val="24"/>
                <w:lang w:bidi="ar"/>
              </w:rPr>
              <w:t>公开06表</w:t>
            </w:r>
          </w:p>
        </w:tc>
      </w:tr>
      <w:tr>
        <w:tblPrEx>
          <w:tblCellMar>
            <w:top w:w="0" w:type="dxa"/>
            <w:left w:w="0" w:type="dxa"/>
            <w:bottom w:w="0" w:type="dxa"/>
            <w:right w:w="0" w:type="dxa"/>
          </w:tblCellMar>
        </w:tblPrEx>
        <w:trPr>
          <w:trHeight w:val="61"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仿宋" w:hAnsi="仿宋" w:eastAsia="仿宋" w:cs="宋体"/>
                <w:color w:val="000000"/>
                <w:sz w:val="24"/>
              </w:rPr>
            </w:pPr>
            <w:r>
              <w:rPr>
                <w:rFonts w:hint="eastAsia" w:ascii="仿宋" w:hAnsi="仿宋" w:eastAsia="仿宋" w:cs="宋体"/>
                <w:color w:val="000000"/>
                <w:kern w:val="0"/>
                <w:sz w:val="24"/>
                <w:lang w:bidi="ar"/>
              </w:rPr>
              <w:t>部门：</w:t>
            </w: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仿宋" w:hAnsi="仿宋" w:eastAsia="仿宋" w:cs="Arial"/>
                <w:color w:val="000000"/>
                <w:sz w:val="24"/>
              </w:rPr>
            </w:pPr>
            <w:r>
              <w:rPr>
                <w:rFonts w:hint="eastAsia" w:ascii="仿宋" w:hAnsi="仿宋" w:eastAsia="仿宋" w:cs="Arial"/>
                <w:color w:val="000000"/>
                <w:sz w:val="24"/>
              </w:rPr>
              <w:t>保定市自然资源和规划局满城区分局</w:t>
            </w: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仿宋" w:hAnsi="仿宋" w:eastAsia="仿宋" w:cs="Arial"/>
                <w:color w:val="000000"/>
                <w:sz w:val="24"/>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仿宋" w:hAnsi="仿宋" w:eastAsia="仿宋" w:cs="宋体"/>
                <w:color w:val="000000"/>
                <w:sz w:val="24"/>
              </w:rPr>
            </w:pPr>
            <w:r>
              <w:rPr>
                <w:rFonts w:hint="eastAsia" w:ascii="仿宋" w:hAnsi="仿宋" w:eastAsia="仿宋" w:cs="宋体"/>
                <w:color w:val="000000"/>
                <w:kern w:val="0"/>
                <w:sz w:val="24"/>
                <w:lang w:bidi="ar"/>
              </w:rPr>
              <w:t>金额单位：万元</w:t>
            </w:r>
          </w:p>
        </w:tc>
      </w:tr>
      <w:tr>
        <w:tblPrEx>
          <w:tblCellMar>
            <w:top w:w="0" w:type="dxa"/>
            <w:left w:w="0" w:type="dxa"/>
            <w:bottom w:w="0" w:type="dxa"/>
            <w:right w:w="0" w:type="dxa"/>
          </w:tblCellMar>
        </w:tblPrEx>
        <w:trPr>
          <w:trHeight w:val="242" w:hRule="atLeast"/>
          <w:jc w:val="center"/>
        </w:trPr>
        <w:tc>
          <w:tcPr>
            <w:tcW w:w="504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人员经费</w:t>
            </w:r>
          </w:p>
        </w:tc>
        <w:tc>
          <w:tcPr>
            <w:tcW w:w="9031"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公用经费</w:t>
            </w:r>
          </w:p>
        </w:tc>
      </w:tr>
      <w:tr>
        <w:tblPrEx>
          <w:tblCellMar>
            <w:top w:w="0" w:type="dxa"/>
            <w:left w:w="0" w:type="dxa"/>
            <w:bottom w:w="0" w:type="dxa"/>
            <w:right w:w="0" w:type="dxa"/>
          </w:tblCellMar>
        </w:tblPrEx>
        <w:trPr>
          <w:trHeight w:val="240" w:hRule="atLeast"/>
          <w:jc w:val="center"/>
        </w:trPr>
        <w:tc>
          <w:tcPr>
            <w:tcW w:w="125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科目编码</w:t>
            </w:r>
          </w:p>
        </w:tc>
        <w:tc>
          <w:tcPr>
            <w:tcW w:w="2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科目名称</w:t>
            </w:r>
          </w:p>
        </w:tc>
        <w:tc>
          <w:tcPr>
            <w:tcW w:w="13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决算数</w:t>
            </w:r>
          </w:p>
        </w:tc>
        <w:tc>
          <w:tcPr>
            <w:tcW w:w="91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科目编码</w:t>
            </w:r>
          </w:p>
        </w:tc>
        <w:tc>
          <w:tcPr>
            <w:tcW w:w="24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科目名称</w:t>
            </w:r>
          </w:p>
        </w:tc>
        <w:tc>
          <w:tcPr>
            <w:tcW w:w="96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决算数</w:t>
            </w:r>
          </w:p>
        </w:tc>
        <w:tc>
          <w:tcPr>
            <w:tcW w:w="86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科目编码</w:t>
            </w:r>
          </w:p>
        </w:tc>
        <w:tc>
          <w:tcPr>
            <w:tcW w:w="302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科目名称</w:t>
            </w:r>
          </w:p>
        </w:tc>
        <w:tc>
          <w:tcPr>
            <w:tcW w:w="8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决算数</w:t>
            </w:r>
          </w:p>
        </w:tc>
      </w:tr>
      <w:tr>
        <w:tblPrEx>
          <w:tblCellMar>
            <w:top w:w="0" w:type="dxa"/>
            <w:left w:w="0" w:type="dxa"/>
            <w:bottom w:w="0" w:type="dxa"/>
            <w:right w:w="0" w:type="dxa"/>
          </w:tblCellMar>
        </w:tblPrEx>
        <w:trPr>
          <w:trHeight w:val="312" w:hRule="atLeast"/>
          <w:jc w:val="center"/>
        </w:trPr>
        <w:tc>
          <w:tcPr>
            <w:tcW w:w="125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2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91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2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96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86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30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8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3759.89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112.36</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债务利息及费用支出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30101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基本工资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1210.36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30201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办公费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46.92</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30701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国内债务付息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30102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津贴补贴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176.82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印刷费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30702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国外债务付息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30103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奖金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200.50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30203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咨询费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30106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伙食补助费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30204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手续费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31001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房屋建筑物购建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30107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绩效工资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1203.03</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30205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水费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31002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办公设备购置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30108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机关事业单位基本养老保险缴费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437.78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30206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31003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专用设备购置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30109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职业年金缴费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194.19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30207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邮电费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10.09</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31005</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基础设施建设</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30110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职工基本医疗保险缴费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151.80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30208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取暖费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17.18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31006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大型修缮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30111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公务员医疗补助缴费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30209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物业管理费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31007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信息网络及软件购置更新</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30112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其他社会保障缴费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30211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差旅费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31008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物资储备</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30113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住房公积金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185.41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30212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因公出国（境）费用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31009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土地补偿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30114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医疗费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30213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维修（护）费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31010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安置补助</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30199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其他工资福利支出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30214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租赁费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31011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地上附着物和青苗补偿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47.61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30215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会议费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31012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拆迁补偿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离休费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30216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培训费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31013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公务用车购置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30302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退休费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26.74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公务接待费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31019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其他交通工具购置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退职（役）费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30218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专用材料费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31021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文物和陈列品购置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30304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抚恤金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15.15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30224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被装购置费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31022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无形资产购置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30305</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生活补助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0.72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30225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专用燃料费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31099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其他资本性支出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30306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救济费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30226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劳务费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30307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医疗费补助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30227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委托业务费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39906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赠与</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30308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助学金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30228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工会经费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39907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国家赔偿费用支出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30309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奖励金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4.99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30229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福利费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39908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对民间非营利组织和群众性自治组织补贴</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30310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个人农业生产补贴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仿宋" w:hAnsi="仿宋" w:eastAsia="仿宋" w:cs="宋体"/>
                <w:color w:val="000000"/>
                <w:sz w:val="24"/>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30231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公务用车运行维护费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22.5</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39999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30399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其他对个人和家庭的补助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仿宋" w:hAnsi="仿宋" w:eastAsia="仿宋" w:cs="宋体"/>
                <w:color w:val="000000"/>
                <w:sz w:val="24"/>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30239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其他交通费用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15.68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仿宋" w:hAnsi="仿宋" w:eastAsia="仿宋" w:cs="宋体"/>
                <w:color w:val="000000"/>
                <w:sz w:val="24"/>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仿宋" w:hAnsi="仿宋" w:eastAsia="仿宋" w:cs="宋体"/>
                <w:color w:val="000000"/>
                <w:sz w:val="24"/>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仿宋" w:hAnsi="仿宋" w:eastAsia="仿宋" w:cs="宋体"/>
                <w:color w:val="000000"/>
                <w:sz w:val="24"/>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仿宋" w:hAnsi="仿宋" w:eastAsia="仿宋" w:cs="宋体"/>
                <w:color w:val="000000"/>
                <w:sz w:val="24"/>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30240</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税金及附加费用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仿宋" w:hAnsi="仿宋" w:eastAsia="仿宋" w:cs="宋体"/>
                <w:color w:val="000000"/>
                <w:sz w:val="24"/>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仿宋" w:hAnsi="仿宋" w:eastAsia="仿宋" w:cs="宋体"/>
                <w:color w:val="000000"/>
                <w:sz w:val="24"/>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仿宋" w:hAnsi="仿宋" w:eastAsia="仿宋" w:cs="宋体"/>
                <w:color w:val="000000"/>
                <w:sz w:val="24"/>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仿宋" w:hAnsi="仿宋" w:eastAsia="仿宋" w:cs="宋体"/>
                <w:color w:val="000000"/>
                <w:sz w:val="24"/>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仿宋" w:hAnsi="仿宋" w:eastAsia="仿宋" w:cs="宋体"/>
                <w:color w:val="000000"/>
                <w:sz w:val="24"/>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30299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其他商品和服务支出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仿宋" w:hAnsi="仿宋" w:eastAsia="仿宋" w:cs="宋体"/>
                <w:color w:val="000000"/>
                <w:sz w:val="24"/>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仿宋" w:hAnsi="仿宋" w:eastAsia="仿宋" w:cs="宋体"/>
                <w:color w:val="000000"/>
                <w:sz w:val="24"/>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372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人员经费合计</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3807.50</w:t>
            </w:r>
          </w:p>
        </w:tc>
        <w:tc>
          <w:tcPr>
            <w:tcW w:w="8231"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公用经费合计</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r>
              <w:rPr>
                <w:rFonts w:hint="eastAsia" w:ascii="仿宋" w:hAnsi="仿宋" w:eastAsia="仿宋" w:cs="宋体"/>
                <w:color w:val="000000"/>
                <w:sz w:val="24"/>
              </w:rPr>
              <w:t>112.36</w:t>
            </w:r>
          </w:p>
        </w:tc>
      </w:tr>
    </w:tbl>
    <w:p>
      <w:pPr>
        <w:widowControl/>
        <w:jc w:val="center"/>
        <w:textAlignment w:val="center"/>
        <w:sectPr>
          <w:pgSz w:w="16838" w:h="11906" w:orient="landscape"/>
          <w:pgMar w:top="1531" w:right="2098" w:bottom="1531" w:left="1984" w:header="851" w:footer="992" w:gutter="0"/>
          <w:cols w:space="425" w:num="1"/>
          <w:docGrid w:type="lines" w:linePitch="312" w:charSpace="0"/>
        </w:sectPr>
      </w:pPr>
    </w:p>
    <w:tbl>
      <w:tblPr>
        <w:tblStyle w:val="5"/>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仿宋" w:hAnsi="仿宋" w:eastAsia="仿宋" w:cs="黑体"/>
                <w:color w:val="000000"/>
                <w:sz w:val="24"/>
              </w:rPr>
            </w:pPr>
            <w:r>
              <w:rPr>
                <w:rFonts w:ascii="仿宋" w:hAnsi="仿宋" w:eastAsia="仿宋"/>
                <w:sz w:val="24"/>
              </w:rPr>
              <w:br w:type="page"/>
            </w:r>
            <w:r>
              <w:rPr>
                <w:rFonts w:hint="eastAsia" w:ascii="仿宋" w:hAnsi="仿宋" w:eastAsia="仿宋" w:cs="黑体"/>
                <w:color w:val="000000"/>
                <w:kern w:val="0"/>
                <w:sz w:val="24"/>
                <w:lang w:bidi="ar"/>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仿宋" w:hAnsi="仿宋" w:eastAsia="仿宋" w:cs="宋体"/>
                <w:color w:val="000000"/>
                <w:sz w:val="24"/>
              </w:rPr>
            </w:pPr>
            <w:r>
              <w:rPr>
                <w:rFonts w:hint="eastAsia" w:ascii="仿宋" w:hAnsi="仿宋" w:eastAsia="仿宋" w:cs="宋体"/>
                <w:color w:val="000000"/>
                <w:kern w:val="0"/>
                <w:sz w:val="24"/>
                <w:lang w:bidi="ar"/>
              </w:rPr>
              <w:t>公开07表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仿宋" w:hAnsi="仿宋" w:eastAsia="仿宋" w:cs="宋体"/>
                <w:color w:val="000000"/>
                <w:sz w:val="24"/>
              </w:rPr>
            </w:pPr>
            <w:r>
              <w:rPr>
                <w:rFonts w:hint="eastAsia" w:ascii="仿宋" w:hAnsi="仿宋" w:eastAsia="仿宋" w:cs="宋体"/>
                <w:color w:val="000000"/>
                <w:kern w:val="0"/>
                <w:sz w:val="24"/>
                <w:lang w:bidi="ar"/>
              </w:rPr>
              <w:t>部门：</w:t>
            </w: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r>
              <w:rPr>
                <w:rFonts w:hint="eastAsia" w:ascii="仿宋" w:hAnsi="仿宋" w:eastAsia="仿宋" w:cs="Arial"/>
                <w:color w:val="000000"/>
                <w:sz w:val="24"/>
              </w:rPr>
              <w:t>保定市自然资源和规划局满城区分局</w:t>
            </w: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仿宋" w:hAnsi="仿宋" w:eastAsia="仿宋" w:cs="宋体"/>
                <w:color w:val="000000"/>
                <w:sz w:val="24"/>
              </w:rPr>
            </w:pPr>
            <w:r>
              <w:rPr>
                <w:rFonts w:hint="eastAsia" w:ascii="仿宋" w:hAnsi="仿宋" w:eastAsia="仿宋" w:cs="宋体"/>
                <w:color w:val="000000"/>
                <w:kern w:val="0"/>
                <w:sz w:val="24"/>
                <w:lang w:bidi="ar"/>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30.00</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30.00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30.00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22.50</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22.50</w:t>
            </w: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22.50</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r>
    </w:tbl>
    <w:p>
      <w:pPr>
        <w:rPr>
          <w:rFonts w:ascii="仿宋" w:hAnsi="仿宋" w:eastAsia="仿宋"/>
          <w:sz w:val="24"/>
        </w:rPr>
      </w:pPr>
      <w:r>
        <w:rPr>
          <w:rFonts w:hint="eastAsia" w:ascii="仿宋" w:hAnsi="仿宋" w:eastAsia="仿宋" w:cs="宋体"/>
          <w:sz w:val="24"/>
        </w:rPr>
        <w:t>注：本表反映部门本年度“三公”经费支出预决算情况。其中：预算数为“三公”经费</w:t>
      </w:r>
      <w:r>
        <w:rPr>
          <w:rFonts w:hint="eastAsia" w:ascii="仿宋" w:hAnsi="仿宋" w:eastAsia="仿宋" w:cs="宋体"/>
          <w:b/>
          <w:sz w:val="24"/>
        </w:rPr>
        <w:t>全年预算数</w:t>
      </w:r>
      <w:r>
        <w:rPr>
          <w:rFonts w:hint="eastAsia" w:ascii="仿宋" w:hAnsi="仿宋" w:eastAsia="仿宋" w:cs="宋体"/>
          <w:sz w:val="24"/>
        </w:rPr>
        <w:t>，反映按规定程序调整后的预算数；决算数是包括当年一般公共预算财政拨款和以前年度结转资金安排的实际支出。</w:t>
      </w:r>
      <w:r>
        <w:rPr>
          <w:rFonts w:hint="eastAsia" w:ascii="仿宋" w:hAnsi="仿宋" w:eastAsia="仿宋" w:cs="仿宋_GB2312"/>
          <w:sz w:val="24"/>
        </w:rPr>
        <w:tab/>
      </w:r>
      <w:r>
        <w:rPr>
          <w:rFonts w:ascii="仿宋" w:hAnsi="仿宋" w:eastAsia="仿宋"/>
          <w:sz w:val="24"/>
        </w:rPr>
        <w:tab/>
      </w:r>
      <w:r>
        <w:rPr>
          <w:rFonts w:ascii="仿宋" w:hAnsi="仿宋" w:eastAsia="仿宋"/>
          <w:sz w:val="24"/>
        </w:rPr>
        <w:tab/>
      </w:r>
      <w:r>
        <w:rPr>
          <w:rFonts w:ascii="仿宋" w:hAnsi="仿宋" w:eastAsia="仿宋"/>
          <w:sz w:val="24"/>
        </w:rPr>
        <w:tab/>
      </w:r>
      <w:r>
        <w:rPr>
          <w:rFonts w:ascii="仿宋" w:hAnsi="仿宋" w:eastAsia="仿宋"/>
          <w:sz w:val="24"/>
        </w:rPr>
        <w:tab/>
      </w:r>
      <w:r>
        <w:rPr>
          <w:rFonts w:ascii="仿宋" w:hAnsi="仿宋" w:eastAsia="仿宋"/>
          <w:sz w:val="24"/>
        </w:rPr>
        <w:tab/>
      </w:r>
      <w:r>
        <w:rPr>
          <w:rFonts w:ascii="仿宋" w:hAnsi="仿宋" w:eastAsia="仿宋"/>
          <w:sz w:val="24"/>
        </w:rPr>
        <w:tab/>
      </w:r>
      <w:r>
        <w:rPr>
          <w:rFonts w:ascii="仿宋" w:hAnsi="仿宋" w:eastAsia="仿宋"/>
          <w:sz w:val="24"/>
        </w:rPr>
        <w:tab/>
      </w:r>
      <w:r>
        <w:rPr>
          <w:rFonts w:ascii="仿宋" w:hAnsi="仿宋" w:eastAsia="仿宋"/>
          <w:sz w:val="24"/>
        </w:rPr>
        <w:tab/>
      </w:r>
      <w:r>
        <w:rPr>
          <w:rFonts w:ascii="仿宋" w:hAnsi="仿宋" w:eastAsia="仿宋"/>
          <w:sz w:val="24"/>
        </w:rPr>
        <w:tab/>
      </w:r>
      <w:r>
        <w:rPr>
          <w:rFonts w:ascii="仿宋" w:hAnsi="仿宋" w:eastAsia="仿宋"/>
          <w:sz w:val="24"/>
        </w:rPr>
        <w:tab/>
      </w:r>
      <w:r>
        <w:rPr>
          <w:rFonts w:ascii="仿宋" w:hAnsi="仿宋" w:eastAsia="仿宋"/>
          <w:sz w:val="24"/>
        </w:rPr>
        <w:br w:type="page"/>
      </w:r>
    </w:p>
    <w:tbl>
      <w:tblPr>
        <w:tblStyle w:val="5"/>
        <w:tblW w:w="9510" w:type="dxa"/>
        <w:jc w:val="center"/>
        <w:tblLayout w:type="autofit"/>
        <w:tblCellMar>
          <w:top w:w="0" w:type="dxa"/>
          <w:left w:w="0" w:type="dxa"/>
          <w:bottom w:w="0" w:type="dxa"/>
          <w:right w:w="0" w:type="dxa"/>
        </w:tblCellMar>
      </w:tblPr>
      <w:tblGrid>
        <w:gridCol w:w="794"/>
        <w:gridCol w:w="38"/>
        <w:gridCol w:w="38"/>
        <w:gridCol w:w="3870"/>
        <w:gridCol w:w="630"/>
        <w:gridCol w:w="1150"/>
        <w:gridCol w:w="630"/>
        <w:gridCol w:w="630"/>
        <w:gridCol w:w="1150"/>
        <w:gridCol w:w="630"/>
      </w:tblGrid>
      <w:tr>
        <w:tblPrEx>
          <w:tblCellMar>
            <w:top w:w="0" w:type="dxa"/>
            <w:left w:w="0" w:type="dxa"/>
            <w:bottom w:w="0" w:type="dxa"/>
            <w:right w:w="0" w:type="dxa"/>
          </w:tblCellMar>
        </w:tblPrEx>
        <w:trPr>
          <w:trHeight w:val="780" w:hRule="atLeast"/>
          <w:jc w:val="center"/>
        </w:trPr>
        <w:tc>
          <w:tcPr>
            <w:tcW w:w="951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仿宋" w:hAnsi="仿宋" w:eastAsia="仿宋" w:cs="黑体"/>
                <w:color w:val="000000"/>
                <w:sz w:val="24"/>
              </w:rPr>
            </w:pPr>
            <w:r>
              <w:rPr>
                <w:rFonts w:hint="eastAsia" w:ascii="仿宋" w:hAnsi="仿宋" w:eastAsia="仿宋" w:cs="黑体"/>
                <w:color w:val="000000"/>
                <w:kern w:val="0"/>
                <w:sz w:val="24"/>
                <w:lang w:bidi="ar"/>
              </w:rPr>
              <w:t>政府性基金预算财政拨款收入支出决算表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仿宋" w:hAnsi="仿宋" w:eastAsia="仿宋" w:cs="宋体"/>
                <w:color w:val="000000"/>
                <w:sz w:val="24"/>
              </w:rPr>
            </w:pPr>
            <w:r>
              <w:rPr>
                <w:rFonts w:hint="eastAsia" w:ascii="仿宋" w:hAnsi="仿宋" w:eastAsia="仿宋" w:cs="宋体"/>
                <w:color w:val="000000"/>
                <w:kern w:val="0"/>
                <w:sz w:val="24"/>
                <w:lang w:bidi="ar"/>
              </w:rPr>
              <w:t>公开08表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仿宋" w:hAnsi="仿宋" w:eastAsia="仿宋" w:cs="宋体"/>
                <w:color w:val="000000"/>
                <w:sz w:val="24"/>
              </w:rPr>
            </w:pPr>
            <w:r>
              <w:rPr>
                <w:rFonts w:hint="eastAsia" w:ascii="仿宋" w:hAnsi="仿宋" w:eastAsia="仿宋" w:cs="宋体"/>
                <w:color w:val="000000"/>
                <w:kern w:val="0"/>
                <w:sz w:val="24"/>
                <w:lang w:bidi="ar"/>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r>
              <w:rPr>
                <w:rFonts w:hint="eastAsia" w:ascii="仿宋" w:hAnsi="仿宋" w:eastAsia="仿宋" w:cs="Arial"/>
                <w:color w:val="000000"/>
                <w:sz w:val="24"/>
              </w:rPr>
              <w:t>保定市自然资源和规划局满城区分局</w:t>
            </w: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仿宋" w:hAnsi="仿宋" w:eastAsia="仿宋" w:cs="宋体"/>
                <w:color w:val="000000"/>
                <w:sz w:val="24"/>
              </w:rPr>
            </w:pPr>
            <w:r>
              <w:rPr>
                <w:rFonts w:hint="eastAsia" w:ascii="仿宋" w:hAnsi="仿宋" w:eastAsia="仿宋" w:cs="宋体"/>
                <w:color w:val="000000"/>
                <w:kern w:val="0"/>
                <w:sz w:val="24"/>
                <w:lang w:bidi="ar"/>
              </w:rPr>
              <w:t>金额单位：万元</w:t>
            </w:r>
          </w:p>
        </w:tc>
      </w:tr>
      <w:tr>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项目</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年初结转和结余</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本年收入</w:t>
            </w:r>
          </w:p>
        </w:tc>
        <w:tc>
          <w:tcPr>
            <w:tcW w:w="345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本年支出</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年末结转和结余</w:t>
            </w:r>
          </w:p>
        </w:tc>
      </w:tr>
      <w:tr>
        <w:tblPrEx>
          <w:tblCellMar>
            <w:top w:w="0" w:type="dxa"/>
            <w:left w:w="0" w:type="dxa"/>
            <w:bottom w:w="0" w:type="dxa"/>
            <w:right w:w="0" w:type="dxa"/>
          </w:tblCellMar>
        </w:tblPrEx>
        <w:trPr>
          <w:trHeight w:val="624" w:hRule="atLeast"/>
          <w:jc w:val="center"/>
        </w:trPr>
        <w:tc>
          <w:tcPr>
            <w:tcW w:w="113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科目名称</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小计</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基本支出</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项目支出</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r>
      <w:tr>
        <w:tblPrEx>
          <w:tblCellMar>
            <w:top w:w="0" w:type="dxa"/>
            <w:left w:w="0" w:type="dxa"/>
            <w:bottom w:w="0" w:type="dxa"/>
            <w:right w:w="0" w:type="dxa"/>
          </w:tblCellMar>
        </w:tblPrEx>
        <w:trPr>
          <w:trHeight w:val="624"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r>
      <w:tr>
        <w:tblPrEx>
          <w:tblCellMar>
            <w:top w:w="0" w:type="dxa"/>
            <w:left w:w="0" w:type="dxa"/>
            <w:bottom w:w="0" w:type="dxa"/>
            <w:right w:w="0" w:type="dxa"/>
          </w:tblCellMar>
        </w:tblPrEx>
        <w:trPr>
          <w:trHeight w:val="624"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6</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b/>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b/>
                <w:color w:val="000000"/>
                <w:sz w:val="24"/>
              </w:rPr>
            </w:pPr>
            <w:r>
              <w:rPr>
                <w:rFonts w:hint="eastAsia" w:ascii="仿宋" w:hAnsi="仿宋" w:eastAsia="仿宋" w:cs="宋体"/>
                <w:b/>
                <w:color w:val="000000"/>
                <w:sz w:val="24"/>
              </w:rPr>
              <w:t>7056.48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b/>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b/>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b/>
                <w:color w:val="000000"/>
                <w:sz w:val="24"/>
              </w:rPr>
            </w:pPr>
            <w:r>
              <w:rPr>
                <w:rFonts w:hint="eastAsia" w:ascii="仿宋" w:hAnsi="仿宋" w:eastAsia="仿宋" w:cs="宋体"/>
                <w:b/>
                <w:color w:val="000000"/>
                <w:sz w:val="24"/>
              </w:rPr>
              <w:t>7056.48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b/>
                <w:color w:val="000000"/>
                <w:sz w:val="24"/>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城乡社区支出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r>
              <w:rPr>
                <w:rFonts w:hint="eastAsia" w:ascii="仿宋" w:hAnsi="仿宋" w:eastAsia="仿宋" w:cs="宋体"/>
                <w:color w:val="000000"/>
                <w:sz w:val="24"/>
              </w:rPr>
              <w:t>7056.48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r>
              <w:rPr>
                <w:rFonts w:hint="eastAsia" w:ascii="仿宋" w:hAnsi="仿宋" w:eastAsia="仿宋" w:cs="宋体"/>
                <w:color w:val="000000"/>
                <w:sz w:val="24"/>
              </w:rPr>
              <w:t>7056.48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21208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ascii="仿宋" w:hAnsi="仿宋" w:eastAsia="仿宋" w:cs="宋体"/>
                <w:color w:val="000000"/>
                <w:sz w:val="24"/>
              </w:rPr>
              <w:t>国有土地使用权出让收入安排的支出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r>
              <w:rPr>
                <w:rFonts w:hint="eastAsia" w:ascii="仿宋" w:hAnsi="仿宋" w:eastAsia="仿宋" w:cs="宋体"/>
                <w:color w:val="000000"/>
                <w:sz w:val="24"/>
              </w:rPr>
              <w:t>6899.04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r>
              <w:rPr>
                <w:rFonts w:hint="eastAsia" w:ascii="仿宋" w:hAnsi="仿宋" w:eastAsia="仿宋" w:cs="宋体"/>
                <w:color w:val="000000"/>
                <w:sz w:val="24"/>
              </w:rPr>
              <w:t>6899.04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2120801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ascii="仿宋" w:hAnsi="仿宋" w:eastAsia="仿宋" w:cs="宋体"/>
                <w:color w:val="000000"/>
                <w:sz w:val="24"/>
              </w:rPr>
              <w:t>征地和拆迁补偿支出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r>
              <w:rPr>
                <w:rFonts w:hint="eastAsia" w:ascii="仿宋" w:hAnsi="仿宋" w:eastAsia="仿宋" w:cs="宋体"/>
                <w:color w:val="000000"/>
                <w:sz w:val="24"/>
              </w:rPr>
              <w:t>52.46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r>
              <w:rPr>
                <w:rFonts w:hint="eastAsia" w:ascii="仿宋" w:hAnsi="仿宋" w:eastAsia="仿宋" w:cs="宋体"/>
                <w:color w:val="000000"/>
                <w:sz w:val="24"/>
              </w:rPr>
              <w:t>52.46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2120802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ascii="仿宋" w:hAnsi="仿宋" w:eastAsia="仿宋" w:cs="宋体"/>
                <w:color w:val="000000"/>
                <w:sz w:val="24"/>
              </w:rPr>
              <w:t>土地开发支出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r>
              <w:rPr>
                <w:rFonts w:hint="eastAsia" w:ascii="仿宋" w:hAnsi="仿宋" w:eastAsia="仿宋" w:cs="宋体"/>
                <w:color w:val="000000"/>
                <w:sz w:val="24"/>
              </w:rPr>
              <w:t>1652.96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r>
              <w:rPr>
                <w:rFonts w:hint="eastAsia" w:ascii="仿宋" w:hAnsi="仿宋" w:eastAsia="仿宋" w:cs="宋体"/>
                <w:color w:val="000000"/>
                <w:sz w:val="24"/>
              </w:rPr>
              <w:t>1652.96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21210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ascii="仿宋" w:hAnsi="仿宋" w:eastAsia="仿宋" w:cs="宋体"/>
                <w:color w:val="000000"/>
                <w:sz w:val="24"/>
              </w:rPr>
              <w:t>国有土地收益基金安排的支出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r>
              <w:rPr>
                <w:rFonts w:hint="eastAsia" w:ascii="仿宋" w:hAnsi="仿宋" w:eastAsia="仿宋" w:cs="宋体"/>
                <w:color w:val="000000"/>
                <w:sz w:val="24"/>
              </w:rPr>
              <w:t>157.44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r>
              <w:rPr>
                <w:rFonts w:hint="eastAsia" w:ascii="仿宋" w:hAnsi="仿宋" w:eastAsia="仿宋" w:cs="宋体"/>
                <w:color w:val="000000"/>
                <w:sz w:val="24"/>
              </w:rPr>
              <w:t>157.44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212102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ascii="仿宋" w:hAnsi="仿宋" w:eastAsia="仿宋" w:cs="宋体"/>
                <w:color w:val="000000"/>
                <w:sz w:val="24"/>
              </w:rPr>
              <w:t>土地开发支出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r>
              <w:rPr>
                <w:rFonts w:hint="eastAsia" w:ascii="仿宋" w:hAnsi="仿宋" w:eastAsia="仿宋" w:cs="宋体"/>
                <w:color w:val="000000"/>
                <w:sz w:val="24"/>
              </w:rPr>
              <w:t>157.44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r>
              <w:rPr>
                <w:rFonts w:hint="eastAsia" w:ascii="仿宋" w:hAnsi="仿宋" w:eastAsia="仿宋" w:cs="宋体"/>
                <w:color w:val="000000"/>
                <w:sz w:val="24"/>
              </w:rPr>
              <w:t>157.44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r>
    </w:tbl>
    <w:p>
      <w:pPr>
        <w:rPr>
          <w:rFonts w:ascii="仿宋" w:hAnsi="仿宋" w:eastAsia="仿宋" w:cs="宋体"/>
          <w:b/>
          <w:sz w:val="24"/>
          <w:highlight w:val="yellow"/>
        </w:rPr>
      </w:pPr>
      <w:r>
        <w:rPr>
          <w:rFonts w:hint="eastAsia" w:ascii="仿宋" w:hAnsi="仿宋" w:eastAsia="仿宋" w:cs="宋体"/>
          <w:sz w:val="24"/>
        </w:rPr>
        <w:t>注：本表反映部门本年度政府性基金预算财政拨款收入、支出及结转结余情况。</w:t>
      </w:r>
    </w:p>
    <w:p>
      <w:pPr>
        <w:rPr>
          <w:rFonts w:ascii="仿宋" w:hAnsi="仿宋" w:eastAsia="仿宋"/>
          <w:b/>
          <w:sz w:val="24"/>
          <w:highlight w:val="yellow"/>
        </w:rPr>
      </w:pPr>
    </w:p>
    <w:tbl>
      <w:tblPr>
        <w:tblStyle w:val="5"/>
        <w:tblW w:w="9064" w:type="dxa"/>
        <w:tblInd w:w="0" w:type="dxa"/>
        <w:tblLayout w:type="autofit"/>
        <w:tblCellMar>
          <w:top w:w="0" w:type="dxa"/>
          <w:left w:w="0" w:type="dxa"/>
          <w:bottom w:w="0" w:type="dxa"/>
          <w:right w:w="0" w:type="dxa"/>
        </w:tblCellMar>
      </w:tblPr>
      <w:tblGrid>
        <w:gridCol w:w="750"/>
        <w:gridCol w:w="661"/>
        <w:gridCol w:w="177"/>
        <w:gridCol w:w="2780"/>
        <w:gridCol w:w="1138"/>
        <w:gridCol w:w="296"/>
        <w:gridCol w:w="1421"/>
        <w:gridCol w:w="1417"/>
        <w:gridCol w:w="544"/>
      </w:tblGrid>
      <w:tr>
        <w:tblPrEx>
          <w:tblCellMar>
            <w:top w:w="0" w:type="dxa"/>
            <w:left w:w="0" w:type="dxa"/>
            <w:bottom w:w="0" w:type="dxa"/>
            <w:right w:w="0" w:type="dxa"/>
          </w:tblCellMar>
        </w:tblPrEx>
        <w:trPr>
          <w:gridAfter w:val="1"/>
          <w:wAfter w:w="544" w:type="dxa"/>
          <w:trHeight w:val="824" w:hRule="atLeast"/>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仿宋" w:hAnsi="仿宋" w:eastAsia="仿宋" w:cs="黑体"/>
                <w:color w:val="000000"/>
                <w:kern w:val="0"/>
                <w:sz w:val="24"/>
                <w:lang w:bidi="ar"/>
              </w:rPr>
            </w:pPr>
          </w:p>
          <w:p>
            <w:pPr>
              <w:widowControl/>
              <w:jc w:val="center"/>
              <w:textAlignment w:val="center"/>
              <w:rPr>
                <w:rFonts w:ascii="仿宋" w:hAnsi="仿宋" w:eastAsia="仿宋" w:cs="黑体"/>
                <w:color w:val="000000"/>
                <w:kern w:val="0"/>
                <w:sz w:val="24"/>
                <w:lang w:bidi="ar"/>
              </w:rPr>
            </w:pPr>
          </w:p>
          <w:p>
            <w:pPr>
              <w:widowControl/>
              <w:jc w:val="center"/>
              <w:textAlignment w:val="center"/>
              <w:rPr>
                <w:rFonts w:ascii="仿宋" w:hAnsi="仿宋" w:eastAsia="仿宋" w:cs="黑体"/>
                <w:color w:val="000000"/>
                <w:kern w:val="0"/>
                <w:sz w:val="24"/>
                <w:lang w:bidi="ar"/>
              </w:rPr>
            </w:pPr>
          </w:p>
          <w:p>
            <w:pPr>
              <w:widowControl/>
              <w:jc w:val="center"/>
              <w:textAlignment w:val="center"/>
              <w:rPr>
                <w:rFonts w:ascii="仿宋" w:hAnsi="仿宋" w:eastAsia="仿宋" w:cs="黑体"/>
                <w:color w:val="000000"/>
                <w:kern w:val="0"/>
                <w:sz w:val="24"/>
                <w:lang w:bidi="ar"/>
              </w:rPr>
            </w:pPr>
          </w:p>
          <w:p>
            <w:pPr>
              <w:widowControl/>
              <w:jc w:val="center"/>
              <w:textAlignment w:val="center"/>
              <w:rPr>
                <w:rFonts w:ascii="仿宋" w:hAnsi="仿宋" w:eastAsia="仿宋" w:cs="黑体"/>
                <w:color w:val="000000"/>
                <w:kern w:val="0"/>
                <w:sz w:val="24"/>
                <w:lang w:bidi="ar"/>
              </w:rPr>
            </w:pPr>
          </w:p>
          <w:p>
            <w:pPr>
              <w:widowControl/>
              <w:jc w:val="center"/>
              <w:textAlignment w:val="center"/>
              <w:rPr>
                <w:rFonts w:ascii="仿宋" w:hAnsi="仿宋" w:eastAsia="仿宋" w:cs="黑体"/>
                <w:color w:val="000000"/>
                <w:kern w:val="0"/>
                <w:sz w:val="24"/>
                <w:lang w:bidi="ar"/>
              </w:rPr>
            </w:pPr>
          </w:p>
          <w:p>
            <w:pPr>
              <w:widowControl/>
              <w:jc w:val="center"/>
              <w:textAlignment w:val="center"/>
              <w:rPr>
                <w:rFonts w:ascii="仿宋" w:hAnsi="仿宋" w:eastAsia="仿宋" w:cs="黑体"/>
                <w:color w:val="000000"/>
                <w:kern w:val="0"/>
                <w:sz w:val="24"/>
                <w:lang w:bidi="ar"/>
              </w:rPr>
            </w:pPr>
          </w:p>
          <w:p>
            <w:pPr>
              <w:widowControl/>
              <w:jc w:val="center"/>
              <w:textAlignment w:val="center"/>
              <w:rPr>
                <w:rFonts w:ascii="仿宋" w:hAnsi="仿宋" w:eastAsia="仿宋" w:cs="黑体"/>
                <w:color w:val="000000"/>
                <w:kern w:val="0"/>
                <w:sz w:val="24"/>
                <w:lang w:bidi="ar"/>
              </w:rPr>
            </w:pPr>
          </w:p>
          <w:p>
            <w:pPr>
              <w:widowControl/>
              <w:jc w:val="center"/>
              <w:textAlignment w:val="center"/>
              <w:rPr>
                <w:rFonts w:ascii="仿宋" w:hAnsi="仿宋" w:eastAsia="仿宋" w:cs="黑体"/>
                <w:color w:val="000000"/>
                <w:kern w:val="0"/>
                <w:sz w:val="24"/>
                <w:lang w:bidi="ar"/>
              </w:rPr>
            </w:pPr>
          </w:p>
          <w:p>
            <w:pPr>
              <w:widowControl/>
              <w:jc w:val="center"/>
              <w:textAlignment w:val="center"/>
              <w:rPr>
                <w:rFonts w:ascii="仿宋" w:hAnsi="仿宋" w:eastAsia="仿宋" w:cs="黑体"/>
                <w:color w:val="000000"/>
                <w:kern w:val="0"/>
                <w:sz w:val="24"/>
                <w:lang w:bidi="ar"/>
              </w:rPr>
            </w:pPr>
          </w:p>
          <w:p>
            <w:pPr>
              <w:widowControl/>
              <w:jc w:val="center"/>
              <w:textAlignment w:val="center"/>
              <w:rPr>
                <w:rFonts w:hint="eastAsia" w:ascii="仿宋" w:hAnsi="仿宋" w:eastAsia="仿宋" w:cs="黑体"/>
                <w:color w:val="000000"/>
                <w:kern w:val="0"/>
                <w:sz w:val="24"/>
                <w:lang w:bidi="ar"/>
              </w:rPr>
            </w:pPr>
          </w:p>
          <w:p>
            <w:pPr>
              <w:widowControl/>
              <w:jc w:val="center"/>
              <w:textAlignment w:val="center"/>
              <w:rPr>
                <w:rFonts w:hint="eastAsia" w:ascii="仿宋" w:hAnsi="仿宋" w:eastAsia="仿宋" w:cs="黑体"/>
                <w:color w:val="000000"/>
                <w:kern w:val="0"/>
                <w:sz w:val="24"/>
                <w:lang w:bidi="ar"/>
              </w:rPr>
            </w:pPr>
          </w:p>
          <w:p>
            <w:pPr>
              <w:widowControl/>
              <w:jc w:val="center"/>
              <w:textAlignment w:val="center"/>
              <w:rPr>
                <w:rFonts w:hint="eastAsia" w:ascii="仿宋" w:hAnsi="仿宋" w:eastAsia="仿宋" w:cs="黑体"/>
                <w:color w:val="000000"/>
                <w:kern w:val="0"/>
                <w:sz w:val="24"/>
                <w:lang w:bidi="ar"/>
              </w:rPr>
            </w:pPr>
          </w:p>
          <w:p>
            <w:pPr>
              <w:widowControl/>
              <w:jc w:val="center"/>
              <w:textAlignment w:val="center"/>
              <w:rPr>
                <w:rFonts w:hint="eastAsia" w:ascii="仿宋" w:hAnsi="仿宋" w:eastAsia="仿宋" w:cs="黑体"/>
                <w:color w:val="000000"/>
                <w:kern w:val="0"/>
                <w:sz w:val="24"/>
                <w:lang w:bidi="ar"/>
              </w:rPr>
            </w:pPr>
          </w:p>
          <w:p>
            <w:pPr>
              <w:widowControl/>
              <w:jc w:val="center"/>
              <w:textAlignment w:val="center"/>
              <w:rPr>
                <w:rFonts w:hint="eastAsia" w:ascii="仿宋" w:hAnsi="仿宋" w:eastAsia="仿宋" w:cs="黑体"/>
                <w:color w:val="000000"/>
                <w:kern w:val="0"/>
                <w:sz w:val="24"/>
                <w:lang w:bidi="ar"/>
              </w:rPr>
            </w:pPr>
          </w:p>
          <w:p>
            <w:pPr>
              <w:widowControl/>
              <w:jc w:val="center"/>
              <w:textAlignment w:val="center"/>
              <w:rPr>
                <w:rFonts w:hint="eastAsia" w:ascii="仿宋" w:hAnsi="仿宋" w:eastAsia="仿宋" w:cs="黑体"/>
                <w:color w:val="000000"/>
                <w:kern w:val="0"/>
                <w:sz w:val="24"/>
                <w:lang w:bidi="ar"/>
              </w:rPr>
            </w:pPr>
          </w:p>
          <w:p>
            <w:pPr>
              <w:widowControl/>
              <w:jc w:val="center"/>
              <w:textAlignment w:val="center"/>
              <w:rPr>
                <w:rFonts w:hint="eastAsia" w:ascii="仿宋" w:hAnsi="仿宋" w:eastAsia="仿宋" w:cs="黑体"/>
                <w:color w:val="000000"/>
                <w:kern w:val="0"/>
                <w:sz w:val="24"/>
                <w:lang w:bidi="ar"/>
              </w:rPr>
            </w:pPr>
          </w:p>
          <w:p>
            <w:pPr>
              <w:widowControl/>
              <w:jc w:val="center"/>
              <w:textAlignment w:val="center"/>
              <w:rPr>
                <w:rFonts w:hint="eastAsia" w:ascii="仿宋" w:hAnsi="仿宋" w:eastAsia="仿宋" w:cs="黑体"/>
                <w:color w:val="000000"/>
                <w:kern w:val="0"/>
                <w:sz w:val="24"/>
                <w:lang w:bidi="ar"/>
              </w:rPr>
            </w:pPr>
          </w:p>
          <w:p>
            <w:pPr>
              <w:widowControl/>
              <w:jc w:val="center"/>
              <w:textAlignment w:val="center"/>
              <w:rPr>
                <w:rFonts w:hint="eastAsia" w:ascii="仿宋" w:hAnsi="仿宋" w:eastAsia="仿宋" w:cs="黑体"/>
                <w:color w:val="000000"/>
                <w:kern w:val="0"/>
                <w:sz w:val="24"/>
                <w:lang w:bidi="ar"/>
              </w:rPr>
            </w:pPr>
          </w:p>
          <w:p>
            <w:pPr>
              <w:widowControl/>
              <w:ind w:firstLine="1920" w:firstLineChars="800"/>
              <w:textAlignment w:val="center"/>
              <w:rPr>
                <w:rFonts w:ascii="仿宋" w:hAnsi="仿宋" w:eastAsia="仿宋" w:cs="黑体"/>
                <w:color w:val="000000"/>
                <w:sz w:val="24"/>
              </w:rPr>
            </w:pPr>
            <w:r>
              <w:rPr>
                <w:rFonts w:hint="eastAsia" w:ascii="仿宋" w:hAnsi="仿宋" w:eastAsia="仿宋" w:cs="黑体"/>
                <w:color w:val="000000"/>
                <w:kern w:val="0"/>
                <w:sz w:val="24"/>
                <w:lang w:bidi="ar"/>
              </w:rPr>
              <w:t>国有资本经营预算财政拨款支出决算表</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3678" w:type="dxa"/>
            <w:gridSpan w:val="4"/>
            <w:vMerge w:val="restart"/>
            <w:tcBorders>
              <w:top w:val="nil"/>
              <w:left w:val="nil"/>
              <w:right w:val="nil"/>
            </w:tcBorders>
            <w:shd w:val="clear" w:color="auto" w:fill="auto"/>
            <w:noWrap/>
            <w:tcMar>
              <w:top w:w="15" w:type="dxa"/>
              <w:left w:w="15" w:type="dxa"/>
              <w:right w:w="15" w:type="dxa"/>
            </w:tcMar>
            <w:vAlign w:val="bottom"/>
          </w:tcPr>
          <w:p>
            <w:pPr>
              <w:widowControl/>
              <w:jc w:val="left"/>
              <w:textAlignment w:val="bottom"/>
              <w:rPr>
                <w:rFonts w:ascii="仿宋" w:hAnsi="仿宋" w:eastAsia="仿宋" w:cs="宋体"/>
                <w:color w:val="000000"/>
                <w:sz w:val="24"/>
              </w:rPr>
            </w:pPr>
            <w:r>
              <w:rPr>
                <w:rFonts w:hint="eastAsia" w:ascii="仿宋" w:hAnsi="仿宋" w:eastAsia="仿宋" w:cs="宋体"/>
                <w:color w:val="000000"/>
                <w:kern w:val="0"/>
                <w:sz w:val="24"/>
                <w:lang w:bidi="ar"/>
              </w:rPr>
              <w:t>公开09表</w:t>
            </w:r>
          </w:p>
          <w:p>
            <w:pPr>
              <w:ind w:right="400"/>
              <w:textAlignment w:val="bottom"/>
              <w:rPr>
                <w:rFonts w:ascii="仿宋" w:hAnsi="仿宋" w:eastAsia="仿宋" w:cs="宋体"/>
                <w:color w:val="000000"/>
                <w:sz w:val="24"/>
              </w:rPr>
            </w:pPr>
            <w:r>
              <w:rPr>
                <w:rFonts w:hint="eastAsia" w:ascii="仿宋" w:hAnsi="仿宋" w:eastAsia="仿宋" w:cs="宋体"/>
                <w:color w:val="000000"/>
                <w:kern w:val="0"/>
                <w:sz w:val="24"/>
                <w:lang w:bidi="ar"/>
              </w:rPr>
              <w:t>金额单位：万元</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仿宋" w:hAnsi="仿宋" w:eastAsia="仿宋" w:cs="宋体"/>
                <w:color w:val="000000"/>
                <w:sz w:val="24"/>
              </w:rPr>
            </w:pPr>
            <w:r>
              <w:rPr>
                <w:rFonts w:hint="eastAsia" w:ascii="仿宋" w:hAnsi="仿宋" w:eastAsia="仿宋" w:cs="宋体"/>
                <w:color w:val="000000"/>
                <w:kern w:val="0"/>
                <w:sz w:val="24"/>
                <w:lang w:bidi="ar"/>
              </w:rPr>
              <w:t>部门：</w:t>
            </w: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r>
              <w:rPr>
                <w:rFonts w:hint="eastAsia" w:ascii="仿宋" w:hAnsi="仿宋" w:eastAsia="仿宋" w:cs="Arial"/>
                <w:color w:val="000000"/>
                <w:sz w:val="24"/>
              </w:rPr>
              <w:t>保定市自然资源和规划局满城区分局</w:t>
            </w:r>
          </w:p>
        </w:tc>
        <w:tc>
          <w:tcPr>
            <w:tcW w:w="3678" w:type="dxa"/>
            <w:gridSpan w:val="4"/>
            <w:vMerge w:val="continue"/>
            <w:tcBorders>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仿宋" w:hAnsi="仿宋" w:eastAsia="仿宋" w:cs="宋体"/>
                <w:color w:val="000000"/>
                <w:sz w:val="24"/>
              </w:rPr>
            </w:pP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科目</w:t>
            </w:r>
          </w:p>
        </w:tc>
        <w:tc>
          <w:tcPr>
            <w:tcW w:w="4272"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本年支出</w:t>
            </w:r>
          </w:p>
        </w:tc>
      </w:tr>
      <w:tr>
        <w:tblPrEx>
          <w:tblCellMar>
            <w:top w:w="0" w:type="dxa"/>
            <w:left w:w="0" w:type="dxa"/>
            <w:bottom w:w="0" w:type="dxa"/>
            <w:right w:w="0" w:type="dxa"/>
          </w:tblCellMar>
        </w:tblPrEx>
        <w:trPr>
          <w:gridAfter w:val="1"/>
          <w:wAfter w:w="544" w:type="dxa"/>
          <w:trHeight w:val="604"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功能分类科目编码</w:t>
            </w:r>
          </w:p>
        </w:tc>
        <w:tc>
          <w:tcPr>
            <w:tcW w:w="29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科目名称</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小计</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基本支出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项目支出</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栏次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2</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合计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b/>
                <w:color w:val="000000"/>
                <w:sz w:val="24"/>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b/>
                <w:color w:val="000000"/>
                <w:sz w:val="24"/>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b/>
                <w:color w:val="000000"/>
                <w:sz w:val="24"/>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仿宋" w:hAnsi="仿宋" w:eastAsia="仿宋" w:cs="宋体"/>
                <w:color w:val="000000"/>
                <w:sz w:val="24"/>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仿宋" w:hAnsi="仿宋" w:eastAsia="仿宋" w:cs="宋体"/>
                <w:color w:val="000000"/>
                <w:sz w:val="24"/>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仿宋" w:hAnsi="仿宋" w:eastAsia="仿宋" w:cs="宋体"/>
                <w:color w:val="000000"/>
                <w:sz w:val="24"/>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仿宋" w:hAnsi="仿宋" w:eastAsia="仿宋" w:cs="宋体"/>
                <w:color w:val="000000"/>
                <w:sz w:val="24"/>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仿宋" w:hAnsi="仿宋" w:eastAsia="仿宋" w:cs="宋体"/>
                <w:color w:val="000000"/>
                <w:sz w:val="24"/>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r>
    </w:tbl>
    <w:p>
      <w:pPr>
        <w:rPr>
          <w:rFonts w:ascii="仿宋" w:hAnsi="仿宋" w:eastAsia="仿宋" w:cs="宋体"/>
          <w:b/>
          <w:sz w:val="24"/>
        </w:rPr>
      </w:pPr>
      <w:r>
        <w:rPr>
          <w:rFonts w:hint="eastAsia" w:ascii="仿宋" w:hAnsi="仿宋" w:eastAsia="仿宋" w:cs="宋体"/>
          <w:sz w:val="24"/>
        </w:rPr>
        <w:t>注：本表反映部门本年度国有资本经营预算财政拨款收入、支出及结转结余情况。</w:t>
      </w:r>
    </w:p>
    <w:p>
      <w:pPr>
        <w:rPr>
          <w:rFonts w:ascii="仿宋" w:hAnsi="仿宋" w:eastAsia="仿宋" w:cs="黑体"/>
          <w:sz w:val="24"/>
        </w:rPr>
      </w:pPr>
      <w:r>
        <w:rPr>
          <w:rFonts w:ascii="仿宋" w:hAnsi="仿宋" w:eastAsia="仿宋" w:cs="黑体"/>
          <w:sz w:val="24"/>
        </w:rPr>
        <w:t>我单位没有国有资本预算收入，空表列示。</w:t>
      </w:r>
    </w:p>
    <w:p>
      <w:pPr>
        <w:rPr>
          <w:rFonts w:ascii="仿宋" w:hAnsi="仿宋" w:eastAsia="仿宋" w:cs="黑体"/>
          <w:sz w:val="24"/>
        </w:rPr>
      </w:pPr>
    </w:p>
    <w:p>
      <w:pPr>
        <w:rPr>
          <w:rFonts w:ascii="仿宋" w:hAnsi="仿宋" w:eastAsia="仿宋" w:cs="黑体"/>
          <w:sz w:val="24"/>
        </w:rPr>
      </w:pPr>
    </w:p>
    <w:p>
      <w:pPr>
        <w:rPr>
          <w:rFonts w:ascii="仿宋" w:hAnsi="仿宋" w:eastAsia="仿宋" w:cs="黑体"/>
          <w:sz w:val="56"/>
          <w:szCs w:val="72"/>
        </w:rPr>
      </w:pPr>
    </w:p>
    <w:p>
      <w:pPr>
        <w:rPr>
          <w:rFonts w:ascii="仿宋" w:hAnsi="仿宋" w:eastAsia="仿宋" w:cs="黑体"/>
          <w:sz w:val="56"/>
          <w:szCs w:val="72"/>
        </w:rPr>
      </w:pPr>
    </w:p>
    <w:p>
      <w:pPr>
        <w:rPr>
          <w:rFonts w:ascii="仿宋" w:hAnsi="仿宋" w:eastAsia="仿宋" w:cs="黑体"/>
          <w:sz w:val="56"/>
          <w:szCs w:val="72"/>
        </w:rPr>
      </w:pPr>
    </w:p>
    <w:p>
      <w:pPr>
        <w:rPr>
          <w:rFonts w:ascii="仿宋" w:hAnsi="仿宋" w:eastAsia="仿宋" w:cs="黑体"/>
          <w:sz w:val="56"/>
          <w:szCs w:val="72"/>
        </w:rPr>
      </w:pPr>
    </w:p>
    <w:p>
      <w:pPr>
        <w:tabs>
          <w:tab w:val="left" w:pos="235"/>
        </w:tabs>
        <w:spacing w:line="600" w:lineRule="exact"/>
        <w:ind w:firstLine="640" w:firstLineChars="200"/>
        <w:jc w:val="left"/>
        <w:rPr>
          <w:rFonts w:ascii="仿宋_GB2312" w:hAnsi="Cambria" w:eastAsia="仿宋_GB2312" w:cs="Arial Black"/>
          <w:kern w:val="0"/>
          <w:sz w:val="32"/>
          <w:szCs w:val="32"/>
        </w:rPr>
        <w:sectPr>
          <w:pgSz w:w="11906" w:h="16838"/>
          <w:pgMar w:top="1984" w:right="1531" w:bottom="2098" w:left="1531" w:header="851" w:footer="992" w:gutter="0"/>
          <w:cols w:space="425" w:num="1"/>
          <w:docGrid w:type="lines" w:linePitch="312" w:charSpace="0"/>
        </w:sectPr>
      </w:pPr>
    </w:p>
    <w:p>
      <w:pPr>
        <w:tabs>
          <w:tab w:val="left" w:pos="235"/>
        </w:tabs>
        <w:spacing w:line="600" w:lineRule="exact"/>
        <w:ind w:firstLine="640" w:firstLineChars="200"/>
        <w:jc w:val="left"/>
        <w:rPr>
          <w:rFonts w:ascii="仿宋_GB2312" w:hAnsi="Cambria" w:eastAsia="仿宋_GB2312" w:cs="Arial Black"/>
          <w:kern w:val="0"/>
          <w:sz w:val="32"/>
          <w:szCs w:val="32"/>
        </w:rPr>
      </w:pPr>
      <w:r>
        <w:rPr>
          <w:sz w:val="32"/>
        </w:rPr>
        <mc:AlternateContent>
          <mc:Choice Requires="wps">
            <w:drawing>
              <wp:anchor distT="0" distB="0" distL="114300" distR="114300" simplePos="0" relativeHeight="251664384" behindDoc="0" locked="0" layoutInCell="1" allowOverlap="1">
                <wp:simplePos x="0" y="0"/>
                <wp:positionH relativeFrom="column">
                  <wp:posOffset>-993140</wp:posOffset>
                </wp:positionH>
                <wp:positionV relativeFrom="paragraph">
                  <wp:posOffset>-1353820</wp:posOffset>
                </wp:positionV>
                <wp:extent cx="7632700" cy="10695940"/>
                <wp:effectExtent l="0" t="0" r="2540" b="2540"/>
                <wp:wrapNone/>
                <wp:docPr id="3" name="矩形 3"/>
                <wp:cNvGraphicFramePr/>
                <a:graphic xmlns:a="http://schemas.openxmlformats.org/drawingml/2006/main">
                  <a:graphicData uri="http://schemas.microsoft.com/office/word/2010/wordprocessingShape">
                    <wps:wsp>
                      <wps:cNvSpPr/>
                      <wps:spPr>
                        <a:xfrm>
                          <a:off x="697865" y="1375410"/>
                          <a:ext cx="7632700" cy="106959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2pt;margin-top:-106.6pt;height:842.2pt;width:601pt;z-index:251664384;v-text-anchor:middle;mso-width-relative:page;mso-height-relative:page;" fillcolor="#BDD7EE [1300]" filled="t" stroked="f" coordsize="21600,21600" o:gfxdata="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aR&#10;7+fcAAAADwEAAA8AAAAAAAAAAQAgAAAAIgAAAGRycy9kb3ducmV2LnhtbFBLAQIUABQAAAAIAIdO&#10;4kBIxKP9kQIAABEFAAAOAAAAAAAAAAEAIAAAACsBAABkcnMvZTJvRG9jLnhtbFBLBQYAAAAABgAG&#10;AFkBAAAuBgAAAAA=&#10;">
                <v:fill on="t" focussize="0,0"/>
                <v:stroke on="f" weight="1pt" miterlimit="8" joinstyle="miter"/>
                <v:imagedata o:title=""/>
                <o:lock v:ext="edit" aspectratio="f"/>
              </v:rect>
            </w:pict>
          </mc:Fallback>
        </mc:AlternateContent>
      </w: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Black">
    <w:panose1 w:val="020B0A04020102020204"/>
    <w:charset w:val="00"/>
    <w:family w:val="swiss"/>
    <w:pitch w:val="default"/>
    <w:sig w:usb0="00000287" w:usb1="00000000" w:usb2="00000000" w:usb3="00000000" w:csb0="2000009F" w:csb1="DFD70000"/>
  </w:font>
  <w:font w:name="Mongolian Baiti">
    <w:panose1 w:val="03000500000000000000"/>
    <w:charset w:val="00"/>
    <w:family w:val="script"/>
    <w:pitch w:val="default"/>
    <w:sig w:usb0="80000023" w:usb1="00000000" w:usb2="00020000" w:usb3="00000000" w:csb0="00000001" w:csb1="00000000"/>
  </w:font>
  <w:font w:name="DengXian-Regular">
    <w:altName w:val="宋体"/>
    <w:panose1 w:val="00000000000000000000"/>
    <w:charset w:val="86"/>
    <w:family w:val="auto"/>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59950409"/>
    <w:multiLevelType w:val="singleLevel"/>
    <w:tmpl w:val="59950409"/>
    <w:lvl w:ilvl="0" w:tentative="0">
      <w:start w:val="1"/>
      <w:numFmt w:val="decimal"/>
      <w:suff w:val="space"/>
      <w:lvlText w:val="%1."/>
      <w:lvlJc w:val="left"/>
    </w:lvl>
  </w:abstractNum>
  <w:abstractNum w:abstractNumId="2">
    <w:nsid w:val="78C1413D"/>
    <w:multiLevelType w:val="singleLevel"/>
    <w:tmpl w:val="78C1413D"/>
    <w:lvl w:ilvl="0" w:tentative="0">
      <w:start w:val="1"/>
      <w:numFmt w:val="decimal"/>
      <w:suff w:val="space"/>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displayBackgroundShape w:val="1"/>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BiOGY3N2U0NDMxN2UyNDE5YTU5MjY2NGEyYjUyMzMifQ=="/>
  </w:docVars>
  <w:rsids>
    <w:rsidRoot w:val="34C45458"/>
    <w:rsid w:val="000347F5"/>
    <w:rsid w:val="00034E6C"/>
    <w:rsid w:val="00061A05"/>
    <w:rsid w:val="00063422"/>
    <w:rsid w:val="000705E0"/>
    <w:rsid w:val="00071606"/>
    <w:rsid w:val="000B689C"/>
    <w:rsid w:val="000C3CCD"/>
    <w:rsid w:val="00117A5A"/>
    <w:rsid w:val="0012186F"/>
    <w:rsid w:val="001744A6"/>
    <w:rsid w:val="0018668E"/>
    <w:rsid w:val="001B73D2"/>
    <w:rsid w:val="001C737A"/>
    <w:rsid w:val="001E0161"/>
    <w:rsid w:val="001E62BF"/>
    <w:rsid w:val="002039F4"/>
    <w:rsid w:val="00230C97"/>
    <w:rsid w:val="0023472F"/>
    <w:rsid w:val="00250393"/>
    <w:rsid w:val="00263DC3"/>
    <w:rsid w:val="00293E7B"/>
    <w:rsid w:val="002D1F4F"/>
    <w:rsid w:val="002E2B9B"/>
    <w:rsid w:val="00301FCC"/>
    <w:rsid w:val="00307ED0"/>
    <w:rsid w:val="0031504B"/>
    <w:rsid w:val="00333BC0"/>
    <w:rsid w:val="0035746A"/>
    <w:rsid w:val="003630D7"/>
    <w:rsid w:val="00366D90"/>
    <w:rsid w:val="003D0C84"/>
    <w:rsid w:val="003D678E"/>
    <w:rsid w:val="003D6E60"/>
    <w:rsid w:val="003E667B"/>
    <w:rsid w:val="004100AD"/>
    <w:rsid w:val="00414777"/>
    <w:rsid w:val="0043798F"/>
    <w:rsid w:val="00460C5A"/>
    <w:rsid w:val="004721CC"/>
    <w:rsid w:val="004C7D37"/>
    <w:rsid w:val="004D021F"/>
    <w:rsid w:val="004D1BC6"/>
    <w:rsid w:val="004E0C81"/>
    <w:rsid w:val="004E734E"/>
    <w:rsid w:val="00533A41"/>
    <w:rsid w:val="00555E79"/>
    <w:rsid w:val="005817B7"/>
    <w:rsid w:val="005914FC"/>
    <w:rsid w:val="005F3A61"/>
    <w:rsid w:val="0060141C"/>
    <w:rsid w:val="0064501E"/>
    <w:rsid w:val="00671A44"/>
    <w:rsid w:val="00696317"/>
    <w:rsid w:val="006D1C79"/>
    <w:rsid w:val="007119A5"/>
    <w:rsid w:val="007500ED"/>
    <w:rsid w:val="00756832"/>
    <w:rsid w:val="007571F0"/>
    <w:rsid w:val="007704B9"/>
    <w:rsid w:val="00784A77"/>
    <w:rsid w:val="007B6ADA"/>
    <w:rsid w:val="007C1ED3"/>
    <w:rsid w:val="007E4F69"/>
    <w:rsid w:val="007F469E"/>
    <w:rsid w:val="00801F66"/>
    <w:rsid w:val="008161E9"/>
    <w:rsid w:val="00840EF2"/>
    <w:rsid w:val="00842264"/>
    <w:rsid w:val="0088154C"/>
    <w:rsid w:val="0088507B"/>
    <w:rsid w:val="0089554D"/>
    <w:rsid w:val="008B2DC3"/>
    <w:rsid w:val="008D496C"/>
    <w:rsid w:val="00921E17"/>
    <w:rsid w:val="00931D59"/>
    <w:rsid w:val="009334BF"/>
    <w:rsid w:val="0093671B"/>
    <w:rsid w:val="00963A23"/>
    <w:rsid w:val="0098145C"/>
    <w:rsid w:val="009B05B0"/>
    <w:rsid w:val="009B5BC5"/>
    <w:rsid w:val="009C58CB"/>
    <w:rsid w:val="00A16372"/>
    <w:rsid w:val="00A238F4"/>
    <w:rsid w:val="00A4247A"/>
    <w:rsid w:val="00A75B3F"/>
    <w:rsid w:val="00A83F2D"/>
    <w:rsid w:val="00AA602D"/>
    <w:rsid w:val="00AE2175"/>
    <w:rsid w:val="00B24784"/>
    <w:rsid w:val="00B24D62"/>
    <w:rsid w:val="00B71EDC"/>
    <w:rsid w:val="00B721CB"/>
    <w:rsid w:val="00BB62F3"/>
    <w:rsid w:val="00BC0E4F"/>
    <w:rsid w:val="00BE48AF"/>
    <w:rsid w:val="00BE69EA"/>
    <w:rsid w:val="00BF4CAD"/>
    <w:rsid w:val="00C26E24"/>
    <w:rsid w:val="00C62C9E"/>
    <w:rsid w:val="00C913D4"/>
    <w:rsid w:val="00CE6012"/>
    <w:rsid w:val="00D6735C"/>
    <w:rsid w:val="00D920CA"/>
    <w:rsid w:val="00DA7CA6"/>
    <w:rsid w:val="00DC7EEE"/>
    <w:rsid w:val="00EB5187"/>
    <w:rsid w:val="00EB74E1"/>
    <w:rsid w:val="00F046F6"/>
    <w:rsid w:val="00F52B54"/>
    <w:rsid w:val="00F64083"/>
    <w:rsid w:val="00F66EC3"/>
    <w:rsid w:val="00F772CE"/>
    <w:rsid w:val="00F908E5"/>
    <w:rsid w:val="00F95E82"/>
    <w:rsid w:val="00FA743E"/>
    <w:rsid w:val="00FF760C"/>
    <w:rsid w:val="058B71E0"/>
    <w:rsid w:val="06DC2B26"/>
    <w:rsid w:val="0794503E"/>
    <w:rsid w:val="08FC31A5"/>
    <w:rsid w:val="09AD4A5A"/>
    <w:rsid w:val="0B9D1900"/>
    <w:rsid w:val="0BE613A0"/>
    <w:rsid w:val="0DF05109"/>
    <w:rsid w:val="0EA325C9"/>
    <w:rsid w:val="0FD54C93"/>
    <w:rsid w:val="127A4B4E"/>
    <w:rsid w:val="16381F35"/>
    <w:rsid w:val="252E6D2F"/>
    <w:rsid w:val="2777204B"/>
    <w:rsid w:val="282D51B7"/>
    <w:rsid w:val="285E2473"/>
    <w:rsid w:val="2F027A56"/>
    <w:rsid w:val="2F5C1233"/>
    <w:rsid w:val="2FB96948"/>
    <w:rsid w:val="301008DF"/>
    <w:rsid w:val="3327616A"/>
    <w:rsid w:val="34C45458"/>
    <w:rsid w:val="35C83C42"/>
    <w:rsid w:val="3A0B4C77"/>
    <w:rsid w:val="3B045BCC"/>
    <w:rsid w:val="3B1B2429"/>
    <w:rsid w:val="3E71260C"/>
    <w:rsid w:val="3F3F4391"/>
    <w:rsid w:val="45351078"/>
    <w:rsid w:val="4B291C49"/>
    <w:rsid w:val="4FE007C3"/>
    <w:rsid w:val="53D27BF3"/>
    <w:rsid w:val="562E736E"/>
    <w:rsid w:val="5D0C63C4"/>
    <w:rsid w:val="5DED4E50"/>
    <w:rsid w:val="5F1C681A"/>
    <w:rsid w:val="65025428"/>
    <w:rsid w:val="666F4D61"/>
    <w:rsid w:val="68FE7022"/>
    <w:rsid w:val="73D824BD"/>
    <w:rsid w:val="7D936361"/>
    <w:rsid w:val="7ECD08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6">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styleId="8">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bmp"/><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5E1834-08DA-451E-94AE-95D270F6E85F}">
  <ds:schemaRefs/>
</ds:datastoreItem>
</file>

<file path=docProps/app.xml><?xml version="1.0" encoding="utf-8"?>
<Properties xmlns="http://schemas.openxmlformats.org/officeDocument/2006/extended-properties" xmlns:vt="http://schemas.openxmlformats.org/officeDocument/2006/docPropsVTypes">
  <Template>Normal</Template>
  <Pages>37</Pages>
  <Words>2565</Words>
  <Characters>14624</Characters>
  <Lines>121</Lines>
  <Paragraphs>34</Paragraphs>
  <TotalTime>3</TotalTime>
  <ScaleCrop>false</ScaleCrop>
  <LinksUpToDate>false</LinksUpToDate>
  <CharactersWithSpaces>17155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2021-09-28T01:09:00Z</dcterms:created>
  <dc:creator>王明新TIAD</dc:creator>
  <cp:lastModifiedBy>咔兹</cp:lastModifiedBy>
  <cp:lastPrinted>2022-08-29T03:30:00Z</cp:lastPrinted>
  <dcterms:modified xsi:type="dcterms:W3CDTF">2023-11-08T02:23:26Z</dcterms:modified>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C5EA15F1202745B6893812B924329E7A_13</vt:lpwstr>
  </property>
</Properties>
</file>