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rPr>
          <w:rFonts w:ascii="黑体" w:hAnsi="黑体" w:eastAsia="黑体"/>
          <w:b/>
          <w:sz w:val="72"/>
          <w:szCs w:val="72"/>
        </w:rPr>
      </w:pPr>
      <w:r>
        <w:drawing>
          <wp:anchor distT="0" distB="0" distL="114300" distR="114300" simplePos="0" relativeHeight="251659264" behindDoc="1" locked="0" layoutInCell="1" allowOverlap="1">
            <wp:simplePos x="0" y="0"/>
            <wp:positionH relativeFrom="column">
              <wp:posOffset>-1000125</wp:posOffset>
            </wp:positionH>
            <wp:positionV relativeFrom="paragraph">
              <wp:posOffset>-1355090</wp:posOffset>
            </wp:positionV>
            <wp:extent cx="7576820" cy="10796905"/>
            <wp:effectExtent l="0" t="0" r="5080" b="4445"/>
            <wp:wrapNone/>
            <wp:docPr id="1" name="图片 7" descr="wc 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descr="wc ga"/>
                    <pic:cNvPicPr>
                      <a:picLocks noChangeAspect="1"/>
                    </pic:cNvPicPr>
                  </pic:nvPicPr>
                  <pic:blipFill>
                    <a:blip r:embed="rId6"/>
                    <a:stretch>
                      <a:fillRect/>
                    </a:stretch>
                  </pic:blipFill>
                  <pic:spPr>
                    <a:xfrm>
                      <a:off x="0" y="0"/>
                      <a:ext cx="7576820" cy="10796905"/>
                    </a:xfrm>
                    <a:prstGeom prst="rect">
                      <a:avLst/>
                    </a:prstGeom>
                    <a:noFill/>
                    <a:ln>
                      <a:noFill/>
                    </a:ln>
                  </pic:spPr>
                </pic:pic>
              </a:graphicData>
            </a:graphic>
          </wp:anchor>
        </w:drawing>
      </w:r>
    </w:p>
    <w:p>
      <w:pPr>
        <w:widowControl/>
        <w:jc w:val="center"/>
        <w:rPr>
          <w:rFonts w:ascii="黑体" w:hAnsi="宋体" w:eastAsia="黑体"/>
          <w:color w:val="002060"/>
          <w:sz w:val="72"/>
          <w:szCs w:val="72"/>
        </w:rPr>
      </w:pPr>
      <w:r>
        <mc:AlternateContent>
          <mc:Choice Requires="wps">
            <w:drawing>
              <wp:anchor distT="0" distB="0" distL="114300" distR="114300" simplePos="0" relativeHeight="251660288" behindDoc="0" locked="0" layoutInCell="1" allowOverlap="1">
                <wp:simplePos x="0" y="0"/>
                <wp:positionH relativeFrom="column">
                  <wp:posOffset>-1055370</wp:posOffset>
                </wp:positionH>
                <wp:positionV relativeFrom="paragraph">
                  <wp:posOffset>549275</wp:posOffset>
                </wp:positionV>
                <wp:extent cx="7571740" cy="2111375"/>
                <wp:effectExtent l="0" t="0" r="0" b="0"/>
                <wp:wrapNone/>
                <wp:docPr id="2" name="文本框 8"/>
                <wp:cNvGraphicFramePr/>
                <a:graphic xmlns:a="http://schemas.openxmlformats.org/drawingml/2006/main">
                  <a:graphicData uri="http://schemas.microsoft.com/office/word/2010/wordprocessingShape">
                    <wps:wsp>
                      <wps:cNvSpPr txBox="1"/>
                      <wps:spPr>
                        <a:xfrm>
                          <a:off x="0" y="0"/>
                          <a:ext cx="7571740" cy="2111375"/>
                        </a:xfrm>
                        <a:prstGeom prst="rect">
                          <a:avLst/>
                        </a:prstGeom>
                        <a:noFill/>
                        <a:ln w="6350">
                          <a:noFill/>
                        </a:ln>
                      </wps:spPr>
                      <wps:txbx>
                        <w:txbxContent>
                          <w:p>
                            <w:pPr>
                              <w:widowControl/>
                              <w:spacing w:line="1200" w:lineRule="exact"/>
                              <w:jc w:val="center"/>
                              <w:rPr>
                                <w:color w:val="FDEFBE"/>
                                <w:sz w:val="96"/>
                                <w:szCs w:val="96"/>
                              </w:rPr>
                            </w:pPr>
                            <w:r>
                              <w:rPr>
                                <w:rFonts w:hint="eastAsia" w:ascii="黑体" w:hAnsi="宋体" w:eastAsia="黑体"/>
                                <w:color w:val="FDEFBE"/>
                                <w:sz w:val="96"/>
                                <w:szCs w:val="96"/>
                                <w:lang w:val="en-US" w:eastAsia="zh-CN"/>
                              </w:rPr>
                              <w:t>保定市满城区人民法院</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wps:txbx>
                      <wps:bodyPr upright="1"/>
                    </wps:wsp>
                  </a:graphicData>
                </a:graphic>
              </wp:anchor>
            </w:drawing>
          </mc:Choice>
          <mc:Fallback>
            <w:pict>
              <v:shape id="文本框 8" o:spid="_x0000_s1026" o:spt="202" type="#_x0000_t202" style="position:absolute;left:0pt;margin-left:-83.1pt;margin-top:43.25pt;height:166.25pt;width:596.2pt;z-index:251660288;mso-width-relative:page;mso-height-relative:page;" filled="f" stroked="f" coordsize="21600,21600" o:gfxdata="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HDPDVNsAAAAMAQAADwAAAAAAAAABACAAAAAiAAAAZHJzL2Rvd25yZXYueG1sUEsBAhQA&#10;FAAAAAgAh07iQFwH79G2AQAAWAMAAA4AAAAAAAAAAQAgAAAAKgEAAGRycy9lMm9Eb2MueG1sUEsF&#10;BgAAAAAGAAYAWQEAAFIFAAAAAA==&#10;">
                <v:fill on="f" focussize="0,0"/>
                <v:stroke on="f" weight="0.5pt"/>
                <v:imagedata o:title=""/>
                <o:lock v:ext="edit" aspectratio="f"/>
                <v:textbox>
                  <w:txbxContent>
                    <w:p>
                      <w:pPr>
                        <w:widowControl/>
                        <w:spacing w:line="1200" w:lineRule="exact"/>
                        <w:jc w:val="center"/>
                        <w:rPr>
                          <w:color w:val="FDEFBE"/>
                          <w:sz w:val="96"/>
                          <w:szCs w:val="96"/>
                        </w:rPr>
                      </w:pPr>
                      <w:r>
                        <w:rPr>
                          <w:rFonts w:hint="eastAsia" w:ascii="黑体" w:hAnsi="宋体" w:eastAsia="黑体"/>
                          <w:color w:val="FDEFBE"/>
                          <w:sz w:val="96"/>
                          <w:szCs w:val="96"/>
                          <w:lang w:val="en-US" w:eastAsia="zh-CN"/>
                        </w:rPr>
                        <w:t>保定市满城区人民法院</w:t>
                      </w:r>
                      <w:r>
                        <w:rPr>
                          <w:rFonts w:ascii="黑体" w:hAnsi="宋体" w:eastAsia="黑体"/>
                          <w:color w:val="FDEFBE"/>
                          <w:sz w:val="96"/>
                          <w:szCs w:val="96"/>
                        </w:rPr>
                        <w:t>2018</w:t>
                      </w:r>
                      <w:r>
                        <w:rPr>
                          <w:rFonts w:hint="eastAsia" w:ascii="黑体" w:hAnsi="宋体" w:eastAsia="黑体"/>
                          <w:color w:val="FDEFBE"/>
                          <w:sz w:val="96"/>
                          <w:szCs w:val="96"/>
                        </w:rPr>
                        <w:t>年度部门决算</w:t>
                      </w:r>
                    </w:p>
                    <w:p>
                      <w:pPr>
                        <w:rPr>
                          <w:color w:val="FDEFBE"/>
                          <w:sz w:val="96"/>
                          <w:szCs w:val="96"/>
                        </w:rPr>
                      </w:pPr>
                    </w:p>
                  </w:txbxContent>
                </v:textbox>
              </v:shape>
            </w:pict>
          </mc:Fallback>
        </mc:AlternateContent>
      </w: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jc w:val="center"/>
        <w:rPr>
          <w:rFonts w:ascii="黑体" w:hAnsi="黑体" w:eastAsia="黑体"/>
          <w:b/>
          <w:sz w:val="72"/>
          <w:szCs w:val="72"/>
        </w:rPr>
      </w:pPr>
    </w:p>
    <w:p>
      <w:pPr>
        <w:widowControl/>
        <w:ind w:firstLine="3092" w:firstLineChars="700"/>
        <w:rPr>
          <w:rFonts w:ascii="楷体" w:hAnsi="楷体" w:eastAsia="楷体" w:cs="楷体"/>
          <w:b/>
          <w:sz w:val="44"/>
          <w:szCs w:val="44"/>
        </w:rPr>
      </w:pPr>
      <w:r>
        <w:rPr>
          <w:rFonts w:hint="eastAsia" w:ascii="楷体" w:hAnsi="楷体" w:eastAsia="楷体" w:cs="楷体"/>
          <w:b/>
          <w:sz w:val="44"/>
          <w:szCs w:val="44"/>
        </w:rPr>
        <w:t>（部门公章）</w:t>
      </w:r>
    </w:p>
    <w:p>
      <w:pPr>
        <w:widowControl/>
        <w:ind w:firstLine="2871" w:firstLineChars="650"/>
        <w:rPr>
          <w:rFonts w:ascii="楷体" w:hAnsi="楷体" w:eastAsia="楷体" w:cs="楷体"/>
          <w:b/>
          <w:sz w:val="44"/>
          <w:szCs w:val="44"/>
        </w:rPr>
        <w:sectPr>
          <w:pgSz w:w="11906" w:h="16838"/>
          <w:pgMar w:top="2098" w:right="1474" w:bottom="1985" w:left="1588" w:header="851" w:footer="992" w:gutter="0"/>
          <w:cols w:space="425" w:num="1"/>
          <w:docGrid w:type="lines" w:linePitch="312" w:charSpace="0"/>
        </w:sectPr>
      </w:pPr>
      <w:r>
        <w:rPr>
          <w:rFonts w:hint="eastAsia" w:ascii="楷体" w:hAnsi="楷体" w:eastAsia="楷体" w:cs="楷体"/>
          <w:b/>
          <w:sz w:val="44"/>
          <w:szCs w:val="44"/>
        </w:rPr>
        <w:t>二〇</w:t>
      </w:r>
      <w:r>
        <w:rPr>
          <w:rFonts w:hint="eastAsia" w:ascii="楷体" w:hAnsi="楷体" w:eastAsia="楷体" w:cs="楷体"/>
          <w:b/>
          <w:sz w:val="44"/>
          <w:szCs w:val="44"/>
          <w:lang w:val="en-US" w:eastAsia="zh-CN"/>
        </w:rPr>
        <w:t>一九</w:t>
      </w:r>
      <w:r>
        <w:rPr>
          <w:rFonts w:hint="eastAsia" w:ascii="楷体" w:hAnsi="楷体" w:eastAsia="楷体" w:cs="楷体"/>
          <w:b/>
          <w:sz w:val="44"/>
          <w:szCs w:val="44"/>
        </w:rPr>
        <w:t>年</w:t>
      </w:r>
      <w:r>
        <w:rPr>
          <w:rFonts w:hint="eastAsia" w:ascii="楷体" w:hAnsi="楷体" w:eastAsia="楷体" w:cs="楷体"/>
          <w:b/>
          <w:sz w:val="44"/>
          <w:szCs w:val="44"/>
          <w:lang w:val="en-US" w:eastAsia="zh-CN"/>
        </w:rPr>
        <w:t>十一</w:t>
      </w:r>
      <w:r>
        <w:rPr>
          <w:rFonts w:hint="eastAsia" w:ascii="楷体" w:hAnsi="楷体" w:eastAsia="楷体" w:cs="楷体"/>
          <w:b/>
          <w:sz w:val="44"/>
          <w:szCs w:val="44"/>
        </w:rPr>
        <w:t>月</w:t>
      </w:r>
    </w:p>
    <w:p>
      <w:pPr>
        <w:spacing w:beforeLines="200" w:after="0" w:line="1000" w:lineRule="exact"/>
        <w:jc w:val="center"/>
        <w:rPr>
          <w:rFonts w:ascii="黑体" w:eastAsia="黑体"/>
          <w:sz w:val="48"/>
          <w:szCs w:val="48"/>
        </w:rPr>
      </w:pPr>
      <w:r>
        <mc:AlternateContent>
          <mc:Choice Requires="wpg">
            <w:drawing>
              <wp:anchor distT="0" distB="0" distL="114300" distR="114300" simplePos="0" relativeHeight="251673600" behindDoc="0" locked="1" layoutInCell="1" allowOverlap="0">
                <wp:simplePos x="0" y="0"/>
                <wp:positionH relativeFrom="column">
                  <wp:posOffset>-1026160</wp:posOffset>
                </wp:positionH>
                <wp:positionV relativeFrom="page">
                  <wp:posOffset>507365</wp:posOffset>
                </wp:positionV>
                <wp:extent cx="3175635" cy="593090"/>
                <wp:effectExtent l="3175" t="0" r="2540" b="16510"/>
                <wp:wrapNone/>
                <wp:docPr id="29" name="组合 179"/>
                <wp:cNvGraphicFramePr/>
                <a:graphic xmlns:a="http://schemas.openxmlformats.org/drawingml/2006/main">
                  <a:graphicData uri="http://schemas.microsoft.com/office/word/2010/wordprocessingGroup">
                    <wpg:wgp>
                      <wpg:cNvGrpSpPr/>
                      <wpg:grpSpPr>
                        <a:xfrm>
                          <a:off x="0" y="0"/>
                          <a:ext cx="3175635" cy="593090"/>
                          <a:chOff x="4551" y="52615"/>
                          <a:chExt cx="8546" cy="1398"/>
                        </a:xfrm>
                      </wpg:grpSpPr>
                      <wps:wsp>
                        <wps:cNvPr id="27" name="矩形 13"/>
                        <wps:cNvSpPr/>
                        <wps:spPr>
                          <a:xfrm>
                            <a:off x="4551" y="52615"/>
                            <a:ext cx="8546" cy="1175"/>
                          </a:xfrm>
                          <a:prstGeom prst="rect">
                            <a:avLst/>
                          </a:prstGeom>
                          <a:solidFill>
                            <a:srgbClr val="96DA9D"/>
                          </a:solidFill>
                          <a:ln w="25400">
                            <a:noFill/>
                          </a:ln>
                        </wps:spPr>
                        <wps:bodyPr anchor="ctr" anchorCtr="0" upright="1"/>
                      </wps:wsp>
                      <wps:wsp>
                        <wps:cNvPr id="2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wps:txbx>
                        <wps:bodyPr anchor="ctr" anchorCtr="0" upright="1"/>
                      </wps:wsp>
                    </wpg:wgp>
                  </a:graphicData>
                </a:graphic>
              </wp:anchor>
            </w:drawing>
          </mc:Choice>
          <mc:Fallback>
            <w:pict>
              <v:group id="组合 179" o:spid="_x0000_s1026" o:spt="203" style="position:absolute;left:0pt;margin-left:-80.8pt;margin-top:39.95pt;height:46.7pt;width:250.05pt;mso-position-vertical-relative:page;z-index:251673600;mso-width-relative:page;mso-height-relative:page;" coordorigin="4551,52615" coordsize="8546,1398" o:allowoverlap="f" o:gfxdata="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Ng8w1Tb&#10;AAAACwEAAA8AAAAAAAAAAQAgAAAAIgAAAGRycy9kb3ducmV2LnhtbFBLAQIUABQAAAAIAIdO4kD8&#10;KQDEyAIAACcHAAAOAAAAAAAAAAEAIAAAACo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qOmUm7sAAADb&#10;AAAADwAAAGRycy9kb3ducmV2LnhtbEWPQWsCMRSE70L/Q3gFb/qyQlvZGj0UCj0VatuDt8fmuVnc&#10;vCxJXLf/vhEEj8PMfMNsdpPv1cgxdUEMVEsNiqUJtpPWwM/3+2INKmUSS30QNvDHCXbbh9mGahsu&#10;8sXjPreqQCTVZMDlPNSIqXHsKS3DwFK8Y4iecpGxRRvpUuC+x5XWz+ipk7LgaOA3x81pf/YGMHJE&#10;F6djPKTxjNWn/n1qTsbMHyv9CirzlO/hW/vD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OmUm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Z/IJfbwAAADb&#10;AAAADwAAAGRycy9kb3ducmV2LnhtbEVPy2rCQBTdF/yH4Qrd1YkugqSZiBSKDyhSTRF3l8w1E8zc&#10;CZnRpP36zqLQ5eG889VoW/Gg3jeOFcxnCQjiyumGawXl6f1lCcIHZI2tY1LwTR5WxeQpx0y7gT/p&#10;cQy1iCHsM1RgQugyKX1lyKKfuY44clfXWwwR9rXUPQ4x3LZykSSptNhwbDDY0Zuh6na8WwWH0lw2&#10;uKez/djfvsp1g+nPLlXqeTpPXkEEGsO/+M+91QoWcWz8En+ALH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fyCX2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6"/>
                            <w:szCs w:val="36"/>
                          </w:rPr>
                        </w:pPr>
                        <w:r>
                          <w:rPr>
                            <w:rFonts w:ascii="楷体" w:hAnsi="楷体" w:eastAsia="楷体" w:cs="楷体"/>
                            <w:b/>
                            <w:bCs/>
                            <w:color w:val="FDEFBE"/>
                            <w:kern w:val="0"/>
                            <w:sz w:val="36"/>
                            <w:szCs w:val="36"/>
                          </w:rPr>
                          <w:t>2018</w:t>
                        </w:r>
                        <w:r>
                          <w:rPr>
                            <w:rFonts w:hint="eastAsia" w:ascii="楷体" w:hAnsi="楷体" w:eastAsia="楷体" w:cs="楷体"/>
                            <w:b/>
                            <w:bCs/>
                            <w:color w:val="FDEFBE"/>
                            <w:kern w:val="0"/>
                            <w:sz w:val="36"/>
                            <w:szCs w:val="36"/>
                          </w:rPr>
                          <w:t>年度部门决算</w:t>
                        </w:r>
                        <w:r>
                          <w:rPr>
                            <w:rFonts w:hint="eastAsia" w:ascii="MS Gothic" w:hAnsi="MS Gothic" w:eastAsia="MS Gothic" w:cs="MS Gothic"/>
                            <w:b/>
                            <w:bCs/>
                            <w:color w:val="FDEFBE"/>
                            <w:kern w:val="0"/>
                            <w:sz w:val="36"/>
                            <w:szCs w:val="36"/>
                          </w:rPr>
                          <w:t>☞</w:t>
                        </w:r>
                        <w:r>
                          <w:rPr>
                            <w:rFonts w:hint="eastAsia" w:ascii="楷体" w:hAnsi="楷体" w:eastAsia="楷体" w:cs="楷体"/>
                            <w:b/>
                            <w:bCs/>
                            <w:color w:val="FDEFBE"/>
                            <w:kern w:val="0"/>
                            <w:sz w:val="36"/>
                            <w:szCs w:val="36"/>
                          </w:rPr>
                          <w:t>目</w:t>
                        </w:r>
                        <w:r>
                          <w:rPr>
                            <w:rFonts w:ascii="楷体" w:hAnsi="楷体" w:eastAsia="楷体" w:cs="楷体"/>
                            <w:b/>
                            <w:bCs/>
                            <w:color w:val="FDEFBE"/>
                            <w:kern w:val="0"/>
                            <w:sz w:val="36"/>
                            <w:szCs w:val="36"/>
                          </w:rPr>
                          <w:t xml:space="preserve"> </w:t>
                        </w:r>
                        <w:r>
                          <w:rPr>
                            <w:rFonts w:hint="eastAsia" w:ascii="楷体" w:hAnsi="楷体" w:eastAsia="楷体" w:cs="楷体"/>
                            <w:b/>
                            <w:bCs/>
                            <w:color w:val="FDEFBE"/>
                            <w:kern w:val="0"/>
                            <w:sz w:val="36"/>
                            <w:szCs w:val="36"/>
                          </w:rPr>
                          <w:t>录</w:t>
                        </w:r>
                      </w:p>
                      <w:p>
                        <w:pPr>
                          <w:jc w:val="center"/>
                        </w:pPr>
                      </w:p>
                    </w:txbxContent>
                  </v:textbox>
                </v:rect>
                <w10:anchorlock/>
              </v:group>
            </w:pict>
          </mc:Fallback>
        </mc:AlternateContent>
      </w:r>
      <w:r>
        <w:rPr>
          <w:rFonts w:hint="eastAsia" w:ascii="黑体" w:eastAsia="黑体"/>
          <w:sz w:val="48"/>
          <w:szCs w:val="48"/>
        </w:rPr>
        <w:t>目</w:t>
      </w:r>
      <w:r>
        <w:rPr>
          <w:rFonts w:ascii="黑体" w:eastAsia="黑体"/>
          <w:sz w:val="48"/>
          <w:szCs w:val="48"/>
        </w:rPr>
        <w:t xml:space="preserve">    </w:t>
      </w:r>
      <w:r>
        <w:rPr>
          <w:rFonts w:hint="eastAsia" w:ascii="黑体" w:eastAsia="黑体"/>
          <w:sz w:val="48"/>
          <w:szCs w:val="48"/>
        </w:rPr>
        <w:t>录</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仿宋_GB2312"/>
          <w:sz w:val="24"/>
          <w:szCs w:val="32"/>
        </w:rPr>
      </w:pPr>
      <w:r>
        <w:rPr>
          <w:rFonts w:hint="eastAsia" w:eastAsia="黑体"/>
          <w:sz w:val="32"/>
          <w:szCs w:val="32"/>
        </w:rPr>
        <w:t>第一部分</w:t>
      </w:r>
      <w:r>
        <w:rPr>
          <w:rFonts w:eastAsia="黑体"/>
          <w:sz w:val="32"/>
          <w:szCs w:val="32"/>
        </w:rPr>
        <w:t xml:space="preserve">   </w:t>
      </w:r>
      <w:r>
        <w:rPr>
          <w:rFonts w:hint="eastAsia" w:eastAsia="黑体"/>
          <w:sz w:val="32"/>
          <w:szCs w:val="32"/>
        </w:rPr>
        <w:t>部门概况</w:t>
      </w:r>
    </w:p>
    <w:p>
      <w:pPr>
        <w:widowControl/>
        <w:spacing w:line="580" w:lineRule="exact"/>
        <w:ind w:firstLine="1273" w:firstLineChars="398"/>
        <w:rPr>
          <w:rFonts w:eastAsia="仿宋_GB2312"/>
          <w:sz w:val="32"/>
          <w:szCs w:val="32"/>
        </w:rPr>
      </w:pPr>
      <w:r>
        <w:rPr>
          <w:rFonts w:hint="eastAsia" w:eastAsia="仿宋_GB2312"/>
          <w:sz w:val="32"/>
          <w:szCs w:val="32"/>
        </w:rPr>
        <w:t>一、部门职责</w:t>
      </w:r>
    </w:p>
    <w:p>
      <w:pPr>
        <w:widowControl/>
        <w:spacing w:line="580" w:lineRule="exact"/>
        <w:ind w:firstLine="1273" w:firstLineChars="398"/>
        <w:rPr>
          <w:rFonts w:eastAsia="仿宋_GB2312"/>
          <w:sz w:val="32"/>
          <w:szCs w:val="32"/>
        </w:rPr>
      </w:pPr>
      <w:r>
        <w:rPr>
          <w:rFonts w:hint="eastAsia" w:eastAsia="仿宋_GB2312"/>
          <w:sz w:val="32"/>
          <w:szCs w:val="32"/>
        </w:rPr>
        <w:t>二、机构设置</w:t>
      </w:r>
    </w:p>
    <w:p>
      <w:pPr>
        <w:widowControl/>
        <w:spacing w:line="580" w:lineRule="exact"/>
        <w:ind w:firstLine="640" w:firstLineChars="200"/>
        <w:rPr>
          <w:rFonts w:eastAsia="仿宋_GB2312"/>
          <w:sz w:val="20"/>
          <w:szCs w:val="32"/>
        </w:rPr>
      </w:pPr>
      <w:r>
        <w:rPr>
          <w:rFonts w:hint="eastAsia" w:eastAsia="黑体"/>
          <w:sz w:val="32"/>
          <w:szCs w:val="32"/>
        </w:rPr>
        <w:t>第二部分</w:t>
      </w:r>
      <w:r>
        <w:rPr>
          <w:rFonts w:eastAsia="黑体"/>
          <w:sz w:val="32"/>
          <w:szCs w:val="32"/>
        </w:rPr>
        <w:t xml:space="preserve">   2018</w:t>
      </w:r>
      <w:r>
        <w:rPr>
          <w:rFonts w:hint="eastAsia" w:eastAsia="黑体"/>
          <w:sz w:val="32"/>
          <w:szCs w:val="32"/>
        </w:rPr>
        <w:t>年度部门决算报表</w: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二、收入决算表</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四、财政拨款收入支出决算总表</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六、一般公共预算财政拨款基本支出决算表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七、一般公共预算财政拨款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八、政府性基金预算财政拨款收入支出决算表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九、国有资本经营预算财政拨款支出决算表</w:t>
      </w:r>
    </w:p>
    <w:p>
      <w:pPr>
        <w:widowControl/>
        <w:spacing w:line="580" w:lineRule="exact"/>
        <w:ind w:left="640" w:firstLine="640" w:firstLineChars="200"/>
        <w:rPr>
          <w:rFonts w:eastAsia="仿宋_GB2312"/>
          <w:sz w:val="32"/>
          <w:szCs w:val="32"/>
        </w:rPr>
      </w:pPr>
      <w:r>
        <w:rPr>
          <w:rFonts w:hint="eastAsia" w:eastAsia="仿宋_GB2312"/>
          <w:sz w:val="32"/>
          <w:szCs w:val="32"/>
        </w:rPr>
        <w:t>十、政府采购情况表</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r>
        <w:rPr>
          <w:rFonts w:hint="eastAsia" w:eastAsia="黑体"/>
          <w:sz w:val="32"/>
          <w:szCs w:val="32"/>
        </w:rPr>
        <w:t>第三部分</w:t>
      </w:r>
      <w:r>
        <w:rPr>
          <w:rFonts w:eastAsia="黑体"/>
          <w:sz w:val="32"/>
          <w:szCs w:val="32"/>
        </w:rPr>
        <w:t xml:space="preserve">  </w:t>
      </w:r>
      <w:r>
        <w:rPr>
          <w:rFonts w:hint="eastAsia" w:eastAsia="黑体"/>
          <w:sz w:val="32"/>
          <w:szCs w:val="32"/>
          <w:lang w:val="en-US" w:eastAsia="zh-CN"/>
        </w:rPr>
        <w:t>满城区人民法院</w:t>
      </w:r>
      <w:r>
        <w:rPr>
          <w:rFonts w:eastAsia="黑体"/>
          <w:sz w:val="32"/>
          <w:szCs w:val="32"/>
        </w:rPr>
        <w:t>2018</w:t>
      </w:r>
      <w:r>
        <w:rPr>
          <w:rFonts w:hint="eastAsia" w:eastAsia="黑体"/>
          <w:sz w:val="32"/>
          <w:szCs w:val="32"/>
        </w:rPr>
        <w:t>年部门决算情况说明</w:t>
      </w:r>
      <w:r>
        <mc:AlternateContent>
          <mc:Choice Requires="wpg">
            <w:drawing>
              <wp:anchor distT="0" distB="0" distL="114300" distR="114300" simplePos="0" relativeHeight="251672576" behindDoc="0" locked="1" layoutInCell="1" allowOverlap="1">
                <wp:simplePos x="0" y="0"/>
                <wp:positionH relativeFrom="column">
                  <wp:posOffset>-1026160</wp:posOffset>
                </wp:positionH>
                <wp:positionV relativeFrom="page">
                  <wp:posOffset>494665</wp:posOffset>
                </wp:positionV>
                <wp:extent cx="2829560" cy="593090"/>
                <wp:effectExtent l="3810" t="0" r="5080" b="16510"/>
                <wp:wrapNone/>
                <wp:docPr id="26" name="组合 176"/>
                <wp:cNvGraphicFramePr/>
                <a:graphic xmlns:a="http://schemas.openxmlformats.org/drawingml/2006/main">
                  <a:graphicData uri="http://schemas.microsoft.com/office/word/2010/wordprocessingGroup">
                    <wpg:wgp>
                      <wpg:cNvGrpSpPr/>
                      <wpg:grpSpPr>
                        <a:xfrm>
                          <a:off x="0" y="0"/>
                          <a:ext cx="2829560" cy="593090"/>
                          <a:chOff x="4551" y="52615"/>
                          <a:chExt cx="8546" cy="1398"/>
                        </a:xfrm>
                      </wpg:grpSpPr>
                      <wps:wsp>
                        <wps:cNvPr id="24" name="矩形 13"/>
                        <wps:cNvSpPr/>
                        <wps:spPr>
                          <a:xfrm>
                            <a:off x="4551" y="52615"/>
                            <a:ext cx="8546" cy="1175"/>
                          </a:xfrm>
                          <a:prstGeom prst="rect">
                            <a:avLst/>
                          </a:prstGeom>
                          <a:solidFill>
                            <a:srgbClr val="96DA9D"/>
                          </a:solidFill>
                          <a:ln w="25400">
                            <a:noFill/>
                          </a:ln>
                        </wps:spPr>
                        <wps:bodyPr anchor="ctr" anchorCtr="0" upright="1"/>
                      </wps:wsp>
                      <wps:wsp>
                        <wps:cNvPr id="2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wps:txbx>
                        <wps:bodyPr anchor="ctr" anchorCtr="0" upright="1"/>
                      </wps:wsp>
                    </wpg:wgp>
                  </a:graphicData>
                </a:graphic>
              </wp:anchor>
            </w:drawing>
          </mc:Choice>
          <mc:Fallback>
            <w:pict>
              <v:group id="组合 176" o:spid="_x0000_s1026" o:spt="203" style="position:absolute;left:0pt;margin-left:-80.8pt;margin-top:38.95pt;height:46.7pt;width:222.8pt;mso-position-vertical-relative:page;z-index:251672576;mso-width-relative:page;mso-height-relative:page;" coordorigin="4551,52615" coordsize="8546,1398" o:gfxdata="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3s1cPtsAAAALAQAA&#10;DwAAAAAAAAABACAAAAAiAAAAZHJzL2Rvd25yZXYueG1sUEsBAhQAFAAAAAgAh07iQLr2K2TBAgAA&#10;Jw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WDsK7LsAAADb&#10;AAAADwAAAGRycy9kb3ducmV2LnhtbEWPQWsCMRSE70L/Q3gFb/qy0hbZGj0UCj0VatuDt8fmuVnc&#10;vCxJXLf/vhEEj8PMfMNsdpPv1cgxdUEMVEsNiqUJtpPWwM/3+2INKmUSS30QNvDHCXbbh9mGahsu&#10;8sXjPreqQCTVZMDlPNSIqXHsKS3DwFK8Y4iecpGxRRvpUuC+x5XWL+ipk7LgaOA3x81pf/YGMHJE&#10;F6djPKTxjNWn/n1uTsbMHyv9CirzlO/hW/vDGlg9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DsK7L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fOm470AAADb&#10;AAAADwAAAGRycy9kb3ducmV2LnhtbEWPQWsCMRSE74L/ITyhN80qdJHVKCKIrSBSu0W8PTbPzeLm&#10;Zdmkav31piB4HGbmG2Y6v9laXKj1lWMFw0ECgrhwuuJSQf696o9B+ICssXZMCv7Iw3zW7Uwx0+7K&#10;X3TZh1JECPsMFZgQmkxKXxiy6AeuIY7eybUWQ5RtKXWL1wi3tRwlSSotVhwXDDa0NFSc979WwS43&#10;xzVu6GC3m/NPvqgwvX+mSr31hskERKBbeIWf7Q+tYPQO/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86bj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目</w:t>
                        </w:r>
                        <w:r>
                          <w:rPr>
                            <w:rFonts w:ascii="楷体" w:hAnsi="楷体" w:eastAsia="楷体" w:cs="楷体"/>
                            <w:b/>
                            <w:bCs/>
                            <w:color w:val="FDEFBE"/>
                            <w:kern w:val="0"/>
                            <w:sz w:val="32"/>
                            <w:szCs w:val="32"/>
                          </w:rPr>
                          <w:t xml:space="preserve"> </w:t>
                        </w:r>
                        <w:r>
                          <w:rPr>
                            <w:rFonts w:hint="eastAsia" w:ascii="楷体" w:hAnsi="楷体" w:eastAsia="楷体" w:cs="楷体"/>
                            <w:b/>
                            <w:bCs/>
                            <w:color w:val="FDEFBE"/>
                            <w:kern w:val="0"/>
                            <w:sz w:val="32"/>
                            <w:szCs w:val="32"/>
                          </w:rPr>
                          <w:t>录</w:t>
                        </w:r>
                      </w:p>
                      <w:p>
                        <w:pPr>
                          <w:jc w:val="center"/>
                        </w:pPr>
                      </w:p>
                    </w:txbxContent>
                  </v:textbox>
                </v:rect>
                <w10:anchorlock/>
              </v:group>
            </w:pict>
          </mc:Fallback>
        </mc:AlternateContent>
      </w:r>
    </w:p>
    <w:p>
      <w:pPr>
        <w:widowControl/>
        <w:spacing w:line="580" w:lineRule="exact"/>
        <w:ind w:left="640" w:firstLine="640" w:firstLineChars="200"/>
        <w:rPr>
          <w:rFonts w:eastAsia="仿宋_GB2312"/>
          <w:sz w:val="32"/>
          <w:szCs w:val="32"/>
        </w:rPr>
      </w:pPr>
      <w:r>
        <w:rPr>
          <w:rFonts w:hint="eastAsia" w:eastAsia="仿宋_GB2312"/>
          <w:sz w:val="32"/>
          <w:szCs w:val="32"/>
        </w:rPr>
        <w:t>一、收入支出决算总体情况说明</w:t>
      </w:r>
    </w:p>
    <w:p>
      <w:pPr>
        <w:widowControl/>
        <w:spacing w:line="580" w:lineRule="exact"/>
        <w:ind w:left="640" w:firstLine="640" w:firstLineChars="200"/>
        <w:rPr>
          <w:rFonts w:eastAsia="仿宋_GB2312"/>
          <w:sz w:val="32"/>
          <w:szCs w:val="32"/>
        </w:rPr>
      </w:pPr>
      <w:r>
        <w:rPr>
          <w:rFonts w:hint="eastAsia" w:eastAsia="仿宋_GB2312"/>
          <w:sz w:val="32"/>
          <w:szCs w:val="32"/>
        </w:rPr>
        <w:t>二、收入决算情况说明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三、支出决算情况说明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四、财政拨款收入支出决算情况说明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五、一般公共预算财政拨款</w:t>
      </w:r>
      <w:r>
        <w:rPr>
          <w:rFonts w:eastAsia="仿宋_GB2312"/>
          <w:sz w:val="32"/>
          <w:szCs w:val="32"/>
        </w:rPr>
        <w:t>“</w:t>
      </w:r>
      <w:r>
        <w:rPr>
          <w:rFonts w:hint="eastAsia" w:eastAsia="仿宋_GB2312"/>
          <w:sz w:val="32"/>
          <w:szCs w:val="32"/>
        </w:rPr>
        <w:t>三公</w:t>
      </w:r>
      <w:r>
        <w:rPr>
          <w:rFonts w:eastAsia="仿宋_GB2312"/>
          <w:sz w:val="32"/>
          <w:szCs w:val="32"/>
        </w:rPr>
        <w:t>”</w:t>
      </w:r>
      <w:r>
        <w:rPr>
          <w:rFonts w:hint="eastAsia" w:eastAsia="仿宋_GB2312"/>
          <w:sz w:val="32"/>
          <w:szCs w:val="32"/>
        </w:rPr>
        <w:t>经费支出决算情况说明</w:t>
      </w:r>
    </w:p>
    <w:p>
      <w:pPr>
        <w:widowControl/>
        <w:spacing w:line="580" w:lineRule="exact"/>
        <w:ind w:left="640" w:firstLine="640" w:firstLineChars="200"/>
        <w:rPr>
          <w:rFonts w:eastAsia="仿宋_GB2312"/>
          <w:sz w:val="32"/>
          <w:szCs w:val="32"/>
        </w:rPr>
      </w:pPr>
      <w:r>
        <w:rPr>
          <w:rFonts w:hint="eastAsia" w:eastAsia="仿宋_GB2312"/>
          <w:sz w:val="32"/>
          <w:szCs w:val="32"/>
        </w:rPr>
        <w:t>六、预算绩效情况说明</w:t>
      </w:r>
    </w:p>
    <w:p>
      <w:pPr>
        <w:widowControl/>
        <w:spacing w:line="580" w:lineRule="exact"/>
        <w:ind w:left="640" w:firstLine="640" w:firstLineChars="200"/>
        <w:rPr>
          <w:rFonts w:eastAsia="仿宋_GB2312"/>
          <w:sz w:val="32"/>
          <w:szCs w:val="32"/>
        </w:rPr>
      </w:pPr>
      <w:r>
        <w:rPr>
          <w:rFonts w:hint="eastAsia" w:eastAsia="仿宋_GB2312"/>
          <w:sz w:val="32"/>
          <w:szCs w:val="32"/>
        </w:rPr>
        <w:t>七、其他重要事项的说明</w:t>
      </w:r>
    </w:p>
    <w:p>
      <w:pPr>
        <w:widowControl/>
        <w:spacing w:line="580" w:lineRule="exact"/>
        <w:ind w:firstLine="640" w:firstLineChars="200"/>
        <w:rPr>
          <w:rFonts w:eastAsia="黑体"/>
          <w:sz w:val="32"/>
          <w:szCs w:val="32"/>
        </w:rPr>
      </w:pPr>
      <w:r>
        <w:rPr>
          <w:rFonts w:hint="eastAsia" w:eastAsia="黑体"/>
          <w:sz w:val="32"/>
          <w:szCs w:val="32"/>
        </w:rPr>
        <w:t>第四部分</w:t>
      </w:r>
      <w:r>
        <w:rPr>
          <w:rFonts w:eastAsia="黑体"/>
          <w:sz w:val="32"/>
          <w:szCs w:val="32"/>
        </w:rPr>
        <w:t xml:space="preserve">  </w:t>
      </w:r>
      <w:r>
        <w:rPr>
          <w:rFonts w:hint="eastAsia" w:eastAsia="黑体"/>
          <w:sz w:val="32"/>
          <w:szCs w:val="32"/>
        </w:rPr>
        <w:t>名词解释</w:t>
      </w: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pPr>
        <w:widowControl/>
        <w:spacing w:line="580" w:lineRule="exact"/>
        <w:ind w:firstLine="640" w:firstLineChars="200"/>
        <w:rPr>
          <w:rFonts w:eastAsia="黑体"/>
          <w:sz w:val="32"/>
          <w:szCs w:val="32"/>
        </w:rPr>
      </w:pPr>
    </w:p>
    <w:p>
      <w:r>
        <w:br w:type="page"/>
      </w:r>
    </w:p>
    <w:p>
      <w:r>
        <w:drawing>
          <wp:anchor distT="0" distB="0" distL="114300" distR="114300" simplePos="0" relativeHeight="251661312" behindDoc="1" locked="0" layoutInCell="1" allowOverlap="1">
            <wp:simplePos x="0" y="0"/>
            <wp:positionH relativeFrom="column">
              <wp:posOffset>-1024890</wp:posOffset>
            </wp:positionH>
            <wp:positionV relativeFrom="paragraph">
              <wp:posOffset>-1351915</wp:posOffset>
            </wp:positionV>
            <wp:extent cx="7585710" cy="10727055"/>
            <wp:effectExtent l="0" t="0" r="15240" b="17145"/>
            <wp:wrapNone/>
            <wp:docPr id="3" name="图片 12"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2" descr="2"/>
                    <pic:cNvPicPr>
                      <a:picLocks noChangeAspect="1"/>
                    </pic:cNvPicPr>
                  </pic:nvPicPr>
                  <pic:blipFill>
                    <a:blip r:embed="rId7"/>
                    <a:stretch>
                      <a:fillRect/>
                    </a:stretch>
                  </pic:blipFill>
                  <pic:spPr>
                    <a:xfrm>
                      <a:off x="0" y="0"/>
                      <a:ext cx="7585710" cy="10727055"/>
                    </a:xfrm>
                    <a:prstGeom prst="rect">
                      <a:avLst/>
                    </a:prstGeom>
                    <a:noFill/>
                    <a:ln>
                      <a:noFill/>
                    </a:ln>
                  </pic:spPr>
                </pic:pic>
              </a:graphicData>
            </a:graphic>
          </wp:anchor>
        </w:drawing>
      </w:r>
      <w:r>
        <mc:AlternateContent>
          <mc:Choice Requires="wps">
            <w:drawing>
              <wp:anchor distT="0" distB="0" distL="114300" distR="114300" simplePos="0" relativeHeight="251670528" behindDoc="0" locked="0" layoutInCell="1" allowOverlap="1">
                <wp:simplePos x="0" y="0"/>
                <wp:positionH relativeFrom="column">
                  <wp:posOffset>-1235710</wp:posOffset>
                </wp:positionH>
                <wp:positionV relativeFrom="paragraph">
                  <wp:posOffset>3290570</wp:posOffset>
                </wp:positionV>
                <wp:extent cx="7793355" cy="1037590"/>
                <wp:effectExtent l="0" t="0" r="0" b="0"/>
                <wp:wrapNone/>
                <wp:docPr id="20" name="文本框 118"/>
                <wp:cNvGraphicFramePr/>
                <a:graphic xmlns:a="http://schemas.openxmlformats.org/drawingml/2006/main">
                  <a:graphicData uri="http://schemas.microsoft.com/office/word/2010/wordprocessingShape">
                    <wps:wsp>
                      <wps:cNvSpPr txBox="1"/>
                      <wps:spPr>
                        <a:xfrm>
                          <a:off x="0" y="0"/>
                          <a:ext cx="7793355" cy="1037590"/>
                        </a:xfrm>
                        <a:prstGeom prst="rect">
                          <a:avLst/>
                        </a:prstGeom>
                        <a:noFill/>
                        <a:ln w="6350">
                          <a:noFill/>
                        </a:ln>
                      </wps:spPr>
                      <wps:txb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wps:txbx>
                      <wps:bodyPr upright="1"/>
                    </wps:wsp>
                  </a:graphicData>
                </a:graphic>
              </wp:anchor>
            </w:drawing>
          </mc:Choice>
          <mc:Fallback>
            <w:pict>
              <v:shape id="文本框 118" o:spid="_x0000_s1026" o:spt="202" type="#_x0000_t202" style="position:absolute;left:0pt;margin-left:-97.3pt;margin-top:259.1pt;height:81.7pt;width:613.65pt;z-index:251670528;mso-width-relative:page;mso-height-relative:page;" filled="f" stroked="f" coordsize="21600,21600" o:gfxdata="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iKw6neAAAADQEAAA8AAAAAAAAAAQAgAAAAIgAAAGRycy9kb3ducmV2Lnht&#10;bFBLAQIUABQAAAAIAIdO4kDRhwsqugEAAFsDAAAOAAAAAAAAAAEAIAAAAC0BAABkcnMvZTJvRG9j&#10;LnhtbFBLBQYAAAAABgAGAFkBAABZBQAAAAA=&#10;">
                <v:fill on="f" focussize="0,0"/>
                <v:stroke on="f" weight="0.5pt"/>
                <v:imagedata o:title=""/>
                <o:lock v:ext="edit" aspectratio="f"/>
                <v:textbox>
                  <w:txbxContent>
                    <w:p>
                      <w:pPr>
                        <w:widowControl/>
                        <w:jc w:val="center"/>
                        <w:rPr>
                          <w:color w:val="FDEFBE"/>
                          <w:sz w:val="96"/>
                          <w:szCs w:val="96"/>
                        </w:rPr>
                      </w:pPr>
                      <w:r>
                        <w:rPr>
                          <w:rFonts w:hint="eastAsia" w:ascii="黑体" w:hAnsi="宋体" w:eastAsia="黑体"/>
                          <w:color w:val="FDEFBE"/>
                          <w:sz w:val="96"/>
                          <w:szCs w:val="96"/>
                        </w:rPr>
                        <w:t>第一部分</w:t>
                      </w:r>
                      <w:r>
                        <w:rPr>
                          <w:rFonts w:ascii="黑体" w:hAnsi="宋体" w:eastAsia="黑体"/>
                          <w:color w:val="FDEFBE"/>
                          <w:sz w:val="96"/>
                          <w:szCs w:val="96"/>
                        </w:rPr>
                        <w:t xml:space="preserve">  </w:t>
                      </w:r>
                      <w:r>
                        <w:rPr>
                          <w:rFonts w:hint="eastAsia" w:ascii="黑体" w:hAnsi="宋体" w:eastAsia="黑体"/>
                          <w:color w:val="FDEFBE"/>
                          <w:sz w:val="96"/>
                          <w:szCs w:val="96"/>
                        </w:rPr>
                        <w:t>部门概况</w:t>
                      </w:r>
                    </w:p>
                  </w:txbxContent>
                </v:textbox>
              </v:shape>
            </w:pict>
          </mc:Fallback>
        </mc:AlternateContent>
      </w:r>
    </w:p>
    <w:p/>
    <w:p/>
    <w:p/>
    <w:p/>
    <w:p/>
    <w:p/>
    <w:p/>
    <w:p/>
    <w:p/>
    <w:p/>
    <w:p/>
    <w:p/>
    <w:p/>
    <w:p/>
    <w:p/>
    <w:p>
      <w:pPr>
        <w:pStyle w:val="2"/>
        <w:numPr>
          <w:ilvl w:val="0"/>
          <w:numId w:val="1"/>
        </w:numPr>
        <w:spacing w:before="0" w:after="0" w:line="600" w:lineRule="exact"/>
        <w:jc w:val="left"/>
        <w:rPr>
          <w:rFonts w:hint="eastAsia" w:ascii="黑体" w:hAnsi="Cambria" w:eastAsia="黑体" w:cs="黑体"/>
          <w:b w:val="0"/>
          <w:bCs w:val="0"/>
          <w:kern w:val="0"/>
          <w:sz w:val="32"/>
          <w:szCs w:val="32"/>
        </w:rPr>
      </w:pPr>
      <w:r>
        <mc:AlternateContent>
          <mc:Choice Requires="wpg">
            <w:drawing>
              <wp:anchor distT="0" distB="0" distL="114300" distR="114300" simplePos="0" relativeHeight="251662336" behindDoc="0" locked="1" layoutInCell="1" allowOverlap="1">
                <wp:simplePos x="0" y="0"/>
                <wp:positionH relativeFrom="column">
                  <wp:posOffset>-1026160</wp:posOffset>
                </wp:positionH>
                <wp:positionV relativeFrom="page">
                  <wp:posOffset>501650</wp:posOffset>
                </wp:positionV>
                <wp:extent cx="3114675" cy="593090"/>
                <wp:effectExtent l="3175" t="0" r="6350" b="16510"/>
                <wp:wrapNone/>
                <wp:docPr id="6" name="组合 15"/>
                <wp:cNvGraphicFramePr/>
                <a:graphic xmlns:a="http://schemas.openxmlformats.org/drawingml/2006/main">
                  <a:graphicData uri="http://schemas.microsoft.com/office/word/2010/wordprocessingGroup">
                    <wpg:wgp>
                      <wpg:cNvGrpSpPr/>
                      <wpg:grpSpPr>
                        <a:xfrm>
                          <a:off x="0" y="0"/>
                          <a:ext cx="3114675" cy="593090"/>
                          <a:chOff x="4551" y="52615"/>
                          <a:chExt cx="8546" cy="1398"/>
                        </a:xfrm>
                      </wpg:grpSpPr>
                      <wps:wsp>
                        <wps:cNvPr id="4" name="矩形 13"/>
                        <wps:cNvSpPr/>
                        <wps:spPr>
                          <a:xfrm>
                            <a:off x="4551" y="52615"/>
                            <a:ext cx="8546" cy="1175"/>
                          </a:xfrm>
                          <a:prstGeom prst="rect">
                            <a:avLst/>
                          </a:prstGeom>
                          <a:solidFill>
                            <a:srgbClr val="96DA9D"/>
                          </a:solidFill>
                          <a:ln w="25400">
                            <a:noFill/>
                          </a:ln>
                        </wps:spPr>
                        <wps:bodyPr anchor="ctr" anchorCtr="0" upright="1"/>
                      </wps:wsp>
                      <wps:wsp>
                        <wps:cNvPr id="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wps:txbx>
                        <wps:bodyPr anchor="ctr" anchorCtr="0" upright="1"/>
                      </wps:wsp>
                    </wpg:wgp>
                  </a:graphicData>
                </a:graphic>
              </wp:anchor>
            </w:drawing>
          </mc:Choice>
          <mc:Fallback>
            <w:pict>
              <v:group id="组合 15" o:spid="_x0000_s1026" o:spt="203" style="position:absolute;left:0pt;margin-left:-80.8pt;margin-top:39.5pt;height:46.7pt;width:245.25pt;mso-position-vertical-relative:page;z-index:251662336;mso-width-relative:page;mso-height-relative:page;" coordorigin="4551,52615" coordsize="8546,1398" o:gfxdata="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IMnUENsAAAAL&#10;AQAADwAAAAAAAAABACAAAAAiAAAAZHJzL2Rvd25yZXYueG1sUEsBAhQAFAAAAAgAh07iQEAOOqLE&#10;AgAAIw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9dpBBboAAADa&#10;AAAADwAAAGRycy9kb3ducmV2LnhtbEWPQWsCMRSE74X+h/CE3urLllZkNXoQCj0VqvXg7bF5bhY3&#10;L0sS1+2/N4VCj8PMfMOst5Pv1cgxdUEMVHMNiqUJtpPWwPfh/XkJKmUSS30QNvDDCbabx4c11Tbc&#10;5IvHfW5VgUiqyYDLeagRU+PYU5qHgaV45xA95SJjizbSrcB9jy9aL9BTJ2XB0cA7x81lf/UGMHJE&#10;F6dzPKXxitWnPr41F2OeZpVegco85f/wX/vDGniF3yvlBuDmD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12kEFugAAANo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6xb870AAADa&#10;AAAADwAAAGRycy9kb3ducmV2LnhtbEWPW4vCMBSE3xf8D+EI+7amChapRhFBvMCyrFbEt0NzbIrN&#10;SWniZffXbxYEH4eZ+YaZzB62FjdqfeVYQb+XgCAunK64VJDvlx8jED4ga6wdk4If8jCbdt4mmGl3&#10;52+67UIpIoR9hgpMCE0mpS8MWfQ91xBH7+xaiyHKtpS6xXuE21oOkiSVFiuOCwYbWhgqLrurVfCV&#10;m9MKt3S0n9vLIZ9XmP5uUqXeu/1kDCLQI7zCz/ZaKxjC/5V4A+T0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TrFvzvQAA&#10;ANo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部门概况</w:t>
                        </w:r>
                      </w:p>
                      <w:p>
                        <w:pPr>
                          <w:jc w:val="center"/>
                        </w:pPr>
                      </w:p>
                    </w:txbxContent>
                  </v:textbox>
                </v:rect>
                <w10:anchorlock/>
              </v:group>
            </w:pict>
          </mc:Fallback>
        </mc:AlternateContent>
      </w:r>
      <w:r>
        <w:rPr>
          <w:rFonts w:hint="eastAsia" w:ascii="黑体" w:hAnsi="Cambria" w:eastAsia="黑体" w:cs="黑体"/>
          <w:b w:val="0"/>
          <w:bCs w:val="0"/>
          <w:kern w:val="0"/>
          <w:sz w:val="32"/>
          <w:szCs w:val="32"/>
        </w:rPr>
        <w:t>部门职责</w:t>
      </w:r>
    </w:p>
    <w:p>
      <w:pPr>
        <w:ind w:firstLine="560" w:firstLineChars="200"/>
        <w:rPr>
          <w:rFonts w:hint="eastAsia" w:ascii="仿宋_GB2312" w:hAnsi="仿宋" w:eastAsia="仿宋_GB2312"/>
          <w:sz w:val="28"/>
          <w:szCs w:val="28"/>
        </w:rPr>
      </w:pPr>
      <w:r>
        <w:rPr>
          <w:rFonts w:hint="eastAsia" w:ascii="仿宋_GB2312" w:hAnsi="仿宋" w:eastAsia="仿宋_GB2312"/>
          <w:sz w:val="28"/>
          <w:szCs w:val="28"/>
        </w:rPr>
        <w:t>保定市满城区人民法院是国家的审判机关，在党的领导下，依法独立行使审判权，对区人民代表大会及其常务委员会负责并报告工作。我们的主要职责是：</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1、</w:t>
      </w:r>
      <w:r>
        <w:rPr>
          <w:rFonts w:hint="eastAsia" w:ascii="仿宋_GB2312" w:hAnsi="仿宋" w:eastAsia="仿宋_GB2312"/>
          <w:sz w:val="28"/>
          <w:szCs w:val="28"/>
        </w:rPr>
        <w:t xml:space="preserve">依法审判法律规定的由本院管辖的刑事、民事及行政等第一审案件。 </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2、</w:t>
      </w:r>
      <w:r>
        <w:rPr>
          <w:rFonts w:hint="eastAsia" w:ascii="仿宋_GB2312" w:hAnsi="仿宋" w:eastAsia="仿宋_GB2312"/>
          <w:sz w:val="28"/>
          <w:szCs w:val="28"/>
        </w:rPr>
        <w:t>依法审判刑事、民事及行政等按照审判监督程序提起的再审案件和二审法院发还重审的案件。</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3、</w:t>
      </w:r>
      <w:r>
        <w:rPr>
          <w:rFonts w:hint="eastAsia" w:ascii="仿宋_GB2312" w:hAnsi="仿宋" w:eastAsia="仿宋_GB2312"/>
          <w:sz w:val="28"/>
          <w:szCs w:val="28"/>
        </w:rPr>
        <w:t>依法办理发生法律效力的刑事、民事及行政等案件的执行事项；办理法律规定由法院执行的其他法律文书的执行事项。</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4、</w:t>
      </w:r>
      <w:r>
        <w:rPr>
          <w:rFonts w:hint="eastAsia" w:ascii="仿宋_GB2312" w:hAnsi="仿宋" w:eastAsia="仿宋_GB2312"/>
          <w:sz w:val="28"/>
          <w:szCs w:val="28"/>
        </w:rPr>
        <w:t>依法行使司法决定权。</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5、</w:t>
      </w:r>
      <w:r>
        <w:rPr>
          <w:rFonts w:hint="eastAsia" w:ascii="仿宋_GB2312" w:hAnsi="仿宋" w:eastAsia="仿宋_GB2312"/>
          <w:sz w:val="28"/>
          <w:szCs w:val="28"/>
        </w:rPr>
        <w:t>针对案件审理中发现的问题提出司法建议。</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6、</w:t>
      </w:r>
      <w:r>
        <w:rPr>
          <w:rFonts w:hint="eastAsia" w:ascii="仿宋_GB2312" w:hAnsi="仿宋" w:eastAsia="仿宋_GB2312"/>
          <w:sz w:val="28"/>
          <w:szCs w:val="28"/>
        </w:rPr>
        <w:t>负责审判工作的调查研究，总结审判工作经验，工作中就适用法律 、政策问题进行请示、答复，负责全院的司法统计工作。</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7、</w:t>
      </w:r>
      <w:r>
        <w:rPr>
          <w:rFonts w:hint="eastAsia" w:ascii="仿宋_GB2312" w:hAnsi="仿宋" w:eastAsia="仿宋_GB2312"/>
          <w:sz w:val="28"/>
          <w:szCs w:val="28"/>
        </w:rPr>
        <w:t>对本院的法官和其他工作人员进行思想政治教育，组织专业培训；协助区主管部门管理人民法院的机构编制工作；按照权限管理法官和其他工作人员。</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8、</w:t>
      </w:r>
      <w:r>
        <w:rPr>
          <w:rFonts w:hint="eastAsia" w:ascii="仿宋_GB2312" w:hAnsi="仿宋" w:eastAsia="仿宋_GB2312"/>
          <w:sz w:val="28"/>
          <w:szCs w:val="28"/>
        </w:rPr>
        <w:t>管理人民法院的有关经费和物资装备。</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9、</w:t>
      </w:r>
      <w:r>
        <w:rPr>
          <w:rFonts w:hint="eastAsia" w:ascii="仿宋_GB2312" w:hAnsi="仿宋" w:eastAsia="仿宋_GB2312"/>
          <w:sz w:val="28"/>
          <w:szCs w:val="28"/>
        </w:rPr>
        <w:t>负责人民法院的司法技术鉴定工作。</w:t>
      </w:r>
    </w:p>
    <w:p>
      <w:pPr>
        <w:rPr>
          <w:rFonts w:hint="eastAsia" w:ascii="仿宋_GB2312" w:hAnsi="仿宋" w:eastAsia="仿宋_GB2312"/>
          <w:sz w:val="28"/>
          <w:szCs w:val="28"/>
        </w:rPr>
      </w:pPr>
      <w:r>
        <w:rPr>
          <w:rFonts w:hint="eastAsia" w:ascii="仿宋_GB2312" w:hAnsi="仿宋" w:eastAsia="仿宋_GB2312"/>
          <w:sz w:val="28"/>
          <w:szCs w:val="28"/>
          <w:lang w:val="en-US" w:eastAsia="zh-CN"/>
        </w:rPr>
        <w:t>10、</w:t>
      </w:r>
      <w:r>
        <w:rPr>
          <w:rFonts w:hint="eastAsia" w:ascii="仿宋_GB2312" w:hAnsi="仿宋" w:eastAsia="仿宋_GB2312"/>
          <w:sz w:val="28"/>
          <w:szCs w:val="28"/>
        </w:rPr>
        <w:t>在审判工作中，宣传法律，指导民调工作。教育公民忠于社会主义祖国，自觉遵守宪法、法律和社会公德。</w:t>
      </w:r>
    </w:p>
    <w:p>
      <w:pPr>
        <w:rPr>
          <w:rFonts w:hint="eastAsia" w:ascii="仿宋_GB2312" w:hAnsi="仿宋" w:eastAsia="仿宋_GB2312"/>
          <w:sz w:val="28"/>
          <w:szCs w:val="28"/>
          <w:lang w:val="en-US" w:eastAsia="zh-CN"/>
        </w:rPr>
      </w:pPr>
      <w:r>
        <w:rPr>
          <w:rFonts w:hint="eastAsia" w:ascii="仿宋_GB2312" w:hAnsi="仿宋" w:eastAsia="仿宋_GB2312"/>
          <w:sz w:val="28"/>
          <w:szCs w:val="28"/>
          <w:lang w:val="en-US" w:eastAsia="zh-CN"/>
        </w:rPr>
        <w:t>11、承办其他应由人民法院负责的工作。</w:t>
      </w:r>
    </w:p>
    <w:p>
      <w:pPr>
        <w:widowControl w:val="0"/>
        <w:numPr>
          <w:ilvl w:val="0"/>
          <w:numId w:val="0"/>
        </w:numPr>
        <w:spacing w:after="160" w:line="480" w:lineRule="auto"/>
        <w:jc w:val="both"/>
      </w:pPr>
    </w:p>
    <w:p>
      <w:pPr>
        <w:pStyle w:val="2"/>
        <w:numPr>
          <w:ilvl w:val="0"/>
          <w:numId w:val="1"/>
        </w:numPr>
        <w:spacing w:before="0" w:after="0" w:line="600" w:lineRule="exact"/>
        <w:ind w:left="0" w:leftChars="0" w:firstLine="0" w:firstLineChars="0"/>
        <w:jc w:val="left"/>
        <w:rPr>
          <w:rFonts w:hint="eastAsia" w:ascii="黑体" w:hAnsi="Cambria" w:eastAsia="黑体" w:cs="黑体"/>
          <w:b w:val="0"/>
          <w:bCs w:val="0"/>
          <w:kern w:val="0"/>
          <w:sz w:val="32"/>
          <w:szCs w:val="32"/>
        </w:rPr>
      </w:pPr>
      <w:r>
        <w:rPr>
          <w:rFonts w:hint="eastAsia" w:ascii="黑体" w:hAnsi="Cambria" w:eastAsia="黑体" w:cs="黑体"/>
          <w:b w:val="0"/>
          <w:bCs w:val="0"/>
          <w:kern w:val="0"/>
          <w:sz w:val="32"/>
          <w:szCs w:val="32"/>
        </w:rPr>
        <w:t>机构设置</w:t>
      </w:r>
    </w:p>
    <w:p>
      <w:pPr>
        <w:spacing w:after="0" w:line="560" w:lineRule="exact"/>
        <w:rPr>
          <w:rFonts w:ascii="仿宋_GB2312" w:hAnsi="Cambria" w:eastAsia="仿宋_GB2312" w:cs="ArialUnicodeMS"/>
          <w:kern w:val="0"/>
          <w:sz w:val="32"/>
          <w:szCs w:val="32"/>
        </w:rPr>
      </w:pPr>
      <w:r>
        <w:rPr>
          <w:rFonts w:hint="eastAsia" w:ascii="仿宋_GB2312" w:hAnsi="Cambria" w:eastAsia="仿宋_GB2312" w:cs="ArialUnicodeMS"/>
          <w:kern w:val="0"/>
          <w:sz w:val="32"/>
          <w:szCs w:val="32"/>
        </w:rPr>
        <w:t>从决算编报单位构成看，纳入</w:t>
      </w:r>
      <w:r>
        <w:rPr>
          <w:rFonts w:ascii="仿宋_GB2312" w:hAnsi="Cambria" w:eastAsia="仿宋_GB2312" w:cs="ArialUnicodeMS"/>
          <w:kern w:val="0"/>
          <w:sz w:val="32"/>
          <w:szCs w:val="32"/>
        </w:rPr>
        <w:t xml:space="preserve">2018 </w:t>
      </w:r>
      <w:r>
        <w:rPr>
          <w:rFonts w:hint="eastAsia" w:ascii="仿宋_GB2312" w:hAnsi="Cambria" w:eastAsia="仿宋_GB2312" w:cs="ArialUnicodeMS"/>
          <w:kern w:val="0"/>
          <w:sz w:val="32"/>
          <w:szCs w:val="32"/>
        </w:rPr>
        <w:t>年度本部门决算汇编范围的独立核算单位（以下简称“单位”）共</w:t>
      </w:r>
      <w:r>
        <w:rPr>
          <w:rFonts w:ascii="仿宋_GB2312" w:hAnsi="Cambria" w:eastAsia="仿宋_GB2312" w:cs="ArialUnicodeMS"/>
          <w:kern w:val="0"/>
          <w:sz w:val="32"/>
          <w:szCs w:val="32"/>
        </w:rPr>
        <w:t xml:space="preserve"> </w:t>
      </w:r>
      <w:r>
        <w:rPr>
          <w:rFonts w:hint="eastAsia" w:ascii="仿宋_GB2312" w:hAnsi="Cambria" w:eastAsia="仿宋_GB2312" w:cs="ArialUnicodeMS"/>
          <w:kern w:val="0"/>
          <w:sz w:val="32"/>
          <w:szCs w:val="32"/>
          <w:lang w:val="en-US" w:eastAsia="zh-CN"/>
        </w:rPr>
        <w:t>1</w:t>
      </w:r>
      <w:r>
        <w:rPr>
          <w:rFonts w:hint="eastAsia" w:ascii="仿宋_GB2312" w:hAnsi="Cambria" w:eastAsia="仿宋_GB2312" w:cs="ArialUnicodeMS"/>
          <w:kern w:val="0"/>
          <w:sz w:val="32"/>
          <w:szCs w:val="32"/>
        </w:rPr>
        <w:t>个，具体情况如下：</w:t>
      </w:r>
    </w:p>
    <w:tbl>
      <w:tblPr>
        <w:tblStyle w:val="12"/>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序号</w:t>
            </w:r>
          </w:p>
        </w:tc>
        <w:tc>
          <w:tcPr>
            <w:tcW w:w="348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单位名称</w:t>
            </w:r>
          </w:p>
        </w:tc>
        <w:tc>
          <w:tcPr>
            <w:tcW w:w="244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单位基本性质</w:t>
            </w:r>
          </w:p>
        </w:tc>
        <w:tc>
          <w:tcPr>
            <w:tcW w:w="2665" w:type="dxa"/>
            <w:vAlign w:val="center"/>
          </w:tcPr>
          <w:p>
            <w:pPr>
              <w:spacing w:after="0" w:line="560" w:lineRule="exact"/>
              <w:jc w:val="center"/>
              <w:rPr>
                <w:rFonts w:ascii="仿宋_GB2312" w:hAnsi="Cambria" w:eastAsia="仿宋_GB2312" w:cs="ArialUnicodeMS"/>
                <w:b/>
                <w:bCs/>
                <w:kern w:val="0"/>
                <w:sz w:val="28"/>
                <w:szCs w:val="28"/>
              </w:rPr>
            </w:pPr>
            <w:r>
              <w:rPr>
                <w:rFonts w:hint="eastAsia" w:ascii="仿宋_GB2312" w:hAnsi="Cambria" w:eastAsia="仿宋_GB2312" w:cs="ArialUnicodeMS"/>
                <w:b/>
                <w:bCs/>
                <w:kern w:val="0"/>
                <w:sz w:val="28"/>
                <w:szCs w:val="28"/>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after="0" w:line="560" w:lineRule="exact"/>
              <w:jc w:val="center"/>
              <w:rPr>
                <w:rFonts w:ascii="仿宋_GB2312" w:hAnsi="Cambria" w:eastAsia="仿宋_GB2312" w:cs="ArialUnicodeMS"/>
                <w:kern w:val="0"/>
                <w:sz w:val="28"/>
                <w:szCs w:val="28"/>
              </w:rPr>
            </w:pPr>
            <w:r>
              <w:rPr>
                <w:rFonts w:ascii="仿宋_GB2312" w:hAnsi="Cambria" w:eastAsia="仿宋_GB2312" w:cs="ArialUnicodeMS"/>
                <w:kern w:val="0"/>
                <w:sz w:val="28"/>
                <w:szCs w:val="28"/>
              </w:rPr>
              <w:t>1</w:t>
            </w:r>
          </w:p>
        </w:tc>
        <w:tc>
          <w:tcPr>
            <w:tcW w:w="3485" w:type="dxa"/>
          </w:tcPr>
          <w:p>
            <w:pPr>
              <w:spacing w:after="0" w:line="560" w:lineRule="exact"/>
              <w:rPr>
                <w:rFonts w:hint="default"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保定市满城区人民法院</w:t>
            </w:r>
          </w:p>
        </w:tc>
        <w:tc>
          <w:tcPr>
            <w:tcW w:w="2445" w:type="dxa"/>
          </w:tcPr>
          <w:p>
            <w:pPr>
              <w:spacing w:after="0" w:line="560" w:lineRule="exact"/>
              <w:jc w:val="center"/>
              <w:rPr>
                <w:rFonts w:hint="eastAsia"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行政单位</w:t>
            </w:r>
          </w:p>
        </w:tc>
        <w:tc>
          <w:tcPr>
            <w:tcW w:w="2665" w:type="dxa"/>
          </w:tcPr>
          <w:p>
            <w:pPr>
              <w:spacing w:after="0" w:line="560" w:lineRule="exact"/>
              <w:jc w:val="center"/>
              <w:rPr>
                <w:rFonts w:hint="eastAsia" w:ascii="仿宋_GB2312" w:hAnsi="Cambria" w:eastAsia="仿宋_GB2312" w:cs="ArialUnicodeMS"/>
                <w:kern w:val="0"/>
                <w:sz w:val="28"/>
                <w:szCs w:val="28"/>
                <w:lang w:val="en-US" w:eastAsia="zh-CN"/>
              </w:rPr>
            </w:pPr>
            <w:r>
              <w:rPr>
                <w:rFonts w:hint="eastAsia" w:ascii="仿宋_GB2312" w:hAnsi="Cambria" w:eastAsia="仿宋_GB2312" w:cs="ArialUnicodeMS"/>
                <w:kern w:val="0"/>
                <w:sz w:val="28"/>
                <w:szCs w:val="28"/>
                <w:lang w:val="en-US" w:eastAsia="zh-CN"/>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left w:val="nil"/>
              <w:bottom w:val="nil"/>
              <w:right w:val="nil"/>
            </w:tcBorders>
          </w:tcPr>
          <w:p>
            <w:pPr>
              <w:spacing w:after="0" w:line="560" w:lineRule="exact"/>
              <w:ind w:firstLine="560" w:firstLineChars="200"/>
              <w:jc w:val="left"/>
              <w:rPr>
                <w:rFonts w:ascii="仿宋_GB2312" w:hAnsi="Cambria" w:eastAsia="仿宋_GB2312" w:cs="ArialUnicodeMS"/>
                <w:kern w:val="0"/>
                <w:sz w:val="28"/>
                <w:szCs w:val="28"/>
              </w:rPr>
            </w:pPr>
          </w:p>
        </w:tc>
      </w:tr>
    </w:tbl>
    <w:p>
      <w:pPr>
        <w:spacing w:after="0" w:line="560" w:lineRule="exact"/>
        <w:rPr>
          <w:rFonts w:ascii="仿宋_GB2312" w:hAnsi="Cambria" w:eastAsia="仿宋_GB2312" w:cs="ArialUnicodeMS"/>
          <w:kern w:val="0"/>
          <w:sz w:val="32"/>
          <w:szCs w:val="3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pPr>
    </w:p>
    <w:p>
      <w:pPr>
        <w:widowControl/>
        <w:spacing w:line="560" w:lineRule="exact"/>
        <w:jc w:val="center"/>
        <w:rPr>
          <w:rFonts w:ascii="黑体" w:hAnsi="Cambria" w:eastAsia="黑体" w:cs="MS-UIGothic,Bold"/>
          <w:bCs/>
          <w:kern w:val="0"/>
          <w:sz w:val="52"/>
          <w:szCs w:val="52"/>
        </w:rPr>
        <w:sectPr>
          <w:pgSz w:w="11906" w:h="16838"/>
          <w:pgMar w:top="2098" w:right="1474" w:bottom="1984" w:left="1588" w:header="851" w:footer="992" w:gutter="0"/>
          <w:cols w:space="0" w:num="1"/>
          <w:docGrid w:type="lines" w:linePitch="312" w:charSpace="0"/>
        </w:sectPr>
      </w:pPr>
    </w:p>
    <w:p>
      <w:pPr>
        <w:widowControl/>
        <w:spacing w:line="560" w:lineRule="exact"/>
        <w:jc w:val="center"/>
        <w:rPr>
          <w:rFonts w:ascii="黑体" w:hAnsi="Cambria" w:eastAsia="黑体" w:cs="MS-UIGothic,Bold"/>
          <w:bCs/>
          <w:kern w:val="0"/>
          <w:sz w:val="52"/>
          <w:szCs w:val="52"/>
        </w:rPr>
      </w:pPr>
      <w:r>
        <w:drawing>
          <wp:anchor distT="0" distB="0" distL="114300" distR="114300" simplePos="0" relativeHeight="251664384" behindDoc="1" locked="0" layoutInCell="1" allowOverlap="1">
            <wp:simplePos x="0" y="0"/>
            <wp:positionH relativeFrom="column">
              <wp:posOffset>-1023620</wp:posOffset>
            </wp:positionH>
            <wp:positionV relativeFrom="paragraph">
              <wp:posOffset>-1327150</wp:posOffset>
            </wp:positionV>
            <wp:extent cx="7571105" cy="10680065"/>
            <wp:effectExtent l="0" t="0" r="10795" b="6985"/>
            <wp:wrapNone/>
            <wp:docPr id="8" name="图片 1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2"/>
                    <pic:cNvPicPr>
                      <a:picLocks noChangeAspect="1"/>
                    </pic:cNvPicPr>
                  </pic:nvPicPr>
                  <pic:blipFill>
                    <a:blip r:embed="rId7"/>
                    <a:stretch>
                      <a:fillRect/>
                    </a:stretch>
                  </pic:blipFill>
                  <pic:spPr>
                    <a:xfrm>
                      <a:off x="0" y="0"/>
                      <a:ext cx="7571105" cy="10680065"/>
                    </a:xfrm>
                    <a:prstGeom prst="rect">
                      <a:avLst/>
                    </a:prstGeom>
                    <a:noFill/>
                    <a:ln>
                      <a:noFill/>
                    </a:ln>
                  </pic:spPr>
                </pic:pic>
              </a:graphicData>
            </a:graphic>
          </wp:anchor>
        </w:drawing>
      </w:r>
    </w:p>
    <w:p>
      <w:pPr>
        <w:widowControl/>
        <w:spacing w:line="560" w:lineRule="exact"/>
        <w:jc w:val="center"/>
        <w:rPr>
          <w:rFonts w:ascii="黑体" w:hAnsi="Cambria" w:eastAsia="黑体" w:cs="MS-UIGothic,Bold"/>
          <w:bCs/>
          <w:kern w:val="0"/>
          <w:sz w:val="52"/>
          <w:szCs w:val="52"/>
        </w:rPr>
      </w:pPr>
    </w:p>
    <w:p>
      <w:pPr>
        <w:rPr>
          <w:rFonts w:ascii="宋体" w:cs="ArialUnicodeMS"/>
          <w:color w:val="000000"/>
          <w:kern w:val="0"/>
        </w:r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mc:AlternateContent>
          <mc:Choice Requires="wps">
            <w:drawing>
              <wp:anchor distT="0" distB="0" distL="114300" distR="114300" simplePos="0" relativeHeight="251663360" behindDoc="0" locked="0" layoutInCell="1" allowOverlap="1">
                <wp:simplePos x="0" y="0"/>
                <wp:positionH relativeFrom="column">
                  <wp:posOffset>-942340</wp:posOffset>
                </wp:positionH>
                <wp:positionV relativeFrom="paragraph">
                  <wp:posOffset>1527810</wp:posOffset>
                </wp:positionV>
                <wp:extent cx="7571740" cy="2020570"/>
                <wp:effectExtent l="0" t="0" r="0" b="0"/>
                <wp:wrapNone/>
                <wp:docPr id="7" name="文本框 17"/>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wps:txbx>
                      <wps:bodyPr upright="1"/>
                    </wps:wsp>
                  </a:graphicData>
                </a:graphic>
              </wp:anchor>
            </w:drawing>
          </mc:Choice>
          <mc:Fallback>
            <w:pict>
              <v:shape id="文本框 17" o:spid="_x0000_s1026" o:spt="202" type="#_x0000_t202" style="position:absolute;left:0pt;margin-left:-74.2pt;margin-top:120.3pt;height:159.1pt;width:596.2pt;z-index:251663360;mso-width-relative:page;mso-height-relative:page;" filled="f" stroked="f" coordsize="21600,21600" o:gfxdata="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5rPdDcAAAADQEAAA8AAAAAAAAAAQAgAAAAIgAAAGRycy9kb3ducmV2LnhtbFBLAQIU&#10;ABQAAAAIAIdO4kAupLS+tgEAAFkDAAAOAAAAAAAAAAEAIAAAACsBAABkcnMvZTJvRG9jLnhtbFBL&#10;BQYAAAAABgAGAFkBAABT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第二部分</w:t>
                      </w:r>
                    </w:p>
                    <w:p>
                      <w:pPr>
                        <w:widowControl/>
                        <w:spacing w:line="1200" w:lineRule="exact"/>
                        <w:jc w:val="center"/>
                        <w:rPr>
                          <w:color w:val="FDEFBE"/>
                          <w:sz w:val="96"/>
                          <w:szCs w:val="96"/>
                        </w:rPr>
                      </w:pPr>
                      <w:r>
                        <w:rPr>
                          <w:rFonts w:ascii="黑体" w:hAnsi="宋体" w:eastAsia="黑体"/>
                          <w:color w:val="FDEFBE"/>
                          <w:sz w:val="96"/>
                          <w:szCs w:val="96"/>
                        </w:rPr>
                        <w:t>2018</w:t>
                      </w:r>
                      <w:r>
                        <w:rPr>
                          <w:rFonts w:hint="eastAsia" w:ascii="黑体" w:hAnsi="宋体" w:eastAsia="黑体"/>
                          <w:color w:val="FDEFBE"/>
                          <w:sz w:val="96"/>
                          <w:szCs w:val="96"/>
                        </w:rPr>
                        <w:t>年度部门决算报表</w:t>
                      </w:r>
                    </w:p>
                  </w:txbxContent>
                </v:textbox>
              </v:shape>
            </w:pict>
          </mc:Fallback>
        </mc:AlternateContent>
      </w:r>
    </w:p>
    <w:tbl>
      <w:tblPr>
        <w:tblStyle w:val="12"/>
        <w:tblW w:w="9300" w:type="dxa"/>
        <w:jc w:val="center"/>
        <w:tblLayout w:type="fixed"/>
        <w:tblCellMar>
          <w:top w:w="0" w:type="dxa"/>
          <w:left w:w="0" w:type="dxa"/>
          <w:bottom w:w="0" w:type="dxa"/>
          <w:right w:w="0" w:type="dxa"/>
        </w:tblCellMar>
      </w:tblPr>
      <w:tblGrid>
        <w:gridCol w:w="2700"/>
        <w:gridCol w:w="567"/>
        <w:gridCol w:w="1336"/>
        <w:gridCol w:w="2700"/>
        <w:gridCol w:w="567"/>
        <w:gridCol w:w="1430"/>
      </w:tblGrid>
      <w:tr>
        <w:tblPrEx>
          <w:tblCellMar>
            <w:top w:w="0" w:type="dxa"/>
            <w:left w:w="0" w:type="dxa"/>
            <w:bottom w:w="0" w:type="dxa"/>
            <w:right w:w="0" w:type="dxa"/>
          </w:tblCellMar>
        </w:tblPrEx>
        <w:trPr>
          <w:trHeight w:val="56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440" w:lineRule="exact"/>
              <w:jc w:val="center"/>
              <w:textAlignment w:val="center"/>
              <w:rPr>
                <w:rFonts w:ascii="黑体" w:hAnsi="宋体" w:eastAsia="黑体" w:cs="黑体"/>
                <w:color w:val="000000"/>
                <w:sz w:val="40"/>
                <w:szCs w:val="40"/>
              </w:rPr>
            </w:pPr>
            <w:r>
              <mc:AlternateContent>
                <mc:Choice Requires="wpg">
                  <w:drawing>
                    <wp:anchor distT="0" distB="0" distL="114300" distR="114300" simplePos="0" relativeHeight="251674624" behindDoc="0" locked="1" layoutInCell="1" allowOverlap="1">
                      <wp:simplePos x="0" y="0"/>
                      <wp:positionH relativeFrom="column">
                        <wp:posOffset>-892175</wp:posOffset>
                      </wp:positionH>
                      <wp:positionV relativeFrom="page">
                        <wp:posOffset>-1039495</wp:posOffset>
                      </wp:positionV>
                      <wp:extent cx="3088640" cy="523240"/>
                      <wp:effectExtent l="3175" t="0" r="13335" b="29210"/>
                      <wp:wrapNone/>
                      <wp:docPr id="32" name="组合 10"/>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0" name="矩形 13"/>
                              <wps:cNvSpPr/>
                              <wps:spPr>
                                <a:xfrm>
                                  <a:off x="4551" y="52615"/>
                                  <a:ext cx="8546" cy="1175"/>
                                </a:xfrm>
                                <a:prstGeom prst="rect">
                                  <a:avLst/>
                                </a:prstGeom>
                                <a:solidFill>
                                  <a:srgbClr val="96DA9D"/>
                                </a:solidFill>
                                <a:ln w="25400">
                                  <a:noFill/>
                                </a:ln>
                              </wps:spPr>
                              <wps:bodyPr anchor="ctr" anchorCtr="0" upright="1"/>
                            </wps:wsp>
                            <wps:wsp>
                              <wps:cNvPr id="3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10" o:spid="_x0000_s1026" o:spt="203" style="position:absolute;left:0pt;margin-left:-70.25pt;margin-top:-81.85pt;height:41.2pt;width:243.2pt;mso-position-vertical-relative:page;z-index:251674624;mso-width-relative:page;mso-height-relative:page;" coordorigin="4551,52615" coordsize="8546,1398" o:gfxdata="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4K8VI9wAAAANAQAA&#10;DwAAAAAAAAABACAAAAAiAAAAZHJzL2Rvd25yZXYueG1sUEsBAhQAFAAAAAgAh07iQMfXNrf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otmaMrgAAADb&#10;AAAADwAAAGRycy9kb3ducmV2LnhtbEVPTWsCMRC9C/6HMEJvOllLpWyNHgqFnoRaPfQ2bMbN4may&#10;JHHd/vvmUPD4eN/b/eR7NXJMXRAD1UqDYmmC7aQ1cPr+WL6CSpnEUh+EDfxygv1uPttSbcNdvng8&#10;5laVEEk1GXA5DzViahx7SqswsBTuEqKnXGBs0Ua6l3Df41rrDXrqpDQ4GvjdcXM93rwBjBzRxekS&#10;f9J4w+qgzy/N1ZinRaXfQGWe8kP87/60Bp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tmaMr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cxE2Pb4AAADb&#10;AAAADwAAAGRycy9kb3ducmV2LnhtbEWPQWvCQBSE70L/w/IK3nSTFkJJXaUUSq1QRE0Rb4/sazYk&#10;+zZkV6P99a5Q8DjMzDfMbHG2rThR72vHCtJpAoK4dLrmSkGx+5i8gPABWWPrmBRcyMNi/jCaYa7d&#10;wBs6bUMlIoR9jgpMCF0upS8NWfRT1xFH79f1FkOUfSV1j0OE21Y+JUkmLdYcFwx29G6obLZHq2Bd&#10;mMMnrmhvv1fNT/FWY/b3lSk1fkyTVxCBzuEe/m8vtYLnFG5f4g+Q8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xE2P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收入支出决算总表</w:t>
            </w:r>
          </w:p>
        </w:tc>
      </w:tr>
      <w:tr>
        <w:tblPrEx>
          <w:tblCellMar>
            <w:top w:w="0" w:type="dxa"/>
            <w:left w:w="0" w:type="dxa"/>
            <w:bottom w:w="0" w:type="dxa"/>
            <w:right w:w="0" w:type="dxa"/>
          </w:tblCellMar>
        </w:tblPrEx>
        <w:trPr>
          <w:trHeight w:val="321"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336"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567" w:type="dxa"/>
            <w:tcBorders>
              <w:top w:val="nil"/>
              <w:left w:val="nil"/>
              <w:bottom w:val="nil"/>
              <w:right w:val="nil"/>
            </w:tcBorders>
            <w:noWrap/>
            <w:tcMar>
              <w:top w:w="15" w:type="dxa"/>
              <w:left w:w="15" w:type="dxa"/>
              <w:right w:w="15" w:type="dxa"/>
            </w:tcMar>
            <w:vAlign w:val="center"/>
          </w:tcPr>
          <w:p>
            <w:pPr>
              <w:widowControl/>
              <w:spacing w:after="0" w:line="240" w:lineRule="exact"/>
              <w:rPr>
                <w:rFonts w:ascii="Arial" w:hAnsi="Arial" w:cs="Arial"/>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01</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418" w:hRule="atLeast"/>
          <w:jc w:val="center"/>
        </w:trPr>
        <w:tc>
          <w:tcPr>
            <w:tcW w:w="2700" w:type="dxa"/>
            <w:tcBorders>
              <w:top w:val="nil"/>
              <w:left w:val="nil"/>
              <w:bottom w:val="nil"/>
              <w:right w:val="nil"/>
            </w:tcBorders>
            <w:tcMar>
              <w:top w:w="15" w:type="dxa"/>
              <w:left w:w="15" w:type="dxa"/>
              <w:right w:w="15" w:type="dxa"/>
            </w:tcMar>
            <w:vAlign w:val="center"/>
          </w:tcPr>
          <w:p>
            <w:pPr>
              <w:widowControl/>
              <w:spacing w:after="0" w:line="240" w:lineRule="exact"/>
              <w:jc w:val="left"/>
              <w:textAlignment w:val="center"/>
              <w:rPr>
                <w:rFonts w:hint="eastAsia" w:ascii="宋体" w:eastAsia="宋体" w:cs="宋体"/>
                <w:color w:val="000000"/>
                <w:sz w:val="20"/>
                <w:szCs w:val="20"/>
                <w:lang w:val="en-US" w:eastAsia="zh-CN"/>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保定市满城区人民法院</w:t>
            </w: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336"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2700"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567" w:type="dxa"/>
            <w:tcBorders>
              <w:top w:val="nil"/>
              <w:left w:val="nil"/>
              <w:bottom w:val="nil"/>
              <w:right w:val="nil"/>
            </w:tcBorders>
            <w:tcMar>
              <w:top w:w="15" w:type="dxa"/>
              <w:left w:w="15" w:type="dxa"/>
              <w:right w:w="15" w:type="dxa"/>
            </w:tcMar>
            <w:vAlign w:val="center"/>
          </w:tcPr>
          <w:p>
            <w:pPr>
              <w:widowControl/>
              <w:spacing w:after="0" w:line="240" w:lineRule="exact"/>
              <w:rPr>
                <w:rFonts w:ascii="宋体" w:cs="宋体"/>
                <w:color w:val="000000"/>
                <w:sz w:val="20"/>
                <w:szCs w:val="20"/>
              </w:rPr>
            </w:pPr>
          </w:p>
        </w:tc>
        <w:tc>
          <w:tcPr>
            <w:tcW w:w="1430" w:type="dxa"/>
            <w:tcBorders>
              <w:top w:val="nil"/>
              <w:left w:val="nil"/>
              <w:bottom w:val="nil"/>
              <w:right w:val="nil"/>
            </w:tcBorders>
            <w:noWrap/>
            <w:tcMar>
              <w:top w:w="15" w:type="dxa"/>
              <w:left w:w="15" w:type="dxa"/>
              <w:right w:w="15" w:type="dxa"/>
            </w:tcMar>
            <w:vAlign w:val="center"/>
          </w:tcPr>
          <w:p>
            <w:pPr>
              <w:widowControl/>
              <w:spacing w:after="0" w:line="240" w:lineRule="exac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295" w:hRule="atLeast"/>
          <w:jc w:val="center"/>
        </w:trPr>
        <w:tc>
          <w:tcPr>
            <w:tcW w:w="4603"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收入</w:t>
            </w:r>
          </w:p>
        </w:tc>
        <w:tc>
          <w:tcPr>
            <w:tcW w:w="4697"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支出</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项目</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行次</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2"/>
                <w:szCs w:val="22"/>
              </w:rPr>
            </w:pPr>
            <w:r>
              <w:rPr>
                <w:rFonts w:hint="eastAsia" w:ascii="宋体" w:hAnsi="宋体" w:cs="宋体"/>
                <w:color w:val="000000"/>
                <w:kern w:val="0"/>
                <w:sz w:val="22"/>
                <w:szCs w:val="22"/>
              </w:rPr>
              <w:t>金额</w:t>
            </w:r>
          </w:p>
        </w:tc>
      </w:tr>
      <w:tr>
        <w:tblPrEx>
          <w:tblCellMar>
            <w:top w:w="0" w:type="dxa"/>
            <w:left w:w="0" w:type="dxa"/>
            <w:bottom w:w="0" w:type="dxa"/>
            <w:right w:w="0" w:type="dxa"/>
          </w:tblCellMar>
        </w:tblPrEx>
        <w:trPr>
          <w:trHeight w:val="29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hint="eastAsia" w:ascii="宋体" w:hAnsi="宋体" w:cs="宋体"/>
                <w:color w:val="000000"/>
                <w:kern w:val="0"/>
                <w:sz w:val="20"/>
                <w:szCs w:val="20"/>
              </w:rPr>
              <w:t>栏次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rPr>
                <w:rFonts w:ascii="宋体" w:cs="宋体"/>
                <w:color w:val="000000"/>
                <w:sz w:val="20"/>
                <w:szCs w:val="20"/>
              </w:rPr>
            </w:pP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exact"/>
              <w:jc w:val="center"/>
              <w:textAlignment w:val="center"/>
              <w:rPr>
                <w:rFonts w:ascii="宋体" w:cs="宋体"/>
                <w:color w:val="000000"/>
                <w:sz w:val="20"/>
                <w:szCs w:val="20"/>
              </w:rPr>
            </w:pPr>
            <w:r>
              <w:rPr>
                <w:rFonts w:ascii="宋体" w:hAnsi="宋体" w:cs="宋体"/>
                <w:color w:val="000000"/>
                <w:kern w:val="0"/>
                <w:sz w:val="20"/>
                <w:szCs w:val="20"/>
              </w:rPr>
              <w:t>2</w:t>
            </w:r>
          </w:p>
        </w:tc>
      </w:tr>
      <w:tr>
        <w:tblPrEx>
          <w:tblCellMar>
            <w:top w:w="0" w:type="dxa"/>
            <w:left w:w="0" w:type="dxa"/>
            <w:bottom w:w="0" w:type="dxa"/>
            <w:right w:w="0" w:type="dxa"/>
          </w:tblCellMar>
        </w:tblPrEx>
        <w:trPr>
          <w:trHeight w:val="36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一、财政拨款收入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hint="default" w:ascii="宋体" w:eastAsia="宋体" w:cs="宋体"/>
                <w:color w:val="000000"/>
                <w:sz w:val="20"/>
                <w:szCs w:val="20"/>
                <w:lang w:val="en-US" w:eastAsia="zh-CN"/>
              </w:rPr>
            </w:pPr>
            <w:r>
              <w:rPr>
                <w:rFonts w:hint="eastAsia" w:ascii="宋体" w:cs="宋体"/>
                <w:color w:val="000000"/>
                <w:sz w:val="20"/>
                <w:szCs w:val="20"/>
                <w:lang w:val="en-US" w:eastAsia="zh-CN"/>
              </w:rPr>
              <w:t>1737.39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一、一般公共服务支出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二、上级补助收入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二、外交支出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三、事业收入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三、国防支出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四、经营收入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四、公共安全支出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lang w:val="en-US" w:eastAsia="zh-CN"/>
              </w:rPr>
              <w:t>1737.39</w:t>
            </w: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五、附属单位上缴收入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五、教育支出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六、其他收入</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六、科学技术支出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七、文化体育与传媒支出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八、社会保障和就业支出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九、医疗卫生与计划生育支出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十、节能环保支出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十一、城乡社区支出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十二、农林水支出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39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十三、交通运输支出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十四、资源勘探信息等支出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十五、商业服务业等支出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十六、金融支出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十七、援助其他地区支出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18</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十八、国土海洋气象等支出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45</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19</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十九、住房保障支出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46</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20</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二十、粮油物资储备支出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47</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21</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二十一、其他支出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48</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22</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二十二、债务还本支出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49</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rPr>
                <w:rFonts w:ascii="宋体" w:cs="宋体"/>
                <w:color w:val="000000"/>
                <w:sz w:val="20"/>
                <w:szCs w:val="20"/>
              </w:rPr>
            </w:pP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23</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二十三、债务付息支出</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50</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24</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20"/>
                <w:szCs w:val="20"/>
                <w:lang w:val="en-US" w:eastAsia="zh-CN"/>
              </w:rPr>
              <w:t>1737.39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hint="eastAsia" w:ascii="宋体" w:hAnsi="宋体" w:cs="宋体"/>
                <w:color w:val="000000"/>
                <w:kern w:val="0"/>
                <w:sz w:val="20"/>
                <w:szCs w:val="20"/>
              </w:rPr>
              <w:t>本年支出合计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51</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lang w:val="en-US" w:eastAsia="zh-CN"/>
              </w:rPr>
              <w:t>1737.39</w:t>
            </w:r>
          </w:p>
        </w:tc>
      </w:tr>
      <w:tr>
        <w:tblPrEx>
          <w:tblCellMar>
            <w:top w:w="0" w:type="dxa"/>
            <w:left w:w="0" w:type="dxa"/>
            <w:bottom w:w="0" w:type="dxa"/>
            <w:right w:w="0" w:type="dxa"/>
          </w:tblCellMar>
        </w:tblPrEx>
        <w:trPr>
          <w:trHeight w:val="385"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用事业基金弥补收支差额</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25</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结余分配</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52</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年初结转和结余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26</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left"/>
              <w:textAlignment w:val="center"/>
              <w:rPr>
                <w:rFonts w:ascii="宋体" w:cs="宋体"/>
                <w:color w:val="000000"/>
                <w:sz w:val="20"/>
                <w:szCs w:val="20"/>
              </w:rPr>
            </w:pPr>
            <w:r>
              <w:rPr>
                <w:rFonts w:hint="eastAsia" w:ascii="宋体" w:hAnsi="宋体" w:cs="宋体"/>
                <w:color w:val="000000"/>
                <w:kern w:val="0"/>
                <w:sz w:val="20"/>
                <w:szCs w:val="20"/>
              </w:rPr>
              <w:t>年末结转和结余</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53</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p>
        </w:tc>
      </w:tr>
      <w:tr>
        <w:tblPrEx>
          <w:tblCellMar>
            <w:top w:w="0" w:type="dxa"/>
            <w:left w:w="0" w:type="dxa"/>
            <w:bottom w:w="0" w:type="dxa"/>
            <w:right w:w="0" w:type="dxa"/>
          </w:tblCellMar>
        </w:tblPrEx>
        <w:trPr>
          <w:trHeight w:val="337" w:hRule="atLeast"/>
          <w:jc w:val="center"/>
        </w:trPr>
        <w:tc>
          <w:tcPr>
            <w:tcW w:w="2700" w:type="dxa"/>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27</w:t>
            </w:r>
          </w:p>
        </w:tc>
        <w:tc>
          <w:tcPr>
            <w:tcW w:w="133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18"/>
                <w:szCs w:val="18"/>
              </w:rPr>
            </w:pPr>
            <w:r>
              <w:rPr>
                <w:rFonts w:hint="eastAsia" w:ascii="宋体" w:cs="宋体"/>
                <w:color w:val="000000"/>
                <w:sz w:val="20"/>
                <w:szCs w:val="20"/>
                <w:lang w:val="en-US" w:eastAsia="zh-CN"/>
              </w:rPr>
              <w:t>1737.39</w:t>
            </w:r>
          </w:p>
        </w:tc>
        <w:tc>
          <w:tcPr>
            <w:tcW w:w="270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00" w:lineRule="exact"/>
              <w:jc w:val="center"/>
              <w:textAlignment w:val="center"/>
              <w:rPr>
                <w:rFonts w:ascii="宋体" w:cs="宋体"/>
                <w:b/>
                <w:color w:val="000000"/>
                <w:sz w:val="20"/>
                <w:szCs w:val="20"/>
              </w:rPr>
            </w:pPr>
            <w:r>
              <w:rPr>
                <w:rFonts w:hint="eastAsia" w:ascii="宋体" w:hAnsi="宋体" w:cs="宋体"/>
                <w:b/>
                <w:color w:val="000000"/>
                <w:kern w:val="0"/>
                <w:sz w:val="20"/>
                <w:szCs w:val="20"/>
              </w:rPr>
              <w:t>总计</w:t>
            </w:r>
          </w:p>
        </w:tc>
        <w:tc>
          <w:tcPr>
            <w:tcW w:w="56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center"/>
              <w:textAlignment w:val="center"/>
              <w:rPr>
                <w:rFonts w:ascii="宋体" w:cs="宋体"/>
                <w:color w:val="000000"/>
                <w:sz w:val="20"/>
                <w:szCs w:val="20"/>
              </w:rPr>
            </w:pPr>
            <w:r>
              <w:rPr>
                <w:rFonts w:ascii="宋体" w:hAnsi="宋体" w:cs="宋体"/>
                <w:color w:val="000000"/>
                <w:kern w:val="0"/>
                <w:sz w:val="20"/>
                <w:szCs w:val="20"/>
              </w:rPr>
              <w:t>54</w:t>
            </w:r>
          </w:p>
        </w:tc>
        <w:tc>
          <w:tcPr>
            <w:tcW w:w="143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00" w:lineRule="exact"/>
              <w:jc w:val="right"/>
              <w:rPr>
                <w:rFonts w:ascii="宋体" w:cs="宋体"/>
                <w:color w:val="000000"/>
                <w:sz w:val="20"/>
                <w:szCs w:val="20"/>
              </w:rPr>
            </w:pPr>
            <w:r>
              <w:rPr>
                <w:rFonts w:hint="eastAsia" w:ascii="宋体" w:cs="宋体"/>
                <w:color w:val="000000"/>
                <w:sz w:val="20"/>
                <w:szCs w:val="20"/>
                <w:lang w:val="en-US" w:eastAsia="zh-CN"/>
              </w:rPr>
              <w:t>1737.39</w:t>
            </w:r>
          </w:p>
        </w:tc>
      </w:tr>
      <w:tr>
        <w:tblPrEx>
          <w:tblCellMar>
            <w:top w:w="0" w:type="dxa"/>
            <w:left w:w="0" w:type="dxa"/>
            <w:bottom w:w="0" w:type="dxa"/>
            <w:right w:w="0" w:type="dxa"/>
          </w:tblCellMar>
        </w:tblPrEx>
        <w:trPr>
          <w:trHeight w:val="417" w:hRule="atLeast"/>
          <w:jc w:val="center"/>
        </w:trPr>
        <w:tc>
          <w:tcPr>
            <w:tcW w:w="9300" w:type="dxa"/>
            <w:gridSpan w:val="6"/>
            <w:tcBorders>
              <w:top w:val="nil"/>
              <w:left w:val="nil"/>
              <w:bottom w:val="nil"/>
              <w:right w:val="nil"/>
            </w:tcBorders>
            <w:tcMar>
              <w:top w:w="15" w:type="dxa"/>
              <w:left w:w="15" w:type="dxa"/>
              <w:right w:w="15" w:type="dxa"/>
            </w:tcMar>
            <w:vAlign w:val="center"/>
          </w:tcPr>
          <w:p>
            <w:pPr>
              <w:widowControl/>
              <w:spacing w:after="0" w:line="200" w:lineRule="exact"/>
              <w:jc w:val="left"/>
              <w:textAlignment w:val="center"/>
              <w:rPr>
                <w:rFonts w:ascii="宋体" w:cs="宋体"/>
                <w:color w:val="000000"/>
                <w:szCs w:val="21"/>
              </w:rPr>
            </w:pPr>
            <w:r>
              <w:rPr>
                <w:rFonts w:hint="eastAsia" w:ascii="宋体" w:hAnsi="宋体" w:cs="宋体"/>
                <w:color w:val="000000"/>
                <w:kern w:val="0"/>
                <w:szCs w:val="21"/>
              </w:rPr>
              <w:t>注：本表反映部门本年度的总收支和年末结转结余情况。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335"/>
        <w:gridCol w:w="179"/>
        <w:gridCol w:w="520"/>
        <w:gridCol w:w="1318"/>
        <w:gridCol w:w="533"/>
        <w:gridCol w:w="260"/>
        <w:gridCol w:w="679"/>
        <w:gridCol w:w="1049"/>
        <w:gridCol w:w="240"/>
        <w:gridCol w:w="478"/>
        <w:gridCol w:w="442"/>
        <w:gridCol w:w="373"/>
        <w:gridCol w:w="548"/>
        <w:gridCol w:w="920"/>
        <w:gridCol w:w="926"/>
      </w:tblGrid>
      <w:tr>
        <w:tblPrEx>
          <w:tblCellMar>
            <w:top w:w="0" w:type="dxa"/>
            <w:left w:w="0" w:type="dxa"/>
            <w:bottom w:w="0" w:type="dxa"/>
            <w:right w:w="0" w:type="dxa"/>
          </w:tblCellMar>
        </w:tblPrEx>
        <w:trPr>
          <w:trHeight w:val="770" w:hRule="atLeast"/>
          <w:jc w:val="center"/>
        </w:trPr>
        <w:tc>
          <w:tcPr>
            <w:tcW w:w="8800" w:type="dxa"/>
            <w:gridSpan w:val="15"/>
            <w:tcBorders>
              <w:top w:val="nil"/>
              <w:left w:val="nil"/>
              <w:bottom w:val="nil"/>
              <w:right w:val="nil"/>
            </w:tcBorders>
            <w:noWrap/>
            <w:tcMar>
              <w:top w:w="15" w:type="dxa"/>
              <w:left w:w="15" w:type="dxa"/>
              <w:right w:w="15" w:type="dxa"/>
            </w:tcMar>
            <w:vAlign w:val="bottom"/>
          </w:tcPr>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收入决</w:t>
            </w:r>
            <w:r>
              <mc:AlternateContent>
                <mc:Choice Requires="wpg">
                  <w:drawing>
                    <wp:anchor distT="0" distB="0" distL="114300" distR="114300" simplePos="0" relativeHeight="25167564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35" name="组合 34"/>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3" name="矩形 13"/>
                              <wps:cNvSpPr/>
                              <wps:spPr>
                                <a:xfrm>
                                  <a:off x="4551" y="52615"/>
                                  <a:ext cx="8546" cy="1175"/>
                                </a:xfrm>
                                <a:prstGeom prst="rect">
                                  <a:avLst/>
                                </a:prstGeom>
                                <a:solidFill>
                                  <a:srgbClr val="96DA9D"/>
                                </a:solidFill>
                                <a:ln w="25400">
                                  <a:noFill/>
                                </a:ln>
                              </wps:spPr>
                              <wps:bodyPr anchor="ctr" anchorCtr="0" upright="1"/>
                            </wps:wsp>
                            <wps:wsp>
                              <wps:cNvPr id="3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34" o:spid="_x0000_s1026" o:spt="203" style="position:absolute;left:0pt;margin-left:-82.75pt;margin-top:-81.1pt;height:41.2pt;width:243.2pt;mso-position-vertical-relative:page;z-index:25167564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D+6cMb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UgsERbsAAADb&#10;AAAADwAAAGRycy9kb3ducmV2LnhtbEWPQWsCMRSE70L/Q3iF3vRllZayNXooFHoSqu2ht8fmuVnc&#10;vCxJXLf/vhEEj8PMfMOst5Pv1cgxdUEMVAsNiqUJtpPWwPfhY/4KKmUSS30QNvDHCbabh9maahsu&#10;8sXjPreqQCTVZMDlPNSIqXHsKS3CwFK8Y4iecpGxRRvpUuC+x6XWL+ipk7LgaOB3x81pf/YGMHJE&#10;F6dj/E3jGaud/nluTsY8PVb6DVTmKd/Dt/anNbB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gsER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2aVpb8AAADb&#10;AAAADwAAAGRycy9kb3ducmV2LnhtbEWP3WrCQBSE7wu+w3IKvasbWwkS3YQilLaCFG2KeHfIHrPB&#10;7NmQ3fr39K5Q8HKYmW+YWXGyrThQ7xvHCkbDBARx5XTDtYLy5/15AsIHZI2tY1JwJg9FPniYYabd&#10;kVd0WIdaRAj7DBWYELpMSl8ZsuiHriOO3s71FkOUfS11j8cIt618SZJUWmw4LhjsaG6o2q//rILv&#10;0mw/cEEbu1zsf8u3BtPLV6rU0+MomYIIdAr38H/7Uyt4HcP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NmlaW/&#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算表</w:t>
            </w:r>
          </w:p>
        </w:tc>
      </w:tr>
      <w:tr>
        <w:tblPrEx>
          <w:tblCellMar>
            <w:top w:w="0" w:type="dxa"/>
            <w:left w:w="0" w:type="dxa"/>
            <w:bottom w:w="0" w:type="dxa"/>
            <w:right w:w="0" w:type="dxa"/>
          </w:tblCellMar>
        </w:tblPrEx>
        <w:trPr>
          <w:trHeight w:val="362" w:hRule="atLeast"/>
          <w:jc w:val="center"/>
        </w:trPr>
        <w:tc>
          <w:tcPr>
            <w:tcW w:w="33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2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18"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53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4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02</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2" w:hRule="atLeast"/>
          <w:jc w:val="center"/>
        </w:trPr>
        <w:tc>
          <w:tcPr>
            <w:tcW w:w="2885"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保定市满城区人民法院</w:t>
            </w:r>
          </w:p>
        </w:tc>
        <w:tc>
          <w:tcPr>
            <w:tcW w:w="26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7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04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1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394" w:type="dxa"/>
            <w:gridSpan w:val="3"/>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5" w:hRule="atLeast"/>
          <w:jc w:val="center"/>
        </w:trPr>
        <w:tc>
          <w:tcPr>
            <w:tcW w:w="2352" w:type="dxa"/>
            <w:gridSpan w:val="4"/>
            <w:tcBorders>
              <w:top w:val="single" w:color="000000" w:sz="4" w:space="0"/>
              <w:left w:val="single" w:color="000000" w:sz="4" w:space="0"/>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项目</w:t>
            </w:r>
          </w:p>
        </w:tc>
        <w:tc>
          <w:tcPr>
            <w:tcW w:w="1472" w:type="dxa"/>
            <w:gridSpan w:val="3"/>
            <w:vMerge w:val="restart"/>
            <w:tcBorders>
              <w:top w:val="single" w:color="auto" w:sz="4" w:space="0"/>
              <w:left w:val="single" w:color="auto" w:sz="4" w:space="0"/>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本年收入合计</w:t>
            </w:r>
          </w:p>
        </w:tc>
        <w:tc>
          <w:tcPr>
            <w:tcW w:w="1049"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财政拨款收入</w:t>
            </w:r>
          </w:p>
        </w:tc>
        <w:tc>
          <w:tcPr>
            <w:tcW w:w="24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上级补助收入</w:t>
            </w:r>
          </w:p>
        </w:tc>
        <w:tc>
          <w:tcPr>
            <w:tcW w:w="920"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事业收入</w:t>
            </w:r>
          </w:p>
        </w:tc>
        <w:tc>
          <w:tcPr>
            <w:tcW w:w="921" w:type="dxa"/>
            <w:gridSpan w:val="2"/>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经营收入</w:t>
            </w:r>
          </w:p>
        </w:tc>
        <w:tc>
          <w:tcPr>
            <w:tcW w:w="920" w:type="dxa"/>
            <w:vMerge w:val="restart"/>
            <w:tcBorders>
              <w:top w:val="single" w:color="auto" w:sz="4" w:space="0"/>
              <w:left w:val="nil"/>
              <w:bottom w:val="single" w:color="auto"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附属单位上缴收入</w:t>
            </w:r>
          </w:p>
        </w:tc>
        <w:tc>
          <w:tcPr>
            <w:tcW w:w="926" w:type="dxa"/>
            <w:vMerge w:val="restart"/>
            <w:tcBorders>
              <w:top w:val="single" w:color="auto" w:sz="4" w:space="0"/>
              <w:left w:val="nil"/>
              <w:bottom w:val="single" w:color="auto"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r>
              <w:rPr>
                <w:rFonts w:hint="eastAsia" w:ascii="宋体" w:hAnsi="宋体" w:cs="宋体"/>
                <w:color w:val="000000"/>
                <w:kern w:val="0"/>
                <w:sz w:val="20"/>
                <w:szCs w:val="20"/>
              </w:rPr>
              <w:t>其他收入</w:t>
            </w:r>
          </w:p>
        </w:tc>
      </w:tr>
      <w:tr>
        <w:tblPrEx>
          <w:tblCellMar>
            <w:top w:w="0" w:type="dxa"/>
            <w:left w:w="0" w:type="dxa"/>
            <w:bottom w:w="0" w:type="dxa"/>
            <w:right w:w="0" w:type="dxa"/>
          </w:tblCellMar>
        </w:tblPrEx>
        <w:trPr>
          <w:trHeight w:val="626" w:hRule="atLeast"/>
          <w:jc w:val="center"/>
        </w:trPr>
        <w:tc>
          <w:tcPr>
            <w:tcW w:w="1034"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功能分类科目编码</w:t>
            </w:r>
          </w:p>
        </w:tc>
        <w:tc>
          <w:tcPr>
            <w:tcW w:w="1318" w:type="dxa"/>
            <w:tcBorders>
              <w:top w:val="nil"/>
              <w:left w:val="nil"/>
              <w:bottom w:val="single" w:color="000000" w:sz="4" w:space="0"/>
              <w:right w:val="single" w:color="auto"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科目名称</w:t>
            </w:r>
          </w:p>
        </w:tc>
        <w:tc>
          <w:tcPr>
            <w:tcW w:w="1472" w:type="dxa"/>
            <w:gridSpan w:val="3"/>
            <w:vMerge w:val="continue"/>
            <w:tcBorders>
              <w:top w:val="single" w:color="auto"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 w:val="20"/>
                <w:szCs w:val="20"/>
              </w:rPr>
            </w:pPr>
          </w:p>
        </w:tc>
        <w:tc>
          <w:tcPr>
            <w:tcW w:w="1049"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24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1" w:type="dxa"/>
            <w:gridSpan w:val="2"/>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0" w:type="dxa"/>
            <w:vMerge w:val="continue"/>
            <w:tcBorders>
              <w:top w:val="single" w:color="auto"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c>
          <w:tcPr>
            <w:tcW w:w="926" w:type="dxa"/>
            <w:vMerge w:val="continue"/>
            <w:tcBorders>
              <w:top w:val="single" w:color="auto" w:sz="4" w:space="0"/>
              <w:left w:val="nil"/>
              <w:bottom w:val="single" w:color="000000" w:sz="4" w:space="0"/>
              <w:right w:val="single" w:color="auto"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kern w:val="0"/>
                <w:sz w:val="20"/>
                <w:szCs w:val="20"/>
              </w:rPr>
            </w:pPr>
          </w:p>
        </w:tc>
      </w:tr>
      <w:tr>
        <w:tblPrEx>
          <w:tblCellMar>
            <w:top w:w="0" w:type="dxa"/>
            <w:left w:w="0" w:type="dxa"/>
            <w:bottom w:w="0" w:type="dxa"/>
            <w:right w:w="0" w:type="dxa"/>
          </w:tblCellMar>
        </w:tblPrEx>
        <w:trPr>
          <w:trHeight w:val="391"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1472"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0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24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920"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921"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92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926"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r>
      <w:tr>
        <w:tblPrEx>
          <w:tblCellMar>
            <w:top w:w="0" w:type="dxa"/>
            <w:left w:w="0" w:type="dxa"/>
            <w:bottom w:w="0" w:type="dxa"/>
            <w:right w:w="0" w:type="dxa"/>
          </w:tblCellMar>
        </w:tblPrEx>
        <w:trPr>
          <w:trHeight w:val="90" w:hRule="atLeast"/>
          <w:jc w:val="center"/>
        </w:trPr>
        <w:tc>
          <w:tcPr>
            <w:tcW w:w="235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1472" w:type="dxa"/>
            <w:gridSpan w:val="3"/>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r>
              <w:rPr>
                <w:rFonts w:hint="eastAsia" w:ascii="宋体" w:cs="宋体"/>
                <w:b/>
                <w:color w:val="000000"/>
                <w:sz w:val="18"/>
                <w:szCs w:val="18"/>
              </w:rPr>
              <w:t>17373866.79</w:t>
            </w:r>
          </w:p>
        </w:tc>
        <w:tc>
          <w:tcPr>
            <w:tcW w:w="1049"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b/>
                <w:color w:val="000000"/>
                <w:kern w:val="2"/>
                <w:sz w:val="18"/>
                <w:szCs w:val="18"/>
                <w:lang w:val="en-US" w:eastAsia="zh-CN" w:bidi="ar-SA"/>
              </w:rPr>
            </w:pPr>
            <w:r>
              <w:rPr>
                <w:rFonts w:hint="eastAsia" w:ascii="宋体" w:cs="宋体"/>
                <w:b/>
                <w:color w:val="000000"/>
                <w:sz w:val="18"/>
                <w:szCs w:val="18"/>
              </w:rPr>
              <w:t>17373866.79</w:t>
            </w:r>
          </w:p>
        </w:tc>
        <w:tc>
          <w:tcPr>
            <w:tcW w:w="24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1" w:type="dxa"/>
            <w:gridSpan w:val="2"/>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0"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c>
          <w:tcPr>
            <w:tcW w:w="926" w:type="dxa"/>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 w:val="18"/>
                <w:szCs w:val="18"/>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公共安全支出</w:t>
            </w: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 w:val="20"/>
                <w:szCs w:val="20"/>
                <w:lang w:val="en-US" w:eastAsia="zh-CN"/>
              </w:rPr>
              <w:t>1737.39</w:t>
            </w: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 w:val="20"/>
                <w:szCs w:val="20"/>
                <w:lang w:val="en-US" w:eastAsia="zh-CN"/>
              </w:rPr>
              <w:t>1737.39</w:t>
            </w: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20405</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法院</w:t>
            </w: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 w:val="20"/>
                <w:szCs w:val="20"/>
                <w:lang w:val="en-US" w:eastAsia="zh-CN"/>
              </w:rPr>
              <w:t>1737.39</w:t>
            </w: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 w:val="20"/>
                <w:szCs w:val="20"/>
                <w:lang w:val="en-US" w:eastAsia="zh-CN"/>
              </w:rPr>
              <w:t>1737.39</w:t>
            </w: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2040501</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行政运行</w:t>
            </w: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976</w:t>
            </w:r>
            <w:r>
              <w:rPr>
                <w:rFonts w:hint="eastAsia" w:ascii="宋体" w:cs="宋体"/>
                <w:color w:val="000000"/>
                <w:szCs w:val="21"/>
                <w:lang w:val="en-US" w:eastAsia="zh-CN"/>
              </w:rPr>
              <w:t>.</w:t>
            </w:r>
            <w:r>
              <w:rPr>
                <w:rFonts w:hint="eastAsia" w:ascii="宋体" w:cs="宋体"/>
                <w:color w:val="000000"/>
                <w:szCs w:val="21"/>
              </w:rPr>
              <w:t>40</w:t>
            </w: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976</w:t>
            </w:r>
            <w:r>
              <w:rPr>
                <w:rFonts w:hint="eastAsia" w:ascii="宋体" w:cs="宋体"/>
                <w:color w:val="000000"/>
                <w:szCs w:val="21"/>
                <w:lang w:val="en-US" w:eastAsia="zh-CN"/>
              </w:rPr>
              <w:t>.</w:t>
            </w:r>
            <w:r>
              <w:rPr>
                <w:rFonts w:hint="eastAsia" w:ascii="宋体" w:cs="宋体"/>
                <w:color w:val="000000"/>
                <w:szCs w:val="21"/>
              </w:rPr>
              <w:t>40</w:t>
            </w: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2040502</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一般行政管理事务</w:t>
            </w: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169</w:t>
            </w:r>
            <w:r>
              <w:rPr>
                <w:rFonts w:hint="eastAsia" w:ascii="宋体" w:cs="宋体"/>
                <w:color w:val="000000"/>
                <w:szCs w:val="21"/>
                <w:lang w:val="en-US" w:eastAsia="zh-CN"/>
              </w:rPr>
              <w:t>.</w:t>
            </w:r>
            <w:r>
              <w:rPr>
                <w:rFonts w:hint="eastAsia" w:ascii="宋体" w:cs="宋体"/>
                <w:color w:val="000000"/>
                <w:szCs w:val="21"/>
              </w:rPr>
              <w:t>63</w:t>
            </w: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169</w:t>
            </w:r>
            <w:r>
              <w:rPr>
                <w:rFonts w:hint="eastAsia" w:ascii="宋体" w:cs="宋体"/>
                <w:color w:val="000000"/>
                <w:szCs w:val="21"/>
                <w:lang w:val="en-US" w:eastAsia="zh-CN"/>
              </w:rPr>
              <w:t>.</w:t>
            </w:r>
            <w:r>
              <w:rPr>
                <w:rFonts w:hint="eastAsia" w:ascii="宋体" w:cs="宋体"/>
                <w:color w:val="000000"/>
                <w:szCs w:val="21"/>
              </w:rPr>
              <w:t>63</w:t>
            </w: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2040504</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7" w:firstLineChars="0"/>
              <w:jc w:val="left"/>
              <w:rPr>
                <w:rFonts w:ascii="宋体" w:cs="宋体"/>
                <w:color w:val="000000"/>
                <w:szCs w:val="21"/>
              </w:rPr>
            </w:pPr>
            <w:r>
              <w:rPr>
                <w:rFonts w:hint="eastAsia" w:ascii="宋体" w:cs="宋体"/>
                <w:color w:val="000000"/>
                <w:szCs w:val="21"/>
              </w:rPr>
              <w:t xml:space="preserve"> 案件审判</w:t>
            </w: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176</w:t>
            </w:r>
            <w:r>
              <w:rPr>
                <w:rFonts w:hint="eastAsia" w:ascii="宋体" w:cs="宋体"/>
                <w:color w:val="000000"/>
                <w:szCs w:val="21"/>
                <w:lang w:val="en-US" w:eastAsia="zh-CN"/>
              </w:rPr>
              <w:t>.</w:t>
            </w:r>
            <w:r>
              <w:rPr>
                <w:rFonts w:hint="eastAsia" w:ascii="宋体" w:cs="宋体"/>
                <w:color w:val="000000"/>
                <w:szCs w:val="21"/>
              </w:rPr>
              <w:t>58</w:t>
            </w: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176</w:t>
            </w:r>
            <w:r>
              <w:rPr>
                <w:rFonts w:hint="eastAsia" w:ascii="宋体" w:cs="宋体"/>
                <w:color w:val="000000"/>
                <w:szCs w:val="21"/>
                <w:lang w:val="en-US" w:eastAsia="zh-CN"/>
              </w:rPr>
              <w:t>.</w:t>
            </w:r>
            <w:r>
              <w:rPr>
                <w:rFonts w:hint="eastAsia" w:ascii="宋体" w:cs="宋体"/>
                <w:color w:val="000000"/>
                <w:szCs w:val="21"/>
              </w:rPr>
              <w:t>58</w:t>
            </w: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Cs w:val="21"/>
                <w:lang w:val="en-US" w:eastAsia="zh-CN"/>
              </w:rPr>
            </w:pPr>
            <w:r>
              <w:rPr>
                <w:rFonts w:hint="eastAsia" w:ascii="宋体" w:cs="宋体"/>
                <w:color w:val="000000"/>
                <w:szCs w:val="21"/>
                <w:lang w:val="en-US" w:eastAsia="zh-CN"/>
              </w:rPr>
              <w:t>2040599</w:t>
            </w: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r>
              <w:rPr>
                <w:rFonts w:hint="eastAsia" w:ascii="宋体" w:cs="宋体"/>
                <w:color w:val="000000"/>
                <w:szCs w:val="21"/>
              </w:rPr>
              <w:t xml:space="preserve"> 其他法院支出</w:t>
            </w: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415"/>
              </w:tabs>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eastAsia="zh-CN"/>
              </w:rPr>
              <w:tab/>
            </w:r>
            <w:r>
              <w:rPr>
                <w:rFonts w:hint="eastAsia" w:ascii="宋体" w:cs="宋体"/>
                <w:color w:val="000000"/>
                <w:szCs w:val="21"/>
                <w:lang w:eastAsia="zh-CN"/>
              </w:rPr>
              <w:t>414</w:t>
            </w:r>
            <w:r>
              <w:rPr>
                <w:rFonts w:hint="eastAsia" w:ascii="宋体" w:cs="宋体"/>
                <w:color w:val="000000"/>
                <w:szCs w:val="21"/>
                <w:lang w:val="en-US" w:eastAsia="zh-CN"/>
              </w:rPr>
              <w:t>.</w:t>
            </w:r>
            <w:r>
              <w:rPr>
                <w:rFonts w:hint="eastAsia" w:ascii="宋体" w:cs="宋体"/>
                <w:color w:val="000000"/>
                <w:szCs w:val="21"/>
                <w:lang w:eastAsia="zh-CN"/>
              </w:rPr>
              <w:t>7</w:t>
            </w:r>
            <w:r>
              <w:rPr>
                <w:rFonts w:hint="eastAsia" w:ascii="宋体" w:cs="宋体"/>
                <w:color w:val="000000"/>
                <w:szCs w:val="21"/>
                <w:lang w:val="en-US" w:eastAsia="zh-CN"/>
              </w:rPr>
              <w:t>7</w:t>
            </w: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415"/>
              </w:tabs>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eastAsia="zh-CN"/>
              </w:rPr>
              <w:t>414</w:t>
            </w:r>
            <w:r>
              <w:rPr>
                <w:rFonts w:hint="eastAsia" w:ascii="宋体" w:cs="宋体"/>
                <w:color w:val="000000"/>
                <w:szCs w:val="21"/>
                <w:lang w:val="en-US" w:eastAsia="zh-CN"/>
              </w:rPr>
              <w:t>.</w:t>
            </w:r>
            <w:r>
              <w:rPr>
                <w:rFonts w:hint="eastAsia" w:ascii="宋体" w:cs="宋体"/>
                <w:color w:val="000000"/>
                <w:szCs w:val="21"/>
                <w:lang w:eastAsia="zh-CN"/>
              </w:rPr>
              <w:t>77</w:t>
            </w: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71" w:hRule="atLeast"/>
          <w:jc w:val="center"/>
        </w:trPr>
        <w:tc>
          <w:tcPr>
            <w:tcW w:w="1034"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318"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472" w:type="dxa"/>
            <w:gridSpan w:val="3"/>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4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2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1"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9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81" w:hRule="atLeast"/>
          <w:jc w:val="center"/>
        </w:trPr>
        <w:tc>
          <w:tcPr>
            <w:tcW w:w="88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注：本表反映部门本年度取得的各项收入情况。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000" w:type="dxa"/>
        <w:tblInd w:w="0" w:type="dxa"/>
        <w:tblLayout w:type="fixed"/>
        <w:tblCellMar>
          <w:top w:w="0" w:type="dxa"/>
          <w:left w:w="0" w:type="dxa"/>
          <w:bottom w:w="0" w:type="dxa"/>
          <w:right w:w="0" w:type="dxa"/>
        </w:tblCellMar>
      </w:tblPr>
      <w:tblGrid>
        <w:gridCol w:w="290"/>
        <w:gridCol w:w="289"/>
        <w:gridCol w:w="803"/>
        <w:gridCol w:w="1117"/>
        <w:gridCol w:w="647"/>
        <w:gridCol w:w="436"/>
        <w:gridCol w:w="682"/>
        <w:gridCol w:w="402"/>
        <w:gridCol w:w="718"/>
        <w:gridCol w:w="365"/>
        <w:gridCol w:w="753"/>
        <w:gridCol w:w="331"/>
        <w:gridCol w:w="789"/>
        <w:gridCol w:w="294"/>
        <w:gridCol w:w="1084"/>
      </w:tblGrid>
      <w:tr>
        <w:tblPrEx>
          <w:tblCellMar>
            <w:top w:w="0" w:type="dxa"/>
            <w:left w:w="0" w:type="dxa"/>
            <w:bottom w:w="0" w:type="dxa"/>
            <w:right w:w="0" w:type="dxa"/>
          </w:tblCellMar>
        </w:tblPrEx>
        <w:trPr>
          <w:trHeight w:val="79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center"/>
              <w:rPr>
                <w:rFonts w:ascii="黑体" w:hAnsi="宋体" w:eastAsia="黑体" w:cs="黑体"/>
                <w:color w:val="000000"/>
                <w:sz w:val="40"/>
                <w:szCs w:val="40"/>
              </w:rPr>
            </w:pPr>
            <w:r>
              <w:rPr>
                <w:rFonts w:hint="eastAsia" w:ascii="黑体" w:hAnsi="宋体" w:eastAsia="黑体" w:cs="黑体"/>
                <w:color w:val="000000"/>
                <w:kern w:val="0"/>
                <w:sz w:val="40"/>
                <w:szCs w:val="40"/>
              </w:rPr>
              <w:t>支出决算</w:t>
            </w:r>
            <w:r>
              <mc:AlternateContent>
                <mc:Choice Requires="wpg">
                  <w:drawing>
                    <wp:anchor distT="0" distB="0" distL="114300" distR="114300" simplePos="0" relativeHeight="25167667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38" name="组合 3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6" name="矩形 13"/>
                              <wps:cNvSpPr/>
                              <wps:spPr>
                                <a:xfrm>
                                  <a:off x="4551" y="52615"/>
                                  <a:ext cx="8546" cy="1175"/>
                                </a:xfrm>
                                <a:prstGeom prst="rect">
                                  <a:avLst/>
                                </a:prstGeom>
                                <a:solidFill>
                                  <a:srgbClr val="96DA9D"/>
                                </a:solidFill>
                                <a:ln w="25400">
                                  <a:noFill/>
                                </a:ln>
                              </wps:spPr>
                              <wps:bodyPr anchor="ctr" anchorCtr="0" upright="1"/>
                            </wps:wsp>
                            <wps:wsp>
                              <wps:cNvPr id="37"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_x0000_s1026" o:spid="_x0000_s1026" o:spt="203" style="position:absolute;left:0pt;margin-left:-80.9pt;margin-top:-81.1pt;height:41.2pt;width:243.2pt;mso-position-vertical-relative:page;z-index:25167667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JpSytwAAAANAQAA&#10;DwAAAAAAAAABACAAAAAiAAAAZHJzL2Rvd25yZXYueG1sUEsBAhQAFAAAAAgAh07iQGz6qWP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Qnyn3bsAAADb&#10;AAAADwAAAGRycy9kb3ducmV2LnhtbEWPQWsCMRSE74L/ITyht/qyLRVZjR6EQk+F2vbg7bF5bhY3&#10;L0sS1+2/bwoFj8PMfMNs95Pv1cgxdUEMVEsNiqUJtpPWwNfn6+MaVMoklvogbOCHE+x389mWahtu&#10;8sHjMbeqQCTVZMDlPNSIqXHsKS3DwFK8c4iecpGxRRvpVuC+xyetV+ipk7LgaOCD4+ZyvHoDGDmi&#10;i9M5ntJ4xepdf780F2MeFpXegMo85Xv4v/1mDTyv4O9L+QG4+w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nyn3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k7QL0r4AAADb&#10;AAAADwAAAGRycy9kb3ducmV2LnhtbEWP3WoCMRSE7wXfIZxC7zSrhVVWoxRBWgUp2i3i3WFz3Cxu&#10;TpZN/Gmf3hQEL4eZ+YaZzm+2FhdqfeVYwaCfgCAunK64VJB/L3tjED4ga6wdk4Jf8jCfdTtTzLS7&#10;8pYuu1CKCGGfoQITQpNJ6QtDFn3fNcTRO7rWYoiyLaVu8RrhtpbDJEmlxYrjgsGGFoaK0+5sFXzl&#10;5vCBa9rbzfr0k79XmP6tUqVeXwbJBESgW3iGH+1PreBtB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7QL0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表</w:t>
            </w:r>
          </w:p>
        </w:tc>
      </w:tr>
      <w:tr>
        <w:tblPrEx>
          <w:tblCellMar>
            <w:top w:w="0" w:type="dxa"/>
            <w:left w:w="0" w:type="dxa"/>
            <w:bottom w:w="0" w:type="dxa"/>
            <w:right w:w="0" w:type="dxa"/>
          </w:tblCellMar>
        </w:tblPrEx>
        <w:trPr>
          <w:trHeight w:val="404" w:hRule="atLeast"/>
        </w:trPr>
        <w:tc>
          <w:tcPr>
            <w:tcW w:w="29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8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803"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64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37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03</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80" w:hRule="atLeast"/>
        </w:trPr>
        <w:tc>
          <w:tcPr>
            <w:tcW w:w="3146"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保定市满城区人民法院</w:t>
            </w: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20"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118"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49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837" w:hRule="atLeast"/>
        </w:trPr>
        <w:tc>
          <w:tcPr>
            <w:tcW w:w="2499"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本年支出合计</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c>
          <w:tcPr>
            <w:tcW w:w="1084"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上缴上级支出</w:t>
            </w:r>
          </w:p>
        </w:tc>
        <w:tc>
          <w:tcPr>
            <w:tcW w:w="1083" w:type="dxa"/>
            <w:gridSpan w:val="2"/>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经营支出</w:t>
            </w:r>
          </w:p>
        </w:tc>
        <w:tc>
          <w:tcPr>
            <w:tcW w:w="1084" w:type="dxa"/>
            <w:vMerge w:val="restart"/>
            <w:tcBorders>
              <w:top w:val="single" w:color="000000" w:sz="4" w:space="0"/>
              <w:left w:val="nil"/>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对附属单位补助支出</w:t>
            </w:r>
          </w:p>
        </w:tc>
      </w:tr>
      <w:tr>
        <w:tblPrEx>
          <w:tblCellMar>
            <w:top w:w="0" w:type="dxa"/>
            <w:left w:w="0" w:type="dxa"/>
            <w:bottom w:w="0" w:type="dxa"/>
            <w:right w:w="0" w:type="dxa"/>
          </w:tblCellMar>
        </w:tblPrEx>
        <w:trPr>
          <w:trHeight w:val="782" w:hRule="atLeast"/>
        </w:trPr>
        <w:tc>
          <w:tcPr>
            <w:tcW w:w="1382" w:type="dxa"/>
            <w:gridSpan w:val="3"/>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3" w:type="dxa"/>
            <w:gridSpan w:val="2"/>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084" w:type="dxa"/>
            <w:vMerge w:val="continue"/>
            <w:tcBorders>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95"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c>
          <w:tcPr>
            <w:tcW w:w="1084"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4</w:t>
            </w:r>
          </w:p>
        </w:tc>
        <w:tc>
          <w:tcPr>
            <w:tcW w:w="1083"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5</w:t>
            </w:r>
          </w:p>
        </w:tc>
        <w:tc>
          <w:tcPr>
            <w:tcW w:w="1084"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40" w:hRule="atLeast"/>
        </w:trPr>
        <w:tc>
          <w:tcPr>
            <w:tcW w:w="2499"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合计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公共安全支出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20405</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法院</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2040501</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 xml:space="preserve">  行政运行</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976</w:t>
            </w:r>
            <w:r>
              <w:rPr>
                <w:rFonts w:hint="eastAsia" w:ascii="宋体" w:cs="宋体"/>
                <w:color w:val="000000"/>
                <w:szCs w:val="21"/>
                <w:lang w:val="en-US" w:eastAsia="zh-CN"/>
              </w:rPr>
              <w:t>.</w:t>
            </w:r>
            <w:r>
              <w:rPr>
                <w:rFonts w:hint="eastAsia" w:ascii="宋体" w:cs="宋体"/>
                <w:color w:val="000000"/>
                <w:szCs w:val="21"/>
              </w:rPr>
              <w:t>40</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976</w:t>
            </w:r>
            <w:r>
              <w:rPr>
                <w:rFonts w:hint="eastAsia" w:ascii="宋体" w:cs="宋体"/>
                <w:color w:val="000000"/>
                <w:szCs w:val="21"/>
                <w:lang w:val="en-US" w:eastAsia="zh-CN"/>
              </w:rPr>
              <w:t>.</w:t>
            </w:r>
            <w:r>
              <w:rPr>
                <w:rFonts w:hint="eastAsia" w:ascii="宋体" w:cs="宋体"/>
                <w:color w:val="000000"/>
                <w:szCs w:val="21"/>
              </w:rPr>
              <w:t>40</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2040502</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一般行政管理事务</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169</w:t>
            </w:r>
            <w:r>
              <w:rPr>
                <w:rFonts w:hint="eastAsia" w:ascii="宋体" w:cs="宋体"/>
                <w:color w:val="000000"/>
                <w:szCs w:val="21"/>
                <w:lang w:val="en-US" w:eastAsia="zh-CN"/>
              </w:rPr>
              <w:t>.</w:t>
            </w:r>
            <w:r>
              <w:rPr>
                <w:rFonts w:hint="eastAsia" w:ascii="宋体" w:cs="宋体"/>
                <w:color w:val="000000"/>
                <w:szCs w:val="21"/>
              </w:rPr>
              <w:t>6</w:t>
            </w:r>
            <w:r>
              <w:rPr>
                <w:rFonts w:hint="eastAsia" w:ascii="宋体" w:cs="宋体"/>
                <w:color w:val="000000"/>
                <w:szCs w:val="21"/>
                <w:lang w:val="en-US" w:eastAsia="zh-CN"/>
              </w:rPr>
              <w:t>4</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169</w:t>
            </w:r>
            <w:r>
              <w:rPr>
                <w:rFonts w:hint="eastAsia" w:ascii="宋体" w:cs="宋体"/>
                <w:color w:val="000000"/>
                <w:szCs w:val="21"/>
                <w:lang w:val="en-US" w:eastAsia="zh-CN"/>
              </w:rPr>
              <w:t>.</w:t>
            </w:r>
            <w:r>
              <w:rPr>
                <w:rFonts w:hint="eastAsia" w:ascii="宋体" w:cs="宋体"/>
                <w:color w:val="000000"/>
                <w:szCs w:val="21"/>
              </w:rPr>
              <w:t>6</w:t>
            </w:r>
            <w:r>
              <w:rPr>
                <w:rFonts w:hint="eastAsia" w:ascii="宋体" w:cs="宋体"/>
                <w:color w:val="000000"/>
                <w:szCs w:val="21"/>
                <w:lang w:val="en-US" w:eastAsia="zh-CN"/>
              </w:rPr>
              <w:t>4</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2040504</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7" w:firstLineChars="0"/>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 xml:space="preserve"> 案件审判</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176</w:t>
            </w:r>
            <w:r>
              <w:rPr>
                <w:rFonts w:hint="eastAsia" w:ascii="宋体" w:cs="宋体"/>
                <w:color w:val="000000"/>
                <w:szCs w:val="21"/>
                <w:lang w:val="en-US" w:eastAsia="zh-CN"/>
              </w:rPr>
              <w:t>.</w:t>
            </w:r>
            <w:r>
              <w:rPr>
                <w:rFonts w:hint="eastAsia" w:ascii="宋体" w:cs="宋体"/>
                <w:color w:val="000000"/>
                <w:szCs w:val="21"/>
              </w:rPr>
              <w:t>58</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176</w:t>
            </w:r>
            <w:r>
              <w:rPr>
                <w:rFonts w:hint="eastAsia" w:ascii="宋体" w:cs="宋体"/>
                <w:color w:val="000000"/>
                <w:szCs w:val="21"/>
                <w:lang w:val="en-US" w:eastAsia="zh-CN"/>
              </w:rPr>
              <w:t>.</w:t>
            </w:r>
            <w:r>
              <w:rPr>
                <w:rFonts w:hint="eastAsia" w:ascii="宋体" w:cs="宋体"/>
                <w:color w:val="000000"/>
                <w:szCs w:val="21"/>
              </w:rPr>
              <w:t>58</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468" w:hRule="atLeast"/>
        </w:trPr>
        <w:tc>
          <w:tcPr>
            <w:tcW w:w="1382"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2040599</w:t>
            </w:r>
          </w:p>
        </w:tc>
        <w:tc>
          <w:tcPr>
            <w:tcW w:w="111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 xml:space="preserve"> 其他法院支出</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415"/>
              </w:tabs>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eastAsia="zh-CN"/>
              </w:rPr>
              <w:tab/>
            </w:r>
            <w:r>
              <w:rPr>
                <w:rFonts w:hint="eastAsia" w:ascii="宋体" w:cs="宋体"/>
                <w:color w:val="000000"/>
                <w:szCs w:val="21"/>
                <w:lang w:eastAsia="zh-CN"/>
              </w:rPr>
              <w:t>414</w:t>
            </w:r>
            <w:r>
              <w:rPr>
                <w:rFonts w:hint="eastAsia" w:ascii="宋体" w:cs="宋体"/>
                <w:color w:val="000000"/>
                <w:szCs w:val="21"/>
                <w:lang w:val="en-US" w:eastAsia="zh-CN"/>
              </w:rPr>
              <w:t>.</w:t>
            </w:r>
            <w:r>
              <w:rPr>
                <w:rFonts w:hint="eastAsia" w:ascii="宋体" w:cs="宋体"/>
                <w:color w:val="000000"/>
                <w:szCs w:val="21"/>
                <w:lang w:eastAsia="zh-CN"/>
              </w:rPr>
              <w:t>77</w:t>
            </w: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415"/>
              </w:tabs>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eastAsia="zh-CN"/>
              </w:rPr>
              <w:tab/>
            </w:r>
            <w:r>
              <w:rPr>
                <w:rFonts w:hint="eastAsia" w:ascii="宋体" w:cs="宋体"/>
                <w:color w:val="000000"/>
                <w:szCs w:val="21"/>
                <w:lang w:eastAsia="zh-CN"/>
              </w:rPr>
              <w:t>414</w:t>
            </w:r>
            <w:r>
              <w:rPr>
                <w:rFonts w:hint="eastAsia" w:ascii="宋体" w:cs="宋体"/>
                <w:color w:val="000000"/>
                <w:szCs w:val="21"/>
                <w:lang w:val="en-US" w:eastAsia="zh-CN"/>
              </w:rPr>
              <w:t>.</w:t>
            </w:r>
            <w:r>
              <w:rPr>
                <w:rFonts w:hint="eastAsia" w:ascii="宋体" w:cs="宋体"/>
                <w:color w:val="000000"/>
                <w:szCs w:val="21"/>
                <w:lang w:eastAsia="zh-CN"/>
              </w:rPr>
              <w:t>7</w:t>
            </w:r>
            <w:r>
              <w:rPr>
                <w:rFonts w:hint="eastAsia" w:ascii="宋体" w:cs="宋体"/>
                <w:color w:val="000000"/>
                <w:szCs w:val="21"/>
                <w:lang w:val="en-US" w:eastAsia="zh-CN"/>
              </w:rPr>
              <w:t>7</w:t>
            </w: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3"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084"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748" w:hRule="atLeast"/>
        </w:trPr>
        <w:tc>
          <w:tcPr>
            <w:tcW w:w="9000" w:type="dxa"/>
            <w:gridSpan w:val="1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注：本表反映部门本年度各项支出情况。</w:t>
            </w:r>
          </w:p>
        </w:tc>
      </w:tr>
    </w:tbl>
    <w:p>
      <w:pPr>
        <w:widowControl/>
        <w:spacing w:after="0" w:line="560" w:lineRule="exact"/>
        <w:ind w:firstLine="562" w:firstLineChars="200"/>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940" w:type="dxa"/>
        <w:tblInd w:w="0" w:type="dxa"/>
        <w:tblLayout w:type="fixed"/>
        <w:tblCellMar>
          <w:top w:w="0" w:type="dxa"/>
          <w:left w:w="0" w:type="dxa"/>
          <w:bottom w:w="0" w:type="dxa"/>
          <w:right w:w="0" w:type="dxa"/>
        </w:tblCellMar>
      </w:tblPr>
      <w:tblGrid>
        <w:gridCol w:w="1717"/>
        <w:gridCol w:w="745"/>
        <w:gridCol w:w="250"/>
        <w:gridCol w:w="1085"/>
        <w:gridCol w:w="1964"/>
        <w:gridCol w:w="191"/>
        <w:gridCol w:w="360"/>
        <w:gridCol w:w="650"/>
        <w:gridCol w:w="226"/>
        <w:gridCol w:w="599"/>
        <w:gridCol w:w="277"/>
        <w:gridCol w:w="876"/>
      </w:tblGrid>
      <w:tr>
        <w:tblPrEx>
          <w:tblCellMar>
            <w:top w:w="0" w:type="dxa"/>
            <w:left w:w="0" w:type="dxa"/>
            <w:bottom w:w="0" w:type="dxa"/>
            <w:right w:w="0" w:type="dxa"/>
          </w:tblCellMar>
        </w:tblPrEx>
        <w:trPr>
          <w:trHeight w:val="152"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财政拨款收入支出决</w:t>
            </w:r>
            <w:r>
              <mc:AlternateContent>
                <mc:Choice Requires="wpg">
                  <w:drawing>
                    <wp:anchor distT="0" distB="0" distL="114300" distR="114300" simplePos="0" relativeHeight="25167769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1" name="组合 43"/>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39" name="矩形 13"/>
                              <wps:cNvSpPr/>
                              <wps:spPr>
                                <a:xfrm>
                                  <a:off x="4551" y="52615"/>
                                  <a:ext cx="8546" cy="1175"/>
                                </a:xfrm>
                                <a:prstGeom prst="rect">
                                  <a:avLst/>
                                </a:prstGeom>
                                <a:solidFill>
                                  <a:srgbClr val="96DA9D"/>
                                </a:solidFill>
                                <a:ln w="25400">
                                  <a:noFill/>
                                </a:ln>
                              </wps:spPr>
                              <wps:bodyPr anchor="ctr" anchorCtr="0" upright="1"/>
                            </wps:wsp>
                            <wps:wsp>
                              <wps:cNvPr id="4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3" o:spid="_x0000_s1026" o:spt="203" style="position:absolute;left:0pt;margin-left:-80.9pt;margin-top:-81.1pt;height:41.2pt;width:243.2pt;mso-position-vertical-relative:page;z-index:25167769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AcmlLK3AAA&#10;AA0BAAAPAAAAAAAAAAEAIAAAACIAAABkcnMvZG93bnJldi54bWxQSwECFAAUAAAACACHTuJArPiH&#10;xMUCAAAmBwAADgAAAAAAAAABACAAAAArAQAAZHJzL2Uyb0RvYy54bWxQSwUGAAAAAAYABgBZAQAA&#10;YgYAAAAA&#10;">
                      <o:lock v:ext="edit" aspectratio="f"/>
                      <v:rect id="矩形 13" o:spid="_x0000_s1026" o:spt="1" style="position:absolute;left:4551;top:52615;height:1175;width:8546;v-text-anchor:middle;" fillcolor="#96DA9D" filled="t" stroked="f" coordsize="21600,21600" o:gfxdata="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Mzr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Fvg27oAAADb&#10;AAAADwAAAGRycy9kb3ducmV2LnhtbEVPy4rCMBTdC/MP4Q6401SRItUow4DoCDKoFXF3aa5Nsbkp&#10;TcbX15vFgMvDeU/nd1uLK7W+cqxg0E9AEBdOV1wqyPeL3hiED8gaa8ek4EEe5rOPzhQz7W68pesu&#10;lCKGsM9QgQmhyaT0hSGLvu8a4sidXWsxRNiWUrd4i+G2lsMkSaXFimODwYa+DRWX3Z9V8Jub0xLX&#10;dLSb9eWQf1WYPn9Spbqfg2QCItA9vMX/7pVWMIrr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W+Db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算总表</w:t>
            </w:r>
          </w:p>
        </w:tc>
      </w:tr>
      <w:tr>
        <w:tblPrEx>
          <w:tblCellMar>
            <w:top w:w="0" w:type="dxa"/>
            <w:left w:w="0" w:type="dxa"/>
            <w:bottom w:w="0" w:type="dxa"/>
            <w:right w:w="0" w:type="dxa"/>
          </w:tblCellMar>
        </w:tblPrEx>
        <w:trPr>
          <w:trHeight w:val="90" w:hRule="atLeast"/>
        </w:trPr>
        <w:tc>
          <w:tcPr>
            <w:tcW w:w="17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2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3049"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55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825"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153"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04</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152" w:hRule="atLeast"/>
        </w:trPr>
        <w:tc>
          <w:tcPr>
            <w:tcW w:w="6312" w:type="dxa"/>
            <w:gridSpan w:val="7"/>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保定市满城区人民法院</w:t>
            </w:r>
          </w:p>
        </w:tc>
        <w:tc>
          <w:tcPr>
            <w:tcW w:w="650"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 w:val="20"/>
                <w:szCs w:val="20"/>
              </w:rPr>
            </w:pPr>
          </w:p>
        </w:tc>
        <w:tc>
          <w:tcPr>
            <w:tcW w:w="1978" w:type="dxa"/>
            <w:gridSpan w:val="4"/>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90" w:hRule="atLeast"/>
        </w:trPr>
        <w:tc>
          <w:tcPr>
            <w:tcW w:w="2712"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收</w:t>
            </w:r>
            <w:r>
              <w:rPr>
                <w:rFonts w:ascii="宋体" w:hAnsi="宋体" w:cs="宋体"/>
                <w:color w:val="000000"/>
                <w:kern w:val="0"/>
                <w:sz w:val="20"/>
                <w:szCs w:val="20"/>
              </w:rPr>
              <w:t xml:space="preserve">     </w:t>
            </w:r>
            <w:r>
              <w:rPr>
                <w:rFonts w:hint="eastAsia" w:ascii="宋体" w:hAnsi="宋体" w:cs="宋体"/>
                <w:color w:val="000000"/>
                <w:kern w:val="0"/>
                <w:sz w:val="20"/>
                <w:szCs w:val="20"/>
              </w:rPr>
              <w:t>入</w:t>
            </w:r>
          </w:p>
        </w:tc>
        <w:tc>
          <w:tcPr>
            <w:tcW w:w="6228"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20"/>
                <w:szCs w:val="20"/>
              </w:rPr>
            </w:pPr>
            <w:r>
              <w:rPr>
                <w:rFonts w:hint="eastAsia" w:ascii="宋体" w:hAnsi="宋体" w:cs="宋体"/>
                <w:color w:val="000000"/>
                <w:kern w:val="0"/>
                <w:sz w:val="20"/>
                <w:szCs w:val="20"/>
              </w:rPr>
              <w:t>支</w:t>
            </w:r>
            <w:r>
              <w:rPr>
                <w:rFonts w:ascii="宋体" w:hAnsi="宋体" w:cs="宋体"/>
                <w:color w:val="000000"/>
                <w:kern w:val="0"/>
                <w:sz w:val="20"/>
                <w:szCs w:val="20"/>
              </w:rPr>
              <w:t xml:space="preserve">     </w:t>
            </w:r>
            <w:r>
              <w:rPr>
                <w:rFonts w:hint="eastAsia" w:ascii="宋体" w:hAnsi="宋体" w:cs="宋体"/>
                <w:color w:val="000000"/>
                <w:kern w:val="0"/>
                <w:sz w:val="20"/>
                <w:szCs w:val="20"/>
              </w:rPr>
              <w:t>出</w:t>
            </w:r>
          </w:p>
        </w:tc>
      </w:tr>
      <w:tr>
        <w:tblPrEx>
          <w:tblCellMar>
            <w:top w:w="0" w:type="dxa"/>
            <w:left w:w="0" w:type="dxa"/>
            <w:bottom w:w="0" w:type="dxa"/>
            <w:right w:w="0" w:type="dxa"/>
          </w:tblCellMar>
        </w:tblPrEx>
        <w:trPr>
          <w:trHeight w:val="17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25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1085"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金额</w:t>
            </w:r>
          </w:p>
        </w:tc>
        <w:tc>
          <w:tcPr>
            <w:tcW w:w="2155"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项目</w:t>
            </w:r>
          </w:p>
        </w:tc>
        <w:tc>
          <w:tcPr>
            <w:tcW w:w="360"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行次</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合计</w:t>
            </w:r>
          </w:p>
        </w:tc>
        <w:tc>
          <w:tcPr>
            <w:tcW w:w="876"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一般公共预算财政拨款</w:t>
            </w:r>
          </w:p>
        </w:tc>
        <w:tc>
          <w:tcPr>
            <w:tcW w:w="876" w:type="dxa"/>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政府性基金预算财政拨款</w:t>
            </w: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hint="eastAsia" w:ascii="宋体" w:hAnsi="宋体" w:cs="宋体"/>
                <w:color w:val="000000"/>
                <w:kern w:val="0"/>
                <w:sz w:val="18"/>
                <w:szCs w:val="18"/>
              </w:rPr>
              <w:t>栏次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一、一般公共预算财政拨款</w:t>
            </w: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1737.39</w:t>
            </w: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一、一般公共服务支出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二、政府性基金预算财政拨款</w:t>
            </w: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二、外交支出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三、国防支出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四、公共安全支出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tbl>
            <w:tblPr>
              <w:tblStyle w:val="12"/>
              <w:tblW w:w="8940" w:type="dxa"/>
              <w:tblInd w:w="0" w:type="dxa"/>
              <w:tblLayout w:type="fixed"/>
              <w:tblCellMar>
                <w:top w:w="0" w:type="dxa"/>
                <w:left w:w="0" w:type="dxa"/>
                <w:bottom w:w="0" w:type="dxa"/>
                <w:right w:w="0" w:type="dxa"/>
              </w:tblCellMar>
            </w:tblPr>
            <w:tblGrid>
              <w:gridCol w:w="1085"/>
            </w:tblGrid>
            <w:tr>
              <w:tblPrEx>
                <w:tblCellMar>
                  <w:top w:w="0" w:type="dxa"/>
                  <w:left w:w="0" w:type="dxa"/>
                  <w:bottom w:w="0" w:type="dxa"/>
                  <w:right w:w="0" w:type="dxa"/>
                </w:tblCellMar>
              </w:tblPrEx>
              <w:trPr>
                <w:trHeight w:val="120" w:hRule="atLeast"/>
              </w:trPr>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1737.39</w:t>
                  </w:r>
                </w:p>
              </w:tc>
            </w:tr>
          </w:tbl>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tbl>
            <w:tblPr>
              <w:tblStyle w:val="12"/>
              <w:tblW w:w="2170" w:type="dxa"/>
              <w:tblInd w:w="0" w:type="dxa"/>
              <w:tblLayout w:type="fixed"/>
              <w:tblCellMar>
                <w:top w:w="0" w:type="dxa"/>
                <w:left w:w="0" w:type="dxa"/>
                <w:bottom w:w="0" w:type="dxa"/>
                <w:right w:w="0" w:type="dxa"/>
              </w:tblCellMar>
            </w:tblPr>
            <w:tblGrid>
              <w:gridCol w:w="1085"/>
              <w:gridCol w:w="1085"/>
            </w:tblGrid>
            <w:tr>
              <w:tblPrEx>
                <w:tblCellMar>
                  <w:top w:w="0" w:type="dxa"/>
                  <w:left w:w="0" w:type="dxa"/>
                  <w:bottom w:w="0" w:type="dxa"/>
                  <w:right w:w="0" w:type="dxa"/>
                </w:tblCellMar>
              </w:tblPrEx>
              <w:trPr>
                <w:trHeight w:val="120" w:hRule="atLeast"/>
              </w:trPr>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1737.39</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 w:val="18"/>
                      <w:szCs w:val="18"/>
                      <w:lang w:val="en-US" w:eastAsia="zh-CN"/>
                    </w:rPr>
                  </w:pPr>
                </w:p>
              </w:tc>
            </w:tr>
          </w:tbl>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五、教育支出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6</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六、科学技术支出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7</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七、文化体育与传媒支出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8</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八、社会保障和就业支出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9</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6"/>
                <w:szCs w:val="16"/>
              </w:rPr>
              <w:t>九、医疗卫生与计划生育支出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10</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十、节能环保支出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11</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十一、城乡社区支出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39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12</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十二、农林水支出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13</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十三、交通运输支出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14</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十四、资源勘探信息等支出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15</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十五、商业服务业等支出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16</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十六、金融支出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17</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十七、援助其他地区支出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18</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十八、国土海洋气象等支出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19</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十九、住房保障支出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47</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20</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二十、粮油物资储备支出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48</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21</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二十一、其他支出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49</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22</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二十二、债务还本支出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50</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23</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二十三、债务付息支出</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51</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本年收入合计</w:t>
            </w: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24</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tbl>
            <w:tblPr>
              <w:tblStyle w:val="12"/>
              <w:tblW w:w="8940" w:type="dxa"/>
              <w:tblInd w:w="0" w:type="dxa"/>
              <w:tblLayout w:type="fixed"/>
              <w:tblCellMar>
                <w:top w:w="0" w:type="dxa"/>
                <w:left w:w="0" w:type="dxa"/>
                <w:bottom w:w="0" w:type="dxa"/>
                <w:right w:w="0" w:type="dxa"/>
              </w:tblCellMar>
            </w:tblPr>
            <w:tblGrid>
              <w:gridCol w:w="1085"/>
            </w:tblGrid>
            <w:tr>
              <w:tblPrEx>
                <w:tblCellMar>
                  <w:top w:w="0" w:type="dxa"/>
                  <w:left w:w="0" w:type="dxa"/>
                  <w:bottom w:w="0" w:type="dxa"/>
                  <w:right w:w="0" w:type="dxa"/>
                </w:tblCellMar>
              </w:tblPrEx>
              <w:trPr>
                <w:trHeight w:val="120" w:hRule="atLeast"/>
              </w:trPr>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1737.39</w:t>
                  </w:r>
                </w:p>
              </w:tc>
            </w:tr>
          </w:tbl>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本年支出合计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52</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tbl>
            <w:tblPr>
              <w:tblStyle w:val="12"/>
              <w:tblW w:w="8940" w:type="dxa"/>
              <w:tblInd w:w="0" w:type="dxa"/>
              <w:tblLayout w:type="fixed"/>
              <w:tblCellMar>
                <w:top w:w="0" w:type="dxa"/>
                <w:left w:w="0" w:type="dxa"/>
                <w:bottom w:w="0" w:type="dxa"/>
                <w:right w:w="0" w:type="dxa"/>
              </w:tblCellMar>
            </w:tblPr>
            <w:tblGrid>
              <w:gridCol w:w="1085"/>
            </w:tblGrid>
            <w:tr>
              <w:tblPrEx>
                <w:tblCellMar>
                  <w:top w:w="0" w:type="dxa"/>
                  <w:left w:w="0" w:type="dxa"/>
                  <w:bottom w:w="0" w:type="dxa"/>
                  <w:right w:w="0" w:type="dxa"/>
                </w:tblCellMar>
              </w:tblPrEx>
              <w:trPr>
                <w:trHeight w:val="120" w:hRule="atLeast"/>
              </w:trPr>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1737.39</w:t>
                  </w:r>
                </w:p>
              </w:tc>
            </w:tr>
          </w:tbl>
          <w:p>
            <w:pPr>
              <w:widowControl/>
              <w:spacing w:after="0" w:line="240" w:lineRule="atLeast"/>
              <w:jc w:val="right"/>
              <w:rPr>
                <w:rFonts w:ascii="宋体" w:hAnsi="Times New Roman" w:eastAsia="宋体" w:cs="宋体"/>
                <w:color w:val="000000"/>
                <w:kern w:val="2"/>
                <w:sz w:val="18"/>
                <w:szCs w:val="18"/>
                <w:lang w:val="en-US" w:eastAsia="zh-CN" w:bidi="ar-SA"/>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tbl>
            <w:tblPr>
              <w:tblStyle w:val="12"/>
              <w:tblW w:w="2170" w:type="dxa"/>
              <w:tblInd w:w="0" w:type="dxa"/>
              <w:tblLayout w:type="fixed"/>
              <w:tblCellMar>
                <w:top w:w="0" w:type="dxa"/>
                <w:left w:w="0" w:type="dxa"/>
                <w:bottom w:w="0" w:type="dxa"/>
                <w:right w:w="0" w:type="dxa"/>
              </w:tblCellMar>
            </w:tblPr>
            <w:tblGrid>
              <w:gridCol w:w="1085"/>
              <w:gridCol w:w="1085"/>
            </w:tblGrid>
            <w:tr>
              <w:tblPrEx>
                <w:tblCellMar>
                  <w:top w:w="0" w:type="dxa"/>
                  <w:left w:w="0" w:type="dxa"/>
                  <w:bottom w:w="0" w:type="dxa"/>
                  <w:right w:w="0" w:type="dxa"/>
                </w:tblCellMar>
              </w:tblPrEx>
              <w:trPr>
                <w:trHeight w:val="120" w:hRule="atLeast"/>
              </w:trPr>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1737.39</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 w:val="18"/>
                      <w:szCs w:val="18"/>
                      <w:lang w:val="en-US" w:eastAsia="zh-CN"/>
                    </w:rPr>
                  </w:pPr>
                </w:p>
              </w:tc>
            </w:tr>
          </w:tbl>
          <w:p>
            <w:pPr>
              <w:widowControl/>
              <w:spacing w:after="0" w:line="240" w:lineRule="atLeast"/>
              <w:jc w:val="right"/>
              <w:rPr>
                <w:rFonts w:ascii="宋体" w:hAnsi="Times New Roman"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年初财政拨款结转和结余</w:t>
            </w: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25</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年末财政拨款结转和结余</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53</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一般公共预算财政拨款</w:t>
            </w: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26</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54</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2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ascii="宋体" w:hAnsi="宋体" w:cs="宋体"/>
                <w:color w:val="000000"/>
                <w:kern w:val="0"/>
                <w:sz w:val="18"/>
                <w:szCs w:val="18"/>
              </w:rPr>
              <w:t xml:space="preserve">  </w:t>
            </w:r>
            <w:r>
              <w:rPr>
                <w:rFonts w:hint="eastAsia" w:ascii="宋体" w:hAnsi="宋体" w:cs="宋体"/>
                <w:color w:val="000000"/>
                <w:kern w:val="0"/>
                <w:sz w:val="18"/>
                <w:szCs w:val="18"/>
              </w:rPr>
              <w:t>政府性基金预算财政拨款</w:t>
            </w: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27</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 w:val="18"/>
                <w:szCs w:val="18"/>
              </w:rPr>
            </w:pP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55</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90" w:hRule="atLeast"/>
        </w:trPr>
        <w:tc>
          <w:tcPr>
            <w:tcW w:w="2462" w:type="dxa"/>
            <w:gridSpan w:val="2"/>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25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28</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tbl>
            <w:tblPr>
              <w:tblStyle w:val="12"/>
              <w:tblW w:w="8940" w:type="dxa"/>
              <w:tblInd w:w="0" w:type="dxa"/>
              <w:tblLayout w:type="fixed"/>
              <w:tblCellMar>
                <w:top w:w="0" w:type="dxa"/>
                <w:left w:w="0" w:type="dxa"/>
                <w:bottom w:w="0" w:type="dxa"/>
                <w:right w:w="0" w:type="dxa"/>
              </w:tblCellMar>
            </w:tblPr>
            <w:tblGrid>
              <w:gridCol w:w="1085"/>
            </w:tblGrid>
            <w:tr>
              <w:tblPrEx>
                <w:tblCellMar>
                  <w:top w:w="0" w:type="dxa"/>
                  <w:left w:w="0" w:type="dxa"/>
                  <w:bottom w:w="0" w:type="dxa"/>
                  <w:right w:w="0" w:type="dxa"/>
                </w:tblCellMar>
              </w:tblPrEx>
              <w:trPr>
                <w:trHeight w:val="120" w:hRule="atLeast"/>
              </w:trPr>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1737.39</w:t>
                  </w:r>
                </w:p>
              </w:tc>
            </w:tr>
          </w:tbl>
          <w:p>
            <w:pPr>
              <w:widowControl/>
              <w:spacing w:after="0" w:line="240" w:lineRule="atLeast"/>
              <w:jc w:val="right"/>
              <w:rPr>
                <w:rFonts w:ascii="宋体" w:cs="宋体"/>
                <w:color w:val="000000"/>
                <w:sz w:val="18"/>
                <w:szCs w:val="18"/>
              </w:rPr>
            </w:pPr>
          </w:p>
        </w:tc>
        <w:tc>
          <w:tcPr>
            <w:tcW w:w="215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b/>
                <w:color w:val="000000"/>
                <w:sz w:val="18"/>
                <w:szCs w:val="18"/>
              </w:rPr>
            </w:pPr>
            <w:r>
              <w:rPr>
                <w:rFonts w:hint="eastAsia" w:ascii="宋体" w:hAnsi="宋体" w:cs="宋体"/>
                <w:b/>
                <w:color w:val="000000"/>
                <w:kern w:val="0"/>
                <w:sz w:val="18"/>
                <w:szCs w:val="18"/>
              </w:rPr>
              <w:t>总计</w:t>
            </w:r>
          </w:p>
        </w:tc>
        <w:tc>
          <w:tcPr>
            <w:tcW w:w="36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 w:val="18"/>
                <w:szCs w:val="18"/>
              </w:rPr>
            </w:pPr>
            <w:r>
              <w:rPr>
                <w:rFonts w:ascii="宋体" w:hAnsi="宋体" w:cs="宋体"/>
                <w:color w:val="000000"/>
                <w:kern w:val="0"/>
                <w:sz w:val="18"/>
                <w:szCs w:val="18"/>
              </w:rPr>
              <w:t>56</w:t>
            </w: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tbl>
            <w:tblPr>
              <w:tblStyle w:val="12"/>
              <w:tblW w:w="8940" w:type="dxa"/>
              <w:tblInd w:w="0" w:type="dxa"/>
              <w:tblLayout w:type="fixed"/>
              <w:tblCellMar>
                <w:top w:w="0" w:type="dxa"/>
                <w:left w:w="0" w:type="dxa"/>
                <w:bottom w:w="0" w:type="dxa"/>
                <w:right w:w="0" w:type="dxa"/>
              </w:tblCellMar>
            </w:tblPr>
            <w:tblGrid>
              <w:gridCol w:w="1085"/>
            </w:tblGrid>
            <w:tr>
              <w:tblPrEx>
                <w:tblCellMar>
                  <w:top w:w="0" w:type="dxa"/>
                  <w:left w:w="0" w:type="dxa"/>
                  <w:bottom w:w="0" w:type="dxa"/>
                  <w:right w:w="0" w:type="dxa"/>
                </w:tblCellMar>
              </w:tblPrEx>
              <w:trPr>
                <w:trHeight w:val="120" w:hRule="atLeast"/>
              </w:trPr>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1737.39</w:t>
                  </w:r>
                </w:p>
              </w:tc>
            </w:tr>
          </w:tbl>
          <w:p>
            <w:pPr>
              <w:widowControl/>
              <w:spacing w:after="0" w:line="240" w:lineRule="atLeast"/>
              <w:jc w:val="right"/>
              <w:rPr>
                <w:rFonts w:ascii="宋体" w:hAnsi="Times New Roman" w:eastAsia="宋体" w:cs="宋体"/>
                <w:color w:val="000000"/>
                <w:kern w:val="2"/>
                <w:sz w:val="18"/>
                <w:szCs w:val="18"/>
                <w:lang w:val="en-US" w:eastAsia="zh-CN" w:bidi="ar-SA"/>
              </w:rPr>
            </w:pPr>
          </w:p>
        </w:tc>
        <w:tc>
          <w:tcPr>
            <w:tcW w:w="876" w:type="dxa"/>
            <w:gridSpan w:val="2"/>
            <w:tcBorders>
              <w:top w:val="nil"/>
              <w:left w:val="nil"/>
              <w:bottom w:val="single" w:color="000000" w:sz="4" w:space="0"/>
              <w:right w:val="single" w:color="000000" w:sz="4" w:space="0"/>
            </w:tcBorders>
            <w:noWrap/>
            <w:tcMar>
              <w:top w:w="15" w:type="dxa"/>
              <w:left w:w="15" w:type="dxa"/>
              <w:right w:w="15" w:type="dxa"/>
            </w:tcMar>
            <w:vAlign w:val="center"/>
          </w:tcPr>
          <w:tbl>
            <w:tblPr>
              <w:tblStyle w:val="12"/>
              <w:tblW w:w="2170" w:type="dxa"/>
              <w:tblInd w:w="0" w:type="dxa"/>
              <w:tblLayout w:type="fixed"/>
              <w:tblCellMar>
                <w:top w:w="0" w:type="dxa"/>
                <w:left w:w="0" w:type="dxa"/>
                <w:bottom w:w="0" w:type="dxa"/>
                <w:right w:w="0" w:type="dxa"/>
              </w:tblCellMar>
            </w:tblPr>
            <w:tblGrid>
              <w:gridCol w:w="1085"/>
              <w:gridCol w:w="1085"/>
            </w:tblGrid>
            <w:tr>
              <w:tblPrEx>
                <w:tblCellMar>
                  <w:top w:w="0" w:type="dxa"/>
                  <w:left w:w="0" w:type="dxa"/>
                  <w:bottom w:w="0" w:type="dxa"/>
                  <w:right w:w="0" w:type="dxa"/>
                </w:tblCellMar>
              </w:tblPrEx>
              <w:trPr>
                <w:trHeight w:val="120" w:hRule="atLeast"/>
              </w:trPr>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eastAsia="宋体" w:cs="宋体"/>
                      <w:color w:val="000000"/>
                      <w:sz w:val="18"/>
                      <w:szCs w:val="18"/>
                      <w:lang w:val="en-US" w:eastAsia="zh-CN"/>
                    </w:rPr>
                  </w:pPr>
                  <w:r>
                    <w:rPr>
                      <w:rFonts w:hint="eastAsia" w:ascii="宋体" w:cs="宋体"/>
                      <w:color w:val="000000"/>
                      <w:sz w:val="18"/>
                      <w:szCs w:val="18"/>
                      <w:lang w:val="en-US" w:eastAsia="zh-CN"/>
                    </w:rPr>
                    <w:t>1737.39</w:t>
                  </w:r>
                </w:p>
              </w:tc>
              <w:tc>
                <w:tcPr>
                  <w:tcW w:w="1085"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hint="eastAsia" w:ascii="宋体" w:cs="宋体"/>
                      <w:color w:val="000000"/>
                      <w:sz w:val="18"/>
                      <w:szCs w:val="18"/>
                      <w:lang w:val="en-US" w:eastAsia="zh-CN"/>
                    </w:rPr>
                  </w:pPr>
                </w:p>
              </w:tc>
            </w:tr>
          </w:tbl>
          <w:p>
            <w:pPr>
              <w:widowControl/>
              <w:spacing w:after="0" w:line="240" w:lineRule="atLeast"/>
              <w:jc w:val="right"/>
              <w:rPr>
                <w:rFonts w:ascii="宋体" w:hAnsi="Times New Roman" w:eastAsia="宋体" w:cs="宋体"/>
                <w:color w:val="000000"/>
                <w:kern w:val="2"/>
                <w:sz w:val="18"/>
                <w:szCs w:val="18"/>
                <w:lang w:val="en-US" w:eastAsia="zh-CN" w:bidi="ar-SA"/>
              </w:rPr>
            </w:pPr>
          </w:p>
        </w:tc>
        <w:tc>
          <w:tcPr>
            <w:tcW w:w="876"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 w:val="18"/>
                <w:szCs w:val="18"/>
              </w:rPr>
            </w:pPr>
          </w:p>
        </w:tc>
      </w:tr>
      <w:tr>
        <w:tblPrEx>
          <w:tblCellMar>
            <w:top w:w="0" w:type="dxa"/>
            <w:left w:w="0" w:type="dxa"/>
            <w:bottom w:w="0" w:type="dxa"/>
            <w:right w:w="0" w:type="dxa"/>
          </w:tblCellMar>
        </w:tblPrEx>
        <w:trPr>
          <w:trHeight w:val="155" w:hRule="atLeast"/>
        </w:trPr>
        <w:tc>
          <w:tcPr>
            <w:tcW w:w="8940" w:type="dxa"/>
            <w:gridSpan w:val="12"/>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 w:val="18"/>
                <w:szCs w:val="18"/>
              </w:rPr>
            </w:pPr>
            <w:r>
              <w:rPr>
                <w:rFonts w:hint="eastAsia" w:ascii="宋体" w:hAnsi="宋体" w:cs="宋体"/>
                <w:color w:val="000000"/>
                <w:kern w:val="0"/>
                <w:sz w:val="18"/>
                <w:szCs w:val="18"/>
              </w:rPr>
              <w:t>注：本表反映部门本年度一般公共预算财政拨款和政府性基金预算财政拨款的总收支和年末结转结余情况。</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317"/>
        <w:gridCol w:w="319"/>
        <w:gridCol w:w="357"/>
        <w:gridCol w:w="2109"/>
        <w:gridCol w:w="745"/>
        <w:gridCol w:w="1174"/>
        <w:gridCol w:w="718"/>
        <w:gridCol w:w="1201"/>
        <w:gridCol w:w="1920"/>
      </w:tblGrid>
      <w:tr>
        <w:tblPrEx>
          <w:tblCellMar>
            <w:top w:w="0" w:type="dxa"/>
            <w:left w:w="0" w:type="dxa"/>
            <w:bottom w:w="0" w:type="dxa"/>
            <w:right w:w="0" w:type="dxa"/>
          </w:tblCellMar>
        </w:tblPrEx>
        <w:trPr>
          <w:trHeight w:val="600" w:hRule="atLeast"/>
        </w:trPr>
        <w:tc>
          <w:tcPr>
            <w:tcW w:w="8860" w:type="dxa"/>
            <w:gridSpan w:val="9"/>
            <w:tcBorders>
              <w:top w:val="nil"/>
              <w:left w:val="nil"/>
              <w:bottom w:val="nil"/>
              <w:right w:val="nil"/>
            </w:tcBorders>
            <w:noWrap/>
            <w:tcMar>
              <w:top w:w="15" w:type="dxa"/>
              <w:left w:w="15" w:type="dxa"/>
              <w:right w:w="15" w:type="dxa"/>
            </w:tcMar>
            <w:vAlign w:val="bottom"/>
          </w:tcPr>
          <w:p>
            <w:pPr>
              <w:widowControl/>
              <w:spacing w:after="0" w:line="240" w:lineRule="auto"/>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w:t>
            </w:r>
            <w:r>
              <mc:AlternateContent>
                <mc:Choice Requires="wpg">
                  <w:drawing>
                    <wp:anchor distT="0" distB="0" distL="114300" distR="114300" simplePos="0" relativeHeight="25167872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44" name="组合 46"/>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2" name="矩形 13"/>
                              <wps:cNvSpPr/>
                              <wps:spPr>
                                <a:xfrm>
                                  <a:off x="4551" y="52615"/>
                                  <a:ext cx="8546" cy="1175"/>
                                </a:xfrm>
                                <a:prstGeom prst="rect">
                                  <a:avLst/>
                                </a:prstGeom>
                                <a:solidFill>
                                  <a:srgbClr val="96DA9D"/>
                                </a:solidFill>
                                <a:ln w="25400">
                                  <a:noFill/>
                                </a:ln>
                              </wps:spPr>
                              <wps:bodyPr anchor="ctr" anchorCtr="0" upright="1"/>
                            </wps:wsp>
                            <wps:wsp>
                              <wps:cNvPr id="4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6" o:spid="_x0000_s1026" o:spt="203" style="position:absolute;left:0pt;margin-left:-80.9pt;margin-top:-81.1pt;height:41.2pt;width:243.2pt;mso-position-vertical-relative:page;z-index:25167872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ByaUsrcAAAADQEAAA8A&#10;AAAAAAAAAQAgAAAAIgAAAGRycy9kb3ducmV2LnhtbFBLAQIUABQAAAAIAIdO4kDzGYBcvgIAACYH&#10;AAAOAAAAAAAAAAEAIAAAACsBAABkcnMvZTJvRG9jLnhtbFBLBQYAAAAABgAGAFkBAABbBgAAAAA=&#10;">
                      <o:lock v:ext="edit" aspectratio="f"/>
                      <v:rect id="矩形 13" o:spid="_x0000_s1026" o:spt="1" style="position:absolute;left:4551;top:52615;height:1175;width:8546;v-text-anchor:middle;" fillcolor="#96DA9D" filled="t" stroked="f" coordsize="21600,21600" o:gfxdata="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HSo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tIl+rL8AAADb&#10;AAAADwAAAGRycy9kb3ducmV2LnhtbEWP3WrCQBSE7wu+w3IKvasbWwkS3YQilLaCFG2KeHfIHrPB&#10;7NmQ3fr39K5Q8HKYmW+YWXGyrThQ7xvHCkbDBARx5XTDtYLy5/15AsIHZI2tY1JwJg9FPniYYabd&#10;kVd0WIdaRAj7DBWYELpMSl8ZsuiHriOO3s71FkOUfS11j8cIt618SZJUWmw4LhjsaG6o2q//rILv&#10;0mw/cEEbu1zsf8u3BtPLV6rU0+MomYIIdAr38H/7UysYv8LtS/wBMr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SJfqy/&#10;AAAA2wAAAA8AAAAAAAAAAQAgAAAAIgAAAGRycy9kb3ducmV2LnhtbFBLAQIUABQAAAAIAIdO4kAz&#10;LwWeOwAAADkAAAAQAAAAAAAAAAEAIAAAAA4BAABkcnMvc2hhcGV4bWwueG1sUEsFBgAAAAAGAAYA&#10;WwEAALg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4" w:hRule="atLeast"/>
        </w:trPr>
        <w:tc>
          <w:tcPr>
            <w:tcW w:w="31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57"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2109"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745" w:type="dxa"/>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05</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34" w:hRule="atLeast"/>
        </w:trPr>
        <w:tc>
          <w:tcPr>
            <w:tcW w:w="3847" w:type="dxa"/>
            <w:gridSpan w:val="5"/>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保定市满城区人民法院</w:t>
            </w:r>
          </w:p>
        </w:tc>
        <w:tc>
          <w:tcPr>
            <w:tcW w:w="1892" w:type="dxa"/>
            <w:gridSpan w:val="2"/>
            <w:tcBorders>
              <w:top w:val="nil"/>
              <w:left w:val="nil"/>
              <w:bottom w:val="nil"/>
              <w:right w:val="nil"/>
            </w:tcBorders>
            <w:noWrap/>
            <w:tcMar>
              <w:top w:w="15" w:type="dxa"/>
              <w:left w:w="15" w:type="dxa"/>
              <w:right w:w="15" w:type="dxa"/>
            </w:tcMar>
            <w:vAlign w:val="center"/>
          </w:tcPr>
          <w:p>
            <w:pPr>
              <w:widowControl/>
              <w:spacing w:after="0" w:line="240" w:lineRule="atLeast"/>
              <w:rPr>
                <w:rFonts w:ascii="Arial" w:hAnsi="Arial" w:cs="Arial"/>
                <w:color w:val="000000"/>
                <w:szCs w:val="21"/>
              </w:rPr>
            </w:pPr>
          </w:p>
        </w:tc>
        <w:tc>
          <w:tcPr>
            <w:tcW w:w="3121" w:type="dxa"/>
            <w:gridSpan w:val="2"/>
            <w:tcBorders>
              <w:top w:val="nil"/>
              <w:left w:val="nil"/>
              <w:bottom w:val="nil"/>
              <w:right w:val="nil"/>
            </w:tcBorders>
            <w:noWrap/>
            <w:tcMar>
              <w:top w:w="15" w:type="dxa"/>
              <w:left w:w="15" w:type="dxa"/>
              <w:right w:w="15" w:type="dxa"/>
            </w:tcMar>
            <w:vAlign w:val="center"/>
          </w:tcPr>
          <w:p>
            <w:pPr>
              <w:widowControl/>
              <w:spacing w:after="0" w:line="240" w:lineRule="atLeast"/>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51" w:hRule="atLeast"/>
        </w:trPr>
        <w:tc>
          <w:tcPr>
            <w:tcW w:w="3102" w:type="dxa"/>
            <w:gridSpan w:val="4"/>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w:t>
            </w:r>
          </w:p>
        </w:tc>
        <w:tc>
          <w:tcPr>
            <w:tcW w:w="5758" w:type="dxa"/>
            <w:gridSpan w:val="5"/>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本年支出</w:t>
            </w:r>
          </w:p>
        </w:tc>
      </w:tr>
      <w:tr>
        <w:tblPrEx>
          <w:tblCellMar>
            <w:top w:w="0" w:type="dxa"/>
            <w:left w:w="0" w:type="dxa"/>
            <w:bottom w:w="0" w:type="dxa"/>
            <w:right w:w="0" w:type="dxa"/>
          </w:tblCellMar>
        </w:tblPrEx>
        <w:trPr>
          <w:trHeight w:val="334" w:hRule="atLeast"/>
        </w:trPr>
        <w:tc>
          <w:tcPr>
            <w:tcW w:w="993"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2109"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科目名称</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小计</w:t>
            </w:r>
          </w:p>
        </w:tc>
        <w:tc>
          <w:tcPr>
            <w:tcW w:w="1919" w:type="dxa"/>
            <w:gridSpan w:val="2"/>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基本支出</w:t>
            </w:r>
          </w:p>
        </w:tc>
        <w:tc>
          <w:tcPr>
            <w:tcW w:w="192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项目支出</w:t>
            </w:r>
          </w:p>
        </w:tc>
      </w:tr>
      <w:tr>
        <w:tblPrEx>
          <w:tblCellMar>
            <w:top w:w="0" w:type="dxa"/>
            <w:left w:w="0" w:type="dxa"/>
            <w:bottom w:w="0" w:type="dxa"/>
            <w:right w:w="0" w:type="dxa"/>
          </w:tblCellMar>
        </w:tblPrEx>
        <w:trPr>
          <w:trHeight w:val="334"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93"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2109"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19" w:type="dxa"/>
            <w:gridSpan w:val="2"/>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c>
          <w:tcPr>
            <w:tcW w:w="192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tLeast"/>
              <w:jc w:val="center"/>
              <w:rPr>
                <w:rFonts w:ascii="宋体" w:cs="宋体"/>
                <w:color w:val="000000"/>
                <w:szCs w:val="21"/>
              </w:rPr>
            </w:pP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hint="eastAsia" w:ascii="宋体" w:hAnsi="宋体" w:cs="宋体"/>
                <w:color w:val="000000"/>
                <w:kern w:val="0"/>
                <w:szCs w:val="21"/>
              </w:rPr>
              <w:t>栏次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1</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2</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cs="宋体"/>
                <w:color w:val="000000"/>
                <w:szCs w:val="21"/>
              </w:rPr>
            </w:pPr>
            <w:r>
              <w:rPr>
                <w:rFonts w:ascii="宋体" w:hAnsi="宋体" w:cs="宋体"/>
                <w:color w:val="000000"/>
                <w:kern w:val="0"/>
                <w:szCs w:val="21"/>
              </w:rPr>
              <w:t>3</w:t>
            </w:r>
          </w:p>
        </w:tc>
      </w:tr>
      <w:tr>
        <w:tblPrEx>
          <w:tblCellMar>
            <w:top w:w="0" w:type="dxa"/>
            <w:left w:w="0" w:type="dxa"/>
            <w:bottom w:w="0" w:type="dxa"/>
            <w:right w:w="0" w:type="dxa"/>
          </w:tblCellMar>
        </w:tblPrEx>
        <w:trPr>
          <w:trHeight w:val="368" w:hRule="atLeast"/>
        </w:trPr>
        <w:tc>
          <w:tcPr>
            <w:tcW w:w="3102"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center"/>
              <w:textAlignment w:val="center"/>
              <w:rPr>
                <w:rFonts w:ascii="宋体" w:hAnsi="Times New Roman" w:eastAsia="宋体" w:cs="宋体"/>
                <w:color w:val="000000"/>
                <w:kern w:val="2"/>
                <w:sz w:val="21"/>
                <w:szCs w:val="21"/>
                <w:lang w:val="en-US" w:eastAsia="zh-CN" w:bidi="ar-SA"/>
              </w:rPr>
            </w:pPr>
            <w:r>
              <w:rPr>
                <w:rFonts w:hint="eastAsia" w:ascii="宋体" w:hAnsi="宋体" w:cs="宋体"/>
                <w:color w:val="000000"/>
                <w:kern w:val="0"/>
                <w:szCs w:val="21"/>
              </w:rPr>
              <w:t>合计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b/>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公共安全支出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20405</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法院</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1737</w:t>
            </w:r>
            <w:r>
              <w:rPr>
                <w:rFonts w:hint="eastAsia" w:ascii="宋体" w:cs="宋体"/>
                <w:color w:val="000000"/>
                <w:szCs w:val="21"/>
                <w:lang w:val="en-US" w:eastAsia="zh-CN"/>
              </w:rPr>
              <w:t>.</w:t>
            </w:r>
            <w:r>
              <w:rPr>
                <w:rFonts w:hint="eastAsia" w:ascii="宋体" w:cs="宋体"/>
                <w:color w:val="000000"/>
                <w:szCs w:val="21"/>
              </w:rPr>
              <w:t>39</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2040501</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 xml:space="preserve">  行政运行</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976</w:t>
            </w:r>
            <w:r>
              <w:rPr>
                <w:rFonts w:hint="eastAsia" w:ascii="宋体" w:cs="宋体"/>
                <w:color w:val="000000"/>
                <w:szCs w:val="21"/>
                <w:lang w:val="en-US" w:eastAsia="zh-CN"/>
              </w:rPr>
              <w:t>.</w:t>
            </w:r>
            <w:r>
              <w:rPr>
                <w:rFonts w:hint="eastAsia" w:ascii="宋体" w:cs="宋体"/>
                <w:color w:val="000000"/>
                <w:szCs w:val="21"/>
              </w:rPr>
              <w:t>40</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976</w:t>
            </w:r>
            <w:r>
              <w:rPr>
                <w:rFonts w:hint="eastAsia" w:ascii="宋体" w:cs="宋体"/>
                <w:color w:val="000000"/>
                <w:szCs w:val="21"/>
                <w:lang w:val="en-US" w:eastAsia="zh-CN"/>
              </w:rPr>
              <w:t>.</w:t>
            </w:r>
            <w:r>
              <w:rPr>
                <w:rFonts w:hint="eastAsia" w:ascii="宋体" w:cs="宋体"/>
                <w:color w:val="000000"/>
                <w:szCs w:val="21"/>
              </w:rPr>
              <w:t>40</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2040502</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一般行政管理事务</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169</w:t>
            </w:r>
            <w:r>
              <w:rPr>
                <w:rFonts w:hint="eastAsia" w:ascii="宋体" w:cs="宋体"/>
                <w:color w:val="000000"/>
                <w:szCs w:val="21"/>
                <w:lang w:val="en-US" w:eastAsia="zh-CN"/>
              </w:rPr>
              <w:t>.</w:t>
            </w:r>
            <w:r>
              <w:rPr>
                <w:rFonts w:hint="eastAsia" w:ascii="宋体" w:cs="宋体"/>
                <w:color w:val="000000"/>
                <w:szCs w:val="21"/>
              </w:rPr>
              <w:t>6</w:t>
            </w:r>
            <w:r>
              <w:rPr>
                <w:rFonts w:hint="eastAsia" w:ascii="宋体" w:cs="宋体"/>
                <w:color w:val="000000"/>
                <w:szCs w:val="21"/>
                <w:lang w:val="en-US" w:eastAsia="zh-CN"/>
              </w:rPr>
              <w:t>4</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169</w:t>
            </w:r>
            <w:r>
              <w:rPr>
                <w:rFonts w:hint="eastAsia" w:ascii="宋体" w:cs="宋体"/>
                <w:color w:val="000000"/>
                <w:szCs w:val="21"/>
                <w:lang w:val="en-US" w:eastAsia="zh-CN"/>
              </w:rPr>
              <w:t>.</w:t>
            </w:r>
            <w:r>
              <w:rPr>
                <w:rFonts w:hint="eastAsia" w:ascii="宋体" w:cs="宋体"/>
                <w:color w:val="000000"/>
                <w:szCs w:val="21"/>
              </w:rPr>
              <w:t>6</w:t>
            </w:r>
            <w:r>
              <w:rPr>
                <w:rFonts w:hint="eastAsia" w:ascii="宋体" w:cs="宋体"/>
                <w:color w:val="000000"/>
                <w:szCs w:val="21"/>
                <w:lang w:val="en-US" w:eastAsia="zh-CN"/>
              </w:rPr>
              <w:t>4</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2040504</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ind w:firstLine="217" w:firstLineChars="0"/>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 xml:space="preserve"> 案件审判</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176</w:t>
            </w:r>
            <w:r>
              <w:rPr>
                <w:rFonts w:hint="eastAsia" w:ascii="宋体" w:cs="宋体"/>
                <w:color w:val="000000"/>
                <w:szCs w:val="21"/>
                <w:lang w:val="en-US" w:eastAsia="zh-CN"/>
              </w:rPr>
              <w:t>.</w:t>
            </w:r>
            <w:r>
              <w:rPr>
                <w:rFonts w:hint="eastAsia" w:ascii="宋体" w:cs="宋体"/>
                <w:color w:val="000000"/>
                <w:szCs w:val="21"/>
              </w:rPr>
              <w:t>58</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hAnsi="Times New Roman" w:eastAsia="宋体" w:cs="宋体"/>
                <w:color w:val="000000"/>
                <w:kern w:val="2"/>
                <w:sz w:val="21"/>
                <w:szCs w:val="21"/>
                <w:lang w:val="en-US" w:eastAsia="zh-CN" w:bidi="ar-SA"/>
              </w:rPr>
            </w:pPr>
            <w:r>
              <w:rPr>
                <w:rFonts w:hint="eastAsia" w:ascii="宋体" w:cs="宋体"/>
                <w:color w:val="000000"/>
                <w:szCs w:val="21"/>
              </w:rPr>
              <w:t>176</w:t>
            </w:r>
            <w:r>
              <w:rPr>
                <w:rFonts w:hint="eastAsia" w:ascii="宋体" w:cs="宋体"/>
                <w:color w:val="000000"/>
                <w:szCs w:val="21"/>
                <w:lang w:val="en-US" w:eastAsia="zh-CN"/>
              </w:rPr>
              <w:t>.</w:t>
            </w:r>
            <w:r>
              <w:rPr>
                <w:rFonts w:hint="eastAsia" w:ascii="宋体" w:cs="宋体"/>
                <w:color w:val="000000"/>
                <w:szCs w:val="21"/>
              </w:rPr>
              <w:t>58</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hint="default" w:ascii="宋体" w:hAnsi="Times New Roman" w:eastAsia="宋体" w:cs="宋体"/>
                <w:color w:val="000000"/>
                <w:kern w:val="2"/>
                <w:sz w:val="21"/>
                <w:szCs w:val="21"/>
                <w:lang w:val="en-US" w:eastAsia="zh-CN" w:bidi="ar-SA"/>
              </w:rPr>
            </w:pPr>
            <w:r>
              <w:rPr>
                <w:rFonts w:hint="eastAsia" w:ascii="宋体" w:cs="宋体"/>
                <w:color w:val="000000"/>
                <w:szCs w:val="21"/>
                <w:lang w:val="en-US" w:eastAsia="zh-CN"/>
              </w:rPr>
              <w:t>2040599</w:t>
            </w: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hAnsi="Times New Roman" w:eastAsia="宋体" w:cs="宋体"/>
                <w:color w:val="000000"/>
                <w:kern w:val="2"/>
                <w:sz w:val="21"/>
                <w:szCs w:val="21"/>
                <w:lang w:val="en-US" w:eastAsia="zh-CN" w:bidi="ar-SA"/>
              </w:rPr>
            </w:pPr>
            <w:r>
              <w:rPr>
                <w:rFonts w:hint="eastAsia" w:ascii="宋体" w:cs="宋体"/>
                <w:color w:val="000000"/>
                <w:szCs w:val="21"/>
              </w:rPr>
              <w:t xml:space="preserve"> 其他法院支出</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415"/>
              </w:tabs>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eastAsia="zh-CN"/>
              </w:rPr>
              <w:tab/>
            </w:r>
            <w:r>
              <w:rPr>
                <w:rFonts w:hint="eastAsia" w:ascii="宋体" w:cs="宋体"/>
                <w:color w:val="000000"/>
                <w:szCs w:val="21"/>
                <w:lang w:eastAsia="zh-CN"/>
              </w:rPr>
              <w:t>414</w:t>
            </w:r>
            <w:r>
              <w:rPr>
                <w:rFonts w:hint="eastAsia" w:ascii="宋体" w:cs="宋体"/>
                <w:color w:val="000000"/>
                <w:szCs w:val="21"/>
                <w:lang w:val="en-US" w:eastAsia="zh-CN"/>
              </w:rPr>
              <w:t>.</w:t>
            </w:r>
            <w:r>
              <w:rPr>
                <w:rFonts w:hint="eastAsia" w:ascii="宋体" w:cs="宋体"/>
                <w:color w:val="000000"/>
                <w:szCs w:val="21"/>
                <w:lang w:eastAsia="zh-CN"/>
              </w:rPr>
              <w:t>77</w:t>
            </w: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tabs>
                <w:tab w:val="left" w:pos="415"/>
              </w:tabs>
              <w:spacing w:after="0" w:line="240" w:lineRule="atLeast"/>
              <w:jc w:val="left"/>
              <w:rPr>
                <w:rFonts w:hint="eastAsia" w:ascii="宋体" w:hAnsi="Times New Roman" w:eastAsia="宋体" w:cs="宋体"/>
                <w:color w:val="000000"/>
                <w:kern w:val="2"/>
                <w:sz w:val="21"/>
                <w:szCs w:val="21"/>
                <w:lang w:val="en-US" w:eastAsia="zh-CN" w:bidi="ar-SA"/>
              </w:rPr>
            </w:pPr>
            <w:r>
              <w:rPr>
                <w:rFonts w:hint="eastAsia" w:ascii="宋体" w:cs="宋体"/>
                <w:color w:val="000000"/>
                <w:szCs w:val="21"/>
                <w:lang w:eastAsia="zh-CN"/>
              </w:rPr>
              <w:tab/>
            </w:r>
            <w:r>
              <w:rPr>
                <w:rFonts w:hint="eastAsia" w:ascii="宋体" w:cs="宋体"/>
                <w:color w:val="000000"/>
                <w:szCs w:val="21"/>
                <w:lang w:eastAsia="zh-CN"/>
              </w:rPr>
              <w:t>414</w:t>
            </w:r>
            <w:r>
              <w:rPr>
                <w:rFonts w:hint="eastAsia" w:ascii="宋体" w:cs="宋体"/>
                <w:color w:val="000000"/>
                <w:szCs w:val="21"/>
                <w:lang w:val="en-US" w:eastAsia="zh-CN"/>
              </w:rPr>
              <w:t>.</w:t>
            </w:r>
            <w:r>
              <w:rPr>
                <w:rFonts w:hint="eastAsia" w:ascii="宋体" w:cs="宋体"/>
                <w:color w:val="000000"/>
                <w:szCs w:val="21"/>
                <w:lang w:eastAsia="zh-CN"/>
              </w:rPr>
              <w:t>7</w:t>
            </w: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993"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210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lef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19"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c>
          <w:tcPr>
            <w:tcW w:w="192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tLeast"/>
              <w:jc w:val="right"/>
              <w:rPr>
                <w:rFonts w:ascii="宋体" w:cs="宋体"/>
                <w:color w:val="000000"/>
                <w:szCs w:val="21"/>
              </w:rPr>
            </w:pPr>
          </w:p>
        </w:tc>
      </w:tr>
      <w:tr>
        <w:tblPrEx>
          <w:tblCellMar>
            <w:top w:w="0" w:type="dxa"/>
            <w:left w:w="0" w:type="dxa"/>
            <w:bottom w:w="0" w:type="dxa"/>
            <w:right w:w="0" w:type="dxa"/>
          </w:tblCellMar>
        </w:tblPrEx>
        <w:trPr>
          <w:trHeight w:val="368" w:hRule="atLeast"/>
        </w:trPr>
        <w:tc>
          <w:tcPr>
            <w:tcW w:w="8860" w:type="dxa"/>
            <w:gridSpan w:val="9"/>
            <w:tcBorders>
              <w:top w:val="nil"/>
              <w:left w:val="nil"/>
              <w:bottom w:val="nil"/>
              <w:right w:val="nil"/>
            </w:tcBorders>
            <w:noWrap/>
            <w:tcMar>
              <w:top w:w="15" w:type="dxa"/>
              <w:left w:w="15" w:type="dxa"/>
              <w:right w:w="15" w:type="dxa"/>
            </w:tcMar>
            <w:vAlign w:val="center"/>
          </w:tcPr>
          <w:p>
            <w:pPr>
              <w:widowControl/>
              <w:spacing w:after="0" w:line="240" w:lineRule="atLeast"/>
              <w:jc w:val="left"/>
              <w:textAlignment w:val="center"/>
              <w:rPr>
                <w:rFonts w:ascii="宋体" w:cs="宋体"/>
                <w:color w:val="000000"/>
                <w:szCs w:val="21"/>
              </w:rPr>
            </w:pPr>
            <w:r>
              <w:rPr>
                <w:rFonts w:hint="eastAsia" w:ascii="宋体" w:hAnsi="宋体" w:cs="宋体"/>
                <w:color w:val="000000"/>
                <w:kern w:val="0"/>
                <w:szCs w:val="21"/>
              </w:rPr>
              <w:t>注：本表反映部门本年度一般公共预算财政拨款收入及支出情况。</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9180" w:type="dxa"/>
        <w:jc w:val="center"/>
        <w:tblLayout w:type="fixed"/>
        <w:tblCellMar>
          <w:top w:w="0" w:type="dxa"/>
          <w:left w:w="0" w:type="dxa"/>
          <w:bottom w:w="0" w:type="dxa"/>
          <w:right w:w="0" w:type="dxa"/>
        </w:tblCellMar>
      </w:tblPr>
      <w:tblGrid>
        <w:gridCol w:w="558"/>
        <w:gridCol w:w="1597"/>
        <w:gridCol w:w="840"/>
        <w:gridCol w:w="477"/>
        <w:gridCol w:w="1763"/>
        <w:gridCol w:w="740"/>
        <w:gridCol w:w="560"/>
        <w:gridCol w:w="1788"/>
        <w:gridCol w:w="857"/>
      </w:tblGrid>
      <w:tr>
        <w:tblPrEx>
          <w:tblCellMar>
            <w:top w:w="0" w:type="dxa"/>
            <w:left w:w="0" w:type="dxa"/>
            <w:bottom w:w="0" w:type="dxa"/>
            <w:right w:w="0" w:type="dxa"/>
          </w:tblCellMar>
        </w:tblPrEx>
        <w:trPr>
          <w:trHeight w:val="526" w:hRule="atLeast"/>
          <w:jc w:val="center"/>
        </w:trPr>
        <w:tc>
          <w:tcPr>
            <w:tcW w:w="9180" w:type="dxa"/>
            <w:gridSpan w:val="9"/>
            <w:tcBorders>
              <w:top w:val="nil"/>
              <w:left w:val="nil"/>
              <w:bottom w:val="nil"/>
              <w:right w:val="nil"/>
            </w:tcBorders>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一般公共预算财政拨款基本支出决算表</w:t>
            </w:r>
          </w:p>
        </w:tc>
      </w:tr>
      <w:tr>
        <w:tblPrEx>
          <w:tblCellMar>
            <w:top w:w="0" w:type="dxa"/>
            <w:left w:w="0" w:type="dxa"/>
            <w:bottom w:w="0" w:type="dxa"/>
            <w:right w:w="0" w:type="dxa"/>
          </w:tblCellMar>
        </w:tblPrEx>
        <w:trPr>
          <w:trHeight w:val="269" w:hRule="atLeast"/>
          <w:jc w:val="center"/>
        </w:trPr>
        <w:tc>
          <w:tcPr>
            <w:tcW w:w="559"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598"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8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477"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762" w:type="dxa"/>
            <w:tcBorders>
              <w:top w:val="nil"/>
              <w:left w:val="nil"/>
              <w:bottom w:val="nil"/>
              <w:right w:val="nil"/>
            </w:tcBorders>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06</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269" w:hRule="atLeast"/>
          <w:jc w:val="center"/>
        </w:trPr>
        <w:tc>
          <w:tcPr>
            <w:tcW w:w="5236" w:type="dxa"/>
            <w:gridSpan w:val="5"/>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部门：</w:t>
            </w:r>
            <w:r>
              <w:rPr>
                <w:rFonts w:hint="eastAsia" w:ascii="宋体" w:hAnsi="宋体" w:cs="宋体"/>
                <w:color w:val="000000"/>
                <w:kern w:val="0"/>
                <w:sz w:val="20"/>
                <w:szCs w:val="20"/>
                <w:lang w:val="en-US" w:eastAsia="zh-CN"/>
              </w:rPr>
              <w:t>保定市满城区人民法院</w:t>
            </w:r>
            <w:r>
              <mc:AlternateContent>
                <mc:Choice Requires="wpg">
                  <w:drawing>
                    <wp:anchor distT="0" distB="0" distL="114300" distR="114300" simplePos="0" relativeHeight="251679744" behindDoc="0" locked="1" layoutInCell="1" allowOverlap="1">
                      <wp:simplePos x="0" y="0"/>
                      <wp:positionH relativeFrom="column">
                        <wp:posOffset>-930275</wp:posOffset>
                      </wp:positionH>
                      <wp:positionV relativeFrom="page">
                        <wp:posOffset>-1643380</wp:posOffset>
                      </wp:positionV>
                      <wp:extent cx="3088640" cy="523240"/>
                      <wp:effectExtent l="3175" t="0" r="13335" b="29210"/>
                      <wp:wrapNone/>
                      <wp:docPr id="47" name="组合 49"/>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5" name="矩形 13"/>
                              <wps:cNvSpPr/>
                              <wps:spPr>
                                <a:xfrm>
                                  <a:off x="4551" y="52615"/>
                                  <a:ext cx="8546" cy="1175"/>
                                </a:xfrm>
                                <a:prstGeom prst="rect">
                                  <a:avLst/>
                                </a:prstGeom>
                                <a:solidFill>
                                  <a:srgbClr val="96DA9D"/>
                                </a:solidFill>
                                <a:ln w="25400">
                                  <a:noFill/>
                                </a:ln>
                              </wps:spPr>
                              <wps:bodyPr anchor="ctr" anchorCtr="0" upright="1"/>
                            </wps:wsp>
                            <wps:wsp>
                              <wps:cNvPr id="4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49" o:spid="_x0000_s1026" o:spt="203" style="position:absolute;left:0pt;margin-left:-73.25pt;margin-top:-129.4pt;height:41.2pt;width:243.2pt;mso-position-vertical-relative:page;z-index:251679744;mso-width-relative:page;mso-height-relative:page;" coordorigin="4551,52615" coordsize="8546,1398" o:gfxdata="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">
                      <o:lock v:ext="edit" aspectratio="f"/>
                      <v:rect id="矩形 13" o:spid="_x0000_s1026" o:spt="1" style="position:absolute;left:4551;top:52615;height:1175;width:8546;v-text-anchor:middle;" fillcolor="#96DA9D" filled="t" stroked="f" coordsize="21600,21600" o:gfxdata="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qhK1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P7dNL4AAADb&#10;AAAADwAAAGRycy9kb3ducmV2LnhtbEWPzWrDMBCE74G8g9hAbrGcUkxxo5gSCG0DISR1Kb0t1tYy&#10;tlbGUvP39FGg0OMwM98wi+JsO3GkwTeOFcyTFARx5XTDtYLyYz17AuEDssbOMSm4kIdiOR4tMNfu&#10;xHs6HkItIoR9jgpMCH0upa8MWfSJ64mj9+MGiyHKoZZ6wFOE204+pGkmLTYcFwz2tDJUtYdfq2BX&#10;mu9X3NCX3W7az/Klwez6nik1nczTZxCBzuE//Nd+0woeM7h/iT9ALm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P7dNL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p>
        </w:tc>
        <w:tc>
          <w:tcPr>
            <w:tcW w:w="74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60"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644" w:type="dxa"/>
            <w:gridSpan w:val="2"/>
            <w:tcBorders>
              <w:top w:val="nil"/>
              <w:left w:val="nil"/>
              <w:bottom w:val="nil"/>
              <w:right w:val="nil"/>
            </w:tcBorders>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277" w:hRule="atLeast"/>
          <w:jc w:val="center"/>
        </w:trPr>
        <w:tc>
          <w:tcPr>
            <w:tcW w:w="2997" w:type="dxa"/>
            <w:gridSpan w:val="3"/>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人员经费</w:t>
            </w:r>
          </w:p>
        </w:tc>
        <w:tc>
          <w:tcPr>
            <w:tcW w:w="6183" w:type="dxa"/>
            <w:gridSpan w:val="6"/>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公用经费</w:t>
            </w:r>
          </w:p>
        </w:tc>
      </w:tr>
      <w:tr>
        <w:tblPrEx>
          <w:tblCellMar>
            <w:top w:w="0" w:type="dxa"/>
            <w:left w:w="0" w:type="dxa"/>
            <w:bottom w:w="0" w:type="dxa"/>
            <w:right w:w="0" w:type="dxa"/>
          </w:tblCellMar>
        </w:tblPrEx>
        <w:trPr>
          <w:trHeight w:val="312" w:hRule="atLeast"/>
          <w:jc w:val="center"/>
        </w:trPr>
        <w:tc>
          <w:tcPr>
            <w:tcW w:w="559" w:type="dxa"/>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59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40"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47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63"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73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c>
          <w:tcPr>
            <w:tcW w:w="559"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科目编码</w:t>
            </w:r>
          </w:p>
        </w:tc>
        <w:tc>
          <w:tcPr>
            <w:tcW w:w="1788"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857"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312" w:hRule="atLeast"/>
          <w:jc w:val="center"/>
        </w:trPr>
        <w:tc>
          <w:tcPr>
            <w:tcW w:w="559" w:type="dxa"/>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59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40"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47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63"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73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559"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1788"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c>
          <w:tcPr>
            <w:tcW w:w="857"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spacing w:after="0" w:line="240" w:lineRule="auto"/>
              <w:jc w:val="center"/>
              <w:rPr>
                <w:rFonts w:ascii="宋体" w:cs="宋体"/>
                <w:color w:val="000000"/>
                <w:sz w:val="22"/>
                <w:szCs w:val="22"/>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941.60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741.40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债务利息及费用支出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基本工资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317.61</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29.44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国内债务付息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津贴补贴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249.48</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印刷费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9.84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30702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国外债务付息</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92.00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咨询费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伙食补助费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手续费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房屋建筑物购建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绩效工资</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123.75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水费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办公设备购置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机关事业单位基本养老保险缴费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81.59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23.50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专用设备购置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职业年金缴费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邮电费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556325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31005</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基础设施建设</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职工基本医疗保险缴费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28.95</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取暖费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0.50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大型修缮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公务员医疗补助缴费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0.59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30209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物业管理费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8.68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信息网络及软件购置更新</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其他社会保障缴费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2.39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差旅费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31.78</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物资储备</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住房公积金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45.24</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30212</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因公出国（境）费用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31009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土地补偿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30114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30213</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维修（护）费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38.64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31010</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安置补助</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30199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其他工资福利支出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租赁费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3.74</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地上附着物和青苗补偿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对个人和家庭的补助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54.39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会议费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r>
              <w:rPr>
                <w:rFonts w:hint="eastAsia" w:ascii="宋体" w:cs="宋体"/>
                <w:color w:val="000000"/>
                <w:sz w:val="16"/>
                <w:szCs w:val="16"/>
                <w:lang w:val="en-US" w:eastAsia="zh-CN"/>
              </w:rPr>
              <w:t>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拆迁补偿</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30301</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离休费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培训费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3.67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31013</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30302</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退休费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12.92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公务接待费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0.040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31019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其他交通工具购置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30303</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退职（役）费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30218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专用材料费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12.46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31021</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文物和陈列品购置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30304</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抚恤金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18.72</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30224</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被装购置费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281.67</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31022</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无形资产购置</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30305</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生活补助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20.29</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30225</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专用燃料费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31099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其他资本性支出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30306</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救济费</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30226</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劳务费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133.05</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30307</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医疗费补助</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30227</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委托业务费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39906</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赠与</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30308</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助学金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30228</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工会经费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39907</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国家赔偿费用支出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0"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30309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奖励金</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0.96</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30229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福利费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39908</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对民间非营利组织和群众性自治组织补贴</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30310</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个人农业生产补贴</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eastAsia" w:ascii="宋体" w:eastAsia="宋体" w:cs="宋体"/>
                <w:color w:val="000000"/>
                <w:sz w:val="16"/>
                <w:szCs w:val="16"/>
                <w:lang w:val="en-US" w:eastAsia="zh-CN"/>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30231</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公务用车运行维护费</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44.30</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39999</w:t>
            </w: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其他支出</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30399</w:t>
            </w: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其他对个人和家庭的补助支出</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1.50</w:t>
            </w: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30239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其他交通费用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36.06</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238"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30240</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税金及附加费用</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425" w:hRule="atLeast"/>
          <w:jc w:val="center"/>
        </w:trPr>
        <w:tc>
          <w:tcPr>
            <w:tcW w:w="559"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59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16"/>
                <w:szCs w:val="16"/>
              </w:rPr>
            </w:pPr>
          </w:p>
        </w:tc>
        <w:tc>
          <w:tcPr>
            <w:tcW w:w="47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30299</w:t>
            </w:r>
          </w:p>
        </w:tc>
        <w:tc>
          <w:tcPr>
            <w:tcW w:w="1763"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textAlignment w:val="center"/>
              <w:rPr>
                <w:rFonts w:ascii="宋体" w:cs="宋体"/>
                <w:color w:val="000000"/>
                <w:sz w:val="16"/>
                <w:szCs w:val="16"/>
              </w:rPr>
            </w:pPr>
            <w:r>
              <w:rPr>
                <w:rFonts w:ascii="宋体" w:hAnsi="宋体" w:cs="宋体"/>
                <w:color w:val="000000"/>
                <w:kern w:val="0"/>
                <w:sz w:val="16"/>
                <w:szCs w:val="16"/>
              </w:rPr>
              <w:t xml:space="preserve">  </w:t>
            </w:r>
            <w:r>
              <w:rPr>
                <w:rFonts w:hint="eastAsia" w:ascii="宋体" w:hAnsi="宋体" w:cs="宋体"/>
                <w:color w:val="000000"/>
                <w:kern w:val="0"/>
                <w:sz w:val="16"/>
                <w:szCs w:val="16"/>
              </w:rPr>
              <w:t>其他商品和服务支出</w:t>
            </w:r>
          </w:p>
        </w:tc>
        <w:tc>
          <w:tcPr>
            <w:tcW w:w="73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23.43</w:t>
            </w:r>
          </w:p>
        </w:tc>
        <w:tc>
          <w:tcPr>
            <w:tcW w:w="55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1788" w:type="dxa"/>
            <w:tcBorders>
              <w:top w:val="nil"/>
              <w:left w:val="nil"/>
              <w:bottom w:val="single" w:color="000000" w:sz="4" w:space="0"/>
              <w:right w:val="single" w:color="000000" w:sz="4" w:space="0"/>
            </w:tcBorders>
            <w:tcMar>
              <w:top w:w="15" w:type="dxa"/>
              <w:left w:w="15" w:type="dxa"/>
              <w:right w:w="15" w:type="dxa"/>
            </w:tcMar>
            <w:vAlign w:val="center"/>
          </w:tcPr>
          <w:p>
            <w:pPr>
              <w:widowControl/>
              <w:snapToGrid w:val="0"/>
              <w:spacing w:after="0" w:line="240" w:lineRule="auto"/>
              <w:jc w:val="left"/>
              <w:rPr>
                <w:rFonts w:ascii="宋体" w:cs="宋体"/>
                <w:color w:val="000000"/>
                <w:sz w:val="16"/>
                <w:szCs w:val="16"/>
              </w:rPr>
            </w:pP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ascii="宋体" w:cs="宋体"/>
                <w:color w:val="000000"/>
                <w:sz w:val="20"/>
                <w:szCs w:val="20"/>
              </w:rPr>
            </w:pPr>
          </w:p>
        </w:tc>
      </w:tr>
      <w:tr>
        <w:tblPrEx>
          <w:tblCellMar>
            <w:top w:w="0" w:type="dxa"/>
            <w:left w:w="0" w:type="dxa"/>
            <w:bottom w:w="0" w:type="dxa"/>
            <w:right w:w="0" w:type="dxa"/>
          </w:tblCellMar>
        </w:tblPrEx>
        <w:trPr>
          <w:trHeight w:val="317" w:hRule="atLeast"/>
          <w:jc w:val="center"/>
        </w:trPr>
        <w:tc>
          <w:tcPr>
            <w:tcW w:w="2157" w:type="dxa"/>
            <w:gridSpan w:val="2"/>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人员经费合计</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995.98</w:t>
            </w:r>
          </w:p>
        </w:tc>
        <w:tc>
          <w:tcPr>
            <w:tcW w:w="5326" w:type="dxa"/>
            <w:gridSpan w:val="5"/>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center"/>
              <w:textAlignment w:val="center"/>
              <w:rPr>
                <w:rFonts w:ascii="宋体" w:cs="宋体"/>
                <w:color w:val="000000"/>
                <w:sz w:val="16"/>
                <w:szCs w:val="16"/>
              </w:rPr>
            </w:pPr>
            <w:r>
              <w:rPr>
                <w:rFonts w:hint="eastAsia" w:ascii="宋体" w:hAnsi="宋体" w:cs="宋体"/>
                <w:color w:val="000000"/>
                <w:kern w:val="0"/>
                <w:sz w:val="16"/>
                <w:szCs w:val="16"/>
              </w:rPr>
              <w:t>公用经费合计</w:t>
            </w:r>
          </w:p>
        </w:tc>
        <w:tc>
          <w:tcPr>
            <w:tcW w:w="857" w:type="dxa"/>
            <w:tcBorders>
              <w:top w:val="nil"/>
              <w:left w:val="nil"/>
              <w:bottom w:val="single" w:color="000000" w:sz="4" w:space="0"/>
              <w:right w:val="single" w:color="000000" w:sz="4" w:space="0"/>
            </w:tcBorders>
            <w:noWrap/>
            <w:tcMar>
              <w:top w:w="15" w:type="dxa"/>
              <w:left w:w="15" w:type="dxa"/>
              <w:right w:w="15" w:type="dxa"/>
            </w:tcMar>
            <w:vAlign w:val="center"/>
          </w:tcPr>
          <w:p>
            <w:pPr>
              <w:widowControl/>
              <w:snapToGrid w:val="0"/>
              <w:spacing w:after="0" w:line="240" w:lineRule="auto"/>
              <w:jc w:val="right"/>
              <w:rPr>
                <w:rFonts w:hint="default" w:ascii="宋体" w:eastAsia="宋体" w:cs="宋体"/>
                <w:color w:val="000000"/>
                <w:sz w:val="16"/>
                <w:szCs w:val="16"/>
                <w:lang w:val="en-US" w:eastAsia="zh-CN"/>
              </w:rPr>
            </w:pPr>
            <w:r>
              <w:rPr>
                <w:rFonts w:hint="eastAsia" w:ascii="宋体" w:cs="宋体"/>
                <w:color w:val="000000"/>
                <w:sz w:val="16"/>
                <w:szCs w:val="16"/>
                <w:lang w:val="en-US" w:eastAsia="zh-CN"/>
              </w:rPr>
              <w:t>741.40</w:t>
            </w:r>
          </w:p>
        </w:tc>
      </w:tr>
      <w:tr>
        <w:tblPrEx>
          <w:tblCellMar>
            <w:top w:w="0" w:type="dxa"/>
            <w:left w:w="0" w:type="dxa"/>
            <w:bottom w:w="0" w:type="dxa"/>
            <w:right w:w="0" w:type="dxa"/>
          </w:tblCellMar>
        </w:tblPrEx>
        <w:trPr>
          <w:trHeight w:val="277" w:hRule="atLeast"/>
          <w:jc w:val="center"/>
        </w:trPr>
        <w:tc>
          <w:tcPr>
            <w:tcW w:w="9180" w:type="dxa"/>
            <w:gridSpan w:val="9"/>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注：本表反映部门本年度一般公共预算财政拨款基本支出明细情况。</w:t>
            </w:r>
            <w:r>
              <w:rPr>
                <w:rFonts w:ascii="宋体" w:hAnsi="宋体" w:cs="宋体"/>
                <w:color w:val="000000"/>
                <w:kern w:val="0"/>
                <w:sz w:val="20"/>
                <w:szCs w:val="20"/>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00" w:type="dxa"/>
        <w:jc w:val="center"/>
        <w:tblLayout w:type="fixed"/>
        <w:tblCellMar>
          <w:top w:w="0" w:type="dxa"/>
          <w:left w:w="0" w:type="dxa"/>
          <w:bottom w:w="0" w:type="dxa"/>
          <w:right w:w="0" w:type="dxa"/>
        </w:tblCellMar>
      </w:tblPr>
      <w:tblGrid>
        <w:gridCol w:w="1158"/>
        <w:gridCol w:w="1527"/>
        <w:gridCol w:w="1528"/>
        <w:gridCol w:w="1530"/>
        <w:gridCol w:w="1530"/>
        <w:gridCol w:w="1527"/>
      </w:tblGrid>
      <w:tr>
        <w:tblPrEx>
          <w:tblCellMar>
            <w:top w:w="0" w:type="dxa"/>
            <w:left w:w="0" w:type="dxa"/>
            <w:bottom w:w="0" w:type="dxa"/>
            <w:right w:w="0" w:type="dxa"/>
          </w:tblCellMar>
        </w:tblPrEx>
        <w:trPr>
          <w:trHeight w:val="584" w:hRule="atLeast"/>
          <w:jc w:val="center"/>
        </w:trPr>
        <w:tc>
          <w:tcPr>
            <w:tcW w:w="8800" w:type="dxa"/>
            <w:gridSpan w:val="6"/>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一般公共预算财政拨款“</w:t>
            </w:r>
            <w:r>
              <mc:AlternateContent>
                <mc:Choice Requires="wpg">
                  <w:drawing>
                    <wp:anchor distT="0" distB="0" distL="114300" distR="114300" simplePos="0" relativeHeight="251680768" behindDoc="0" locked="1" layoutInCell="1" allowOverlap="1">
                      <wp:simplePos x="0" y="0"/>
                      <wp:positionH relativeFrom="column">
                        <wp:posOffset>-1050925</wp:posOffset>
                      </wp:positionH>
                      <wp:positionV relativeFrom="page">
                        <wp:posOffset>-1029970</wp:posOffset>
                      </wp:positionV>
                      <wp:extent cx="3088640" cy="523240"/>
                      <wp:effectExtent l="3175" t="0" r="13335" b="29210"/>
                      <wp:wrapNone/>
                      <wp:docPr id="50" name="组合 52"/>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48" name="矩形 13"/>
                              <wps:cNvSpPr/>
                              <wps:spPr>
                                <a:xfrm>
                                  <a:off x="4551" y="52615"/>
                                  <a:ext cx="8546" cy="1175"/>
                                </a:xfrm>
                                <a:prstGeom prst="rect">
                                  <a:avLst/>
                                </a:prstGeom>
                                <a:solidFill>
                                  <a:srgbClr val="96DA9D"/>
                                </a:solidFill>
                                <a:ln w="25400">
                                  <a:noFill/>
                                </a:ln>
                              </wps:spPr>
                              <wps:bodyPr anchor="ctr" anchorCtr="0" upright="1"/>
                            </wps:wsp>
                            <wps:wsp>
                              <wps:cNvPr id="49"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2" o:spid="_x0000_s1026" o:spt="203" style="position:absolute;left:0pt;margin-left:-82.75pt;margin-top:-81.1pt;height:41.2pt;width:243.2pt;mso-position-vertical-relative:page;z-index:251680768;mso-width-relative:page;mso-height-relative:page;" coordorigin="4551,52615" coordsize="8546,1398" o:gfxdata="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HCebiNwAAAANAQAA&#10;DwAAAAAAAAABACAAAAAiAAAAZHJzL2Rvd25yZXYueG1sUEsBAhQAFAAAAAgAh07iQOkj29DAAgAA&#10;JgcAAA4AAAAAAAAAAQAgAAAAKw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BKnlSbgAAADb&#10;AAAADwAAAGRycy9kb3ducmV2LnhtbEVPTWsCMRC9C/6HMEJvOllppWyNHgqFnoRaPfQ2bMbN4may&#10;JHHd/vvmUPD4eN/b/eR7NXJMXRAD1UqDYmmC7aQ1cPr+WL6CSpnEUh+EDfxygv1uPttSbcNdvng8&#10;5laVEEk1GXA5DzViahx7SqswsBTuEqKnXGBs0Ua6l3Df41rrDXrqpDQ4GvjdcXM93rwBjBzRxekS&#10;f9J4w+qgzy/N1ZinRaXfQGWe8kP87/60Bp7L2P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BKnlSb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1WFJRr4AAADb&#10;AAAADwAAAGRycy9kb3ducmV2LnhtbEWP3WoCMRSE7wXfIZxC7zSrlEVXoxRBWgUp2i3i3WFz3Cxu&#10;TpZN/Gmf3hQEL4eZ+YaZzm+2FhdqfeVYwaCfgCAunK64VJB/L3sjED4ga6wdk4Jf8jCfdTtTzLS7&#10;8pYuu1CKCGGfoQITQpNJ6QtDFn3fNcTRO7rWYoiyLaVu8RrhtpbDJEmlxYrjgsGGFoaK0+5sFXzl&#10;5vCBa9rbzfr0k79XmP6tUqVeXwbJBESgW3iGH+1PreBtDP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WFJRr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三公”经费支出决算表</w:t>
            </w:r>
          </w:p>
        </w:tc>
      </w:tr>
      <w:tr>
        <w:tblPrEx>
          <w:tblCellMar>
            <w:top w:w="0" w:type="dxa"/>
            <w:left w:w="0" w:type="dxa"/>
            <w:bottom w:w="0" w:type="dxa"/>
            <w:right w:w="0" w:type="dxa"/>
          </w:tblCellMar>
        </w:tblPrEx>
        <w:trPr>
          <w:trHeight w:val="347" w:hRule="atLeast"/>
          <w:jc w:val="center"/>
        </w:trPr>
        <w:tc>
          <w:tcPr>
            <w:tcW w:w="115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8"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3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 w:val="20"/>
                <w:szCs w:val="20"/>
              </w:rPr>
            </w:pP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公开</w:t>
            </w:r>
            <w:r>
              <w:rPr>
                <w:rFonts w:ascii="宋体" w:hAnsi="宋体" w:cs="宋体"/>
                <w:color w:val="000000"/>
                <w:kern w:val="0"/>
                <w:sz w:val="20"/>
                <w:szCs w:val="20"/>
              </w:rPr>
              <w:t>07</w:t>
            </w:r>
            <w:r>
              <w:rPr>
                <w:rFonts w:hint="eastAsia" w:ascii="宋体" w:hAnsi="宋体" w:cs="宋体"/>
                <w:color w:val="000000"/>
                <w:kern w:val="0"/>
                <w:sz w:val="20"/>
                <w:szCs w:val="20"/>
              </w:rPr>
              <w:t>表</w:t>
            </w:r>
          </w:p>
        </w:tc>
      </w:tr>
      <w:tr>
        <w:tblPrEx>
          <w:tblCellMar>
            <w:top w:w="0" w:type="dxa"/>
            <w:left w:w="0" w:type="dxa"/>
            <w:bottom w:w="0" w:type="dxa"/>
            <w:right w:w="0" w:type="dxa"/>
          </w:tblCellMar>
        </w:tblPrEx>
        <w:trPr>
          <w:trHeight w:val="347" w:hRule="atLeast"/>
          <w:jc w:val="center"/>
        </w:trPr>
        <w:tc>
          <w:tcPr>
            <w:tcW w:w="7273" w:type="dxa"/>
            <w:gridSpan w:val="5"/>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 w:val="20"/>
                <w:szCs w:val="20"/>
              </w:rPr>
            </w:pPr>
            <w:r>
              <w:rPr>
                <w:rFonts w:hint="eastAsia" w:ascii="宋体" w:hAnsi="宋体" w:cs="宋体"/>
                <w:color w:val="000000"/>
                <w:kern w:val="0"/>
                <w:sz w:val="20"/>
                <w:szCs w:val="20"/>
              </w:rPr>
              <w:t>部门：</w:t>
            </w:r>
            <w:r>
              <w:rPr>
                <w:rFonts w:hint="eastAsia" w:ascii="宋体" w:hAnsi="宋体" w:cs="宋体"/>
                <w:color w:val="000000"/>
                <w:kern w:val="0"/>
                <w:sz w:val="20"/>
                <w:szCs w:val="20"/>
                <w:lang w:val="en-US" w:eastAsia="zh-CN"/>
              </w:rPr>
              <w:t>保定市满城区人民法院</w:t>
            </w:r>
          </w:p>
        </w:tc>
        <w:tc>
          <w:tcPr>
            <w:tcW w:w="1527"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 w:val="20"/>
                <w:szCs w:val="20"/>
              </w:rPr>
            </w:pPr>
            <w:r>
              <w:rPr>
                <w:rFonts w:hint="eastAsia" w:ascii="宋体" w:hAnsi="宋体" w:cs="宋体"/>
                <w:color w:val="000000"/>
                <w:kern w:val="0"/>
                <w:sz w:val="20"/>
                <w:szCs w:val="20"/>
              </w:rPr>
              <w:t>金额单位：万元</w:t>
            </w:r>
          </w:p>
        </w:tc>
      </w:tr>
      <w:tr>
        <w:tblPrEx>
          <w:tblCellMar>
            <w:top w:w="0" w:type="dxa"/>
            <w:left w:w="0" w:type="dxa"/>
            <w:bottom w:w="0" w:type="dxa"/>
            <w:right w:w="0" w:type="dxa"/>
          </w:tblCellMar>
        </w:tblPrEx>
        <w:trPr>
          <w:trHeight w:val="482"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预算数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86"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59.67</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57.00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57.00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2.66</w:t>
            </w:r>
          </w:p>
        </w:tc>
      </w:tr>
      <w:tr>
        <w:tblPrEx>
          <w:tblCellMar>
            <w:top w:w="0" w:type="dxa"/>
            <w:left w:w="0" w:type="dxa"/>
            <w:bottom w:w="0" w:type="dxa"/>
            <w:right w:w="0" w:type="dxa"/>
          </w:tblCellMar>
        </w:tblPrEx>
        <w:trPr>
          <w:trHeight w:val="498" w:hRule="atLeast"/>
          <w:jc w:val="center"/>
        </w:trPr>
        <w:tc>
          <w:tcPr>
            <w:tcW w:w="8800" w:type="dxa"/>
            <w:gridSpan w:val="6"/>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决算数</w:t>
            </w:r>
          </w:p>
        </w:tc>
      </w:tr>
      <w:tr>
        <w:tblPrEx>
          <w:tblCellMar>
            <w:top w:w="0" w:type="dxa"/>
            <w:left w:w="0" w:type="dxa"/>
            <w:bottom w:w="0" w:type="dxa"/>
            <w:right w:w="0" w:type="dxa"/>
          </w:tblCellMar>
        </w:tblPrEx>
        <w:trPr>
          <w:trHeight w:val="435" w:hRule="atLeast"/>
          <w:jc w:val="center"/>
        </w:trPr>
        <w:tc>
          <w:tcPr>
            <w:tcW w:w="1158"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因公出国（境）费</w:t>
            </w:r>
          </w:p>
        </w:tc>
        <w:tc>
          <w:tcPr>
            <w:tcW w:w="4588" w:type="dxa"/>
            <w:gridSpan w:val="3"/>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公务用车购置及运行费</w:t>
            </w:r>
          </w:p>
        </w:tc>
        <w:tc>
          <w:tcPr>
            <w:tcW w:w="1527"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公务接待费</w:t>
            </w:r>
          </w:p>
        </w:tc>
      </w:tr>
      <w:tr>
        <w:tblPrEx>
          <w:tblCellMar>
            <w:top w:w="0" w:type="dxa"/>
            <w:left w:w="0" w:type="dxa"/>
            <w:bottom w:w="0" w:type="dxa"/>
            <w:right w:w="0" w:type="dxa"/>
          </w:tblCellMar>
        </w:tblPrEx>
        <w:trPr>
          <w:trHeight w:val="672" w:hRule="atLeast"/>
          <w:jc w:val="center"/>
        </w:trPr>
        <w:tc>
          <w:tcPr>
            <w:tcW w:w="1158"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公务用车购置费</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公务用车运行费</w:t>
            </w:r>
          </w:p>
        </w:tc>
        <w:tc>
          <w:tcPr>
            <w:tcW w:w="1527"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7</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8</w:t>
            </w:r>
          </w:p>
        </w:tc>
        <w:tc>
          <w:tcPr>
            <w:tcW w:w="1528"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9</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10</w:t>
            </w:r>
          </w:p>
        </w:tc>
        <w:tc>
          <w:tcPr>
            <w:tcW w:w="15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11</w:t>
            </w:r>
          </w:p>
        </w:tc>
        <w:tc>
          <w:tcPr>
            <w:tcW w:w="152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12</w:t>
            </w:r>
          </w:p>
        </w:tc>
      </w:tr>
      <w:tr>
        <w:tblPrEx>
          <w:tblCellMar>
            <w:top w:w="0" w:type="dxa"/>
            <w:left w:w="0" w:type="dxa"/>
            <w:bottom w:w="0" w:type="dxa"/>
            <w:right w:w="0" w:type="dxa"/>
          </w:tblCellMar>
        </w:tblPrEx>
        <w:trPr>
          <w:trHeight w:val="435" w:hRule="atLeast"/>
          <w:jc w:val="center"/>
        </w:trPr>
        <w:tc>
          <w:tcPr>
            <w:tcW w:w="115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44.34</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28"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44.30</w:t>
            </w: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530"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44.30</w:t>
            </w:r>
          </w:p>
        </w:tc>
        <w:tc>
          <w:tcPr>
            <w:tcW w:w="1527" w:type="dxa"/>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hint="default" w:ascii="宋体" w:eastAsia="宋体" w:cs="宋体"/>
                <w:color w:val="000000"/>
                <w:szCs w:val="21"/>
                <w:lang w:val="en-US" w:eastAsia="zh-CN"/>
              </w:rPr>
            </w:pPr>
            <w:r>
              <w:rPr>
                <w:rFonts w:hint="eastAsia" w:ascii="宋体" w:cs="宋体"/>
                <w:color w:val="000000"/>
                <w:szCs w:val="21"/>
                <w:lang w:val="en-US" w:eastAsia="zh-CN"/>
              </w:rPr>
              <w:t>0.04</w:t>
            </w:r>
          </w:p>
        </w:tc>
      </w:tr>
      <w:tr>
        <w:tblPrEx>
          <w:tblCellMar>
            <w:top w:w="0" w:type="dxa"/>
            <w:left w:w="0" w:type="dxa"/>
            <w:bottom w:w="0" w:type="dxa"/>
            <w:right w:w="0" w:type="dxa"/>
          </w:tblCellMar>
        </w:tblPrEx>
        <w:trPr>
          <w:trHeight w:val="782" w:hRule="atLeast"/>
          <w:jc w:val="center"/>
        </w:trPr>
        <w:tc>
          <w:tcPr>
            <w:tcW w:w="8800" w:type="dxa"/>
            <w:gridSpan w:val="6"/>
            <w:tcBorders>
              <w:top w:val="nil"/>
              <w:left w:val="nil"/>
              <w:bottom w:val="nil"/>
              <w:right w:val="nil"/>
            </w:tcBorders>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注：本表反映部门本年度“三公”经费支出预决算情况。其中：预算数为“三公”经费年初预算数，决算数是包括当年一般公共预算财政拨款和以前年度结转资金安排的实际支出。</w:t>
            </w:r>
            <w:r>
              <w:rPr>
                <w:rFonts w:ascii="宋体" w:hAnsi="宋体" w:cs="宋体"/>
                <w:color w:val="000000"/>
                <w:kern w:val="0"/>
                <w:szCs w:val="21"/>
              </w:rPr>
              <w:t xml:space="preserve">           </w:t>
            </w:r>
          </w:p>
        </w:tc>
      </w:tr>
    </w:tbl>
    <w:p>
      <w:pPr>
        <w:widowControl/>
        <w:spacing w:after="0" w:line="560" w:lineRule="exact"/>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p>
    <w:tbl>
      <w:tblPr>
        <w:tblStyle w:val="12"/>
        <w:tblW w:w="8860" w:type="dxa"/>
        <w:tblInd w:w="0" w:type="dxa"/>
        <w:tblLayout w:type="fixed"/>
        <w:tblCellMar>
          <w:top w:w="0" w:type="dxa"/>
          <w:left w:w="0" w:type="dxa"/>
          <w:bottom w:w="0" w:type="dxa"/>
          <w:right w:w="0" w:type="dxa"/>
        </w:tblCellMar>
      </w:tblPr>
      <w:tblGrid>
        <w:gridCol w:w="296"/>
        <w:gridCol w:w="191"/>
        <w:gridCol w:w="479"/>
        <w:gridCol w:w="669"/>
        <w:gridCol w:w="376"/>
        <w:gridCol w:w="1166"/>
        <w:gridCol w:w="840"/>
        <w:gridCol w:w="1191"/>
        <w:gridCol w:w="1192"/>
        <w:gridCol w:w="1192"/>
        <w:gridCol w:w="1268"/>
      </w:tblGrid>
      <w:tr>
        <w:tblPrEx>
          <w:tblCellMar>
            <w:top w:w="0" w:type="dxa"/>
            <w:left w:w="0" w:type="dxa"/>
            <w:bottom w:w="0" w:type="dxa"/>
            <w:right w:w="0" w:type="dxa"/>
          </w:tblCellMar>
        </w:tblPrEx>
        <w:trPr>
          <w:trHeight w:val="707"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center"/>
              <w:textAlignment w:val="center"/>
              <w:rPr>
                <w:rFonts w:ascii="黑体" w:hAnsi="宋体" w:eastAsia="黑体" w:cs="黑体"/>
                <w:color w:val="000000"/>
                <w:sz w:val="36"/>
                <w:szCs w:val="36"/>
              </w:rPr>
            </w:pPr>
            <w:r>
              <w:rPr>
                <w:rFonts w:hint="eastAsia" w:ascii="黑体" w:hAnsi="宋体" w:eastAsia="黑体" w:cs="黑体"/>
                <w:color w:val="000000"/>
                <w:kern w:val="0"/>
                <w:sz w:val="36"/>
                <w:szCs w:val="36"/>
              </w:rPr>
              <w:t>政府性基金预算财政拨款</w:t>
            </w:r>
            <w:r>
              <mc:AlternateContent>
                <mc:Choice Requires="wpg">
                  <w:drawing>
                    <wp:anchor distT="0" distB="0" distL="114300" distR="114300" simplePos="0" relativeHeight="251681792"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3" name="组合 55"/>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1" name="矩形 13"/>
                              <wps:cNvSpPr/>
                              <wps:spPr>
                                <a:xfrm>
                                  <a:off x="4551" y="52615"/>
                                  <a:ext cx="8546" cy="1175"/>
                                </a:xfrm>
                                <a:prstGeom prst="rect">
                                  <a:avLst/>
                                </a:prstGeom>
                                <a:solidFill>
                                  <a:srgbClr val="96DA9D"/>
                                </a:solidFill>
                                <a:ln w="25400">
                                  <a:noFill/>
                                </a:ln>
                              </wps:spPr>
                              <wps:bodyPr anchor="ctr" anchorCtr="0" upright="1"/>
                            </wps:wsp>
                            <wps:wsp>
                              <wps:cNvPr id="5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5" o:spid="_x0000_s1026" o:spt="203" style="position:absolute;left:0pt;margin-left:-80.9pt;margin-top:-81.1pt;height:41.2pt;width:243.2pt;mso-position-vertical-relative:page;z-index:251681792;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B/RpoJ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EEraCboAAADb&#10;AAAADwAAAGRycy9kb3ducmV2LnhtbEWPQWsCMRSE70L/Q3iF3urLChZZjR4KhZ4KtfXg7bF5bhY3&#10;L0sS1/XfN0LB4zAz3zCb3eR7NXJMXRAD1VyDYmmC7aQ18Pvz8boClTKJpT4IG7hxgt32abah2oar&#10;fPO4z60qEEk1GXA5DzViahx7SvMwsBTvFKKnXGRs0Ua6FrjvcaH1G3rqpCw4GvjdcXPeX7wBjBzR&#10;xekUj2m8YPWlD8vmbMzLc6XXoDJP+RH+b39aA8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QStoJ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XhxN6r0AAADb&#10;AAAADwAAAGRycy9kb3ducmV2LnhtbEWPQWsCMRSE74L/ITyhN80qdJHVKCKIrSBSu0W8PTbPzeLm&#10;Zdmkav31piB4HGbmG2Y6v9laXKj1lWMFw0ECgrhwuuJSQf696o9B+ICssXZMCv7Iw3zW7Uwx0+7K&#10;X3TZh1JECPsMFZgQmkxKXxiy6AeuIY7eybUWQ5RtKXWL1wi3tRwlSSotVhwXDDa0NFSc979WwS43&#10;xzVu6GC3m/NPvqgwvX+mSr31hskERKBbeIWf7Q+t4H0E/1/iD5Cz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HE3q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36"/>
                <w:szCs w:val="36"/>
              </w:rPr>
              <w:t>收入支出决算表</w:t>
            </w:r>
          </w:p>
        </w:tc>
      </w:tr>
      <w:tr>
        <w:tblPrEx>
          <w:tblCellMar>
            <w:top w:w="0" w:type="dxa"/>
            <w:left w:w="0" w:type="dxa"/>
            <w:bottom w:w="0" w:type="dxa"/>
            <w:right w:w="0" w:type="dxa"/>
          </w:tblCellMar>
        </w:tblPrEx>
        <w:trPr>
          <w:trHeight w:val="315" w:hRule="atLeast"/>
        </w:trPr>
        <w:tc>
          <w:tcPr>
            <w:tcW w:w="296"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47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669"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542"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268"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08</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411" w:hRule="atLeast"/>
        </w:trPr>
        <w:tc>
          <w:tcPr>
            <w:tcW w:w="3177" w:type="dxa"/>
            <w:gridSpan w:val="6"/>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部门：</w:t>
            </w:r>
            <w:r>
              <w:rPr>
                <w:rFonts w:hint="eastAsia" w:ascii="宋体" w:hAnsi="宋体" w:cs="宋体"/>
                <w:color w:val="000000"/>
                <w:kern w:val="0"/>
                <w:sz w:val="20"/>
                <w:szCs w:val="20"/>
                <w:lang w:val="en-US" w:eastAsia="zh-CN"/>
              </w:rPr>
              <w:t>保定市满城区人民法院</w:t>
            </w:r>
          </w:p>
        </w:tc>
        <w:tc>
          <w:tcPr>
            <w:tcW w:w="840"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1"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1192" w:type="dxa"/>
            <w:tcBorders>
              <w:top w:val="nil"/>
              <w:left w:val="nil"/>
              <w:bottom w:val="nil"/>
              <w:right w:val="nil"/>
            </w:tcBorders>
            <w:noWrap/>
            <w:tcMar>
              <w:top w:w="15" w:type="dxa"/>
              <w:left w:w="15" w:type="dxa"/>
              <w:right w:w="15" w:type="dxa"/>
            </w:tcMar>
            <w:vAlign w:val="center"/>
          </w:tcPr>
          <w:p>
            <w:pPr>
              <w:widowControl/>
              <w:adjustRightInd w:val="0"/>
              <w:spacing w:after="0" w:line="240" w:lineRule="auto"/>
              <w:rPr>
                <w:rFonts w:ascii="Arial" w:hAnsi="Arial" w:cs="Arial"/>
                <w:color w:val="000000"/>
                <w:szCs w:val="21"/>
              </w:rPr>
            </w:pPr>
          </w:p>
        </w:tc>
        <w:tc>
          <w:tcPr>
            <w:tcW w:w="2460" w:type="dxa"/>
            <w:gridSpan w:val="2"/>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24" w:hRule="atLeast"/>
        </w:trPr>
        <w:tc>
          <w:tcPr>
            <w:tcW w:w="2011" w:type="dxa"/>
            <w:gridSpan w:val="5"/>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1166"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年初结转和结余</w:t>
            </w:r>
          </w:p>
        </w:tc>
        <w:tc>
          <w:tcPr>
            <w:tcW w:w="840"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本年收入</w:t>
            </w:r>
          </w:p>
        </w:tc>
        <w:tc>
          <w:tcPr>
            <w:tcW w:w="3575" w:type="dxa"/>
            <w:gridSpan w:val="3"/>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本年支出</w:t>
            </w:r>
          </w:p>
        </w:tc>
        <w:tc>
          <w:tcPr>
            <w:tcW w:w="1268" w:type="dxa"/>
            <w:vMerge w:val="restart"/>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年末结转和结余</w:t>
            </w:r>
          </w:p>
        </w:tc>
      </w:tr>
      <w:tr>
        <w:tblPrEx>
          <w:tblCellMar>
            <w:top w:w="0" w:type="dxa"/>
            <w:left w:w="0" w:type="dxa"/>
            <w:bottom w:w="0" w:type="dxa"/>
            <w:right w:w="0" w:type="dxa"/>
          </w:tblCellMar>
        </w:tblPrEx>
        <w:trPr>
          <w:trHeight w:val="324" w:hRule="atLeast"/>
        </w:trPr>
        <w:tc>
          <w:tcPr>
            <w:tcW w:w="966" w:type="dxa"/>
            <w:gridSpan w:val="3"/>
            <w:vMerge w:val="restart"/>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功能分类科目编码</w:t>
            </w:r>
          </w:p>
        </w:tc>
        <w:tc>
          <w:tcPr>
            <w:tcW w:w="1045" w:type="dxa"/>
            <w:gridSpan w:val="2"/>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科目名称</w:t>
            </w: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小计</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基本支出</w:t>
            </w:r>
          </w:p>
        </w:tc>
        <w:tc>
          <w:tcPr>
            <w:tcW w:w="1192" w:type="dxa"/>
            <w:vMerge w:val="restart"/>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项目支出</w:t>
            </w: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12" w:hRule="atLeast"/>
        </w:trPr>
        <w:tc>
          <w:tcPr>
            <w:tcW w:w="966" w:type="dxa"/>
            <w:gridSpan w:val="3"/>
            <w:vMerge w:val="continue"/>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045" w:type="dxa"/>
            <w:gridSpan w:val="2"/>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66"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840"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1"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192" w:type="dxa"/>
            <w:vMerge w:val="continue"/>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c>
          <w:tcPr>
            <w:tcW w:w="1268" w:type="dxa"/>
            <w:vMerge w:val="continue"/>
            <w:tcBorders>
              <w:top w:val="single" w:color="000000" w:sz="4" w:space="0"/>
              <w:left w:val="nil"/>
              <w:bottom w:val="single" w:color="000000" w:sz="4" w:space="0"/>
              <w:right w:val="single" w:color="000000" w:sz="4" w:space="0"/>
            </w:tcBorders>
            <w:tcMar>
              <w:top w:w="15" w:type="dxa"/>
              <w:left w:w="15" w:type="dxa"/>
              <w:right w:w="15" w:type="dxa"/>
            </w:tcMar>
            <w:vAlign w:val="center"/>
          </w:tcPr>
          <w:p>
            <w:pPr>
              <w:widowControl/>
              <w:adjustRightIn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24" w:hRule="atLeast"/>
        </w:trPr>
        <w:tc>
          <w:tcPr>
            <w:tcW w:w="2011" w:type="dxa"/>
            <w:gridSpan w:val="5"/>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b/>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966" w:type="dxa"/>
            <w:gridSpan w:val="3"/>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045"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left"/>
              <w:rPr>
                <w:rFonts w:ascii="宋体" w:cs="宋体"/>
                <w:color w:val="000000"/>
                <w:szCs w:val="21"/>
              </w:rPr>
            </w:pPr>
          </w:p>
        </w:tc>
        <w:tc>
          <w:tcPr>
            <w:tcW w:w="116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840"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1"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192"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c>
          <w:tcPr>
            <w:tcW w:w="1268"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24" w:hRule="atLeast"/>
        </w:trPr>
        <w:tc>
          <w:tcPr>
            <w:tcW w:w="8860" w:type="dxa"/>
            <w:gridSpan w:val="11"/>
            <w:tcBorders>
              <w:top w:val="nil"/>
              <w:left w:val="nil"/>
              <w:bottom w:val="nil"/>
              <w:right w:val="nil"/>
            </w:tcBorders>
            <w:noWrap/>
            <w:tcMar>
              <w:top w:w="15" w:type="dxa"/>
              <w:left w:w="15" w:type="dxa"/>
              <w:right w:w="15" w:type="dxa"/>
            </w:tcMar>
            <w:vAlign w:val="center"/>
          </w:tcPr>
          <w:p>
            <w:pPr>
              <w:widowControl/>
              <w:adjustRightIn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注：本表反映部门本年度政府性基金预算财政拨款收入、支出及结转和结余情况。</w:t>
            </w:r>
            <w:r>
              <w:rPr>
                <w:rFonts w:ascii="宋体" w:hAnsi="宋体" w:cs="宋体"/>
                <w:color w:val="000000"/>
                <w:kern w:val="0"/>
                <w:szCs w:val="21"/>
              </w:rPr>
              <w:t xml:space="preserve">         </w:t>
            </w:r>
          </w:p>
        </w:tc>
      </w:tr>
    </w:tbl>
    <w:p>
      <w:pPr>
        <w:widowControl/>
        <w:spacing w:after="0" w:line="560" w:lineRule="exact"/>
        <w:jc w:val="left"/>
        <w:rPr>
          <w:rFonts w:hint="default" w:ascii="仿宋_GB2312" w:hAnsi="宋体" w:eastAsia="仿宋_GB2312"/>
          <w:b/>
          <w:sz w:val="28"/>
          <w:szCs w:val="28"/>
          <w:highlight w:val="none"/>
          <w:lang w:val="en-US" w:eastAsia="zh-CN"/>
        </w:rPr>
        <w:sectPr>
          <w:pgSz w:w="11906" w:h="16838"/>
          <w:pgMar w:top="2098" w:right="1474" w:bottom="1984" w:left="1588" w:header="851" w:footer="992" w:gutter="0"/>
          <w:cols w:space="0" w:num="1"/>
          <w:docGrid w:type="lines" w:linePitch="312" w:charSpace="0"/>
        </w:sectPr>
      </w:pPr>
      <w:r>
        <w:rPr>
          <w:rFonts w:hint="eastAsia" w:ascii="仿宋_GB2312" w:hAnsi="宋体" w:eastAsia="仿宋_GB2312"/>
          <w:b/>
          <w:sz w:val="28"/>
          <w:szCs w:val="28"/>
          <w:highlight w:val="none"/>
          <w:lang w:val="en-US" w:eastAsia="zh-CN"/>
        </w:rPr>
        <w:t>部门本年度无政府性基金预算。按要求空表列示</w:t>
      </w:r>
    </w:p>
    <w:tbl>
      <w:tblPr>
        <w:tblStyle w:val="12"/>
        <w:tblW w:w="8800" w:type="dxa"/>
        <w:tblInd w:w="0" w:type="dxa"/>
        <w:tblLayout w:type="fixed"/>
        <w:tblCellMar>
          <w:top w:w="0" w:type="dxa"/>
          <w:left w:w="0" w:type="dxa"/>
          <w:bottom w:w="0" w:type="dxa"/>
          <w:right w:w="0" w:type="dxa"/>
        </w:tblCellMar>
      </w:tblPr>
      <w:tblGrid>
        <w:gridCol w:w="442"/>
        <w:gridCol w:w="208"/>
        <w:gridCol w:w="504"/>
        <w:gridCol w:w="274"/>
        <w:gridCol w:w="894"/>
        <w:gridCol w:w="783"/>
        <w:gridCol w:w="252"/>
        <w:gridCol w:w="1646"/>
        <w:gridCol w:w="359"/>
        <w:gridCol w:w="1539"/>
        <w:gridCol w:w="1899"/>
      </w:tblGrid>
      <w:tr>
        <w:tblPrEx>
          <w:tblCellMar>
            <w:top w:w="0" w:type="dxa"/>
            <w:left w:w="0" w:type="dxa"/>
            <w:bottom w:w="0" w:type="dxa"/>
            <w:right w:w="0" w:type="dxa"/>
          </w:tblCellMar>
        </w:tblPrEx>
        <w:trPr>
          <w:trHeight w:val="656" w:hRule="atLeast"/>
        </w:trPr>
        <w:tc>
          <w:tcPr>
            <w:tcW w:w="8800" w:type="dxa"/>
            <w:gridSpan w:val="11"/>
            <w:tcBorders>
              <w:top w:val="nil"/>
              <w:left w:val="nil"/>
              <w:bottom w:val="nil"/>
              <w:right w:val="nil"/>
            </w:tcBorders>
            <w:noWrap/>
            <w:tcMar>
              <w:top w:w="15" w:type="dxa"/>
              <w:left w:w="15" w:type="dxa"/>
              <w:right w:w="15" w:type="dxa"/>
            </w:tcMar>
            <w:vAlign w:val="center"/>
          </w:tcPr>
          <w:p>
            <w:pPr>
              <w:widowControl/>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国有资本经营预算财政拨</w:t>
            </w:r>
            <w:r>
              <mc:AlternateContent>
                <mc:Choice Requires="wpg">
                  <w:drawing>
                    <wp:anchor distT="0" distB="0" distL="114300" distR="114300" simplePos="0" relativeHeight="251682816"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6" name="组合 58"/>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4" name="矩形 13"/>
                              <wps:cNvSpPr/>
                              <wps:spPr>
                                <a:xfrm>
                                  <a:off x="4551" y="52615"/>
                                  <a:ext cx="8546" cy="1175"/>
                                </a:xfrm>
                                <a:prstGeom prst="rect">
                                  <a:avLst/>
                                </a:prstGeom>
                                <a:solidFill>
                                  <a:srgbClr val="96DA9D"/>
                                </a:solidFill>
                                <a:ln w="25400">
                                  <a:noFill/>
                                </a:ln>
                              </wps:spPr>
                              <wps:bodyPr anchor="ctr" anchorCtr="0" upright="1"/>
                            </wps:wsp>
                            <wps:wsp>
                              <wps:cNvPr id="5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58" o:spid="_x0000_s1026" o:spt="203" style="position:absolute;left:0pt;margin-left:-80.9pt;margin-top:-81.1pt;height:41.2pt;width:243.2pt;mso-position-vertical-relative:page;z-index:251682816;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ByaUsrcAAAADQEA&#10;AA8AAAAAAAAAAQAgAAAAIgAAAGRycy9kb3ducmV2LnhtbFBLAQIUABQAAAAIAIdO4kCbM7tuwQIA&#10;ACYHAAAOAAAAAAAAAAEAIAAAACs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AD15kbsAAADb&#10;AAAADwAAAGRycy9kb3ducmV2LnhtbEWPQWsCMRSE74L/ITyhN33ZUousRg9CoadCbXvw9tg8N4ub&#10;lyWJ6/bfN4VCj8PMfMPsDpPv1cgxdUEMVCsNiqUJtpPWwOfHy3IDKmUSS30QNvDNCQ77+WxHtQ13&#10;eefxlFtVIJJqMuByHmrE1Dj2lFZhYCneJURPucjYoo10L3Df46PWz+ipk7LgaOCj4+Z6unkDGDmi&#10;i9MlntN4w+pNf62bqzEPi0pvQWWe8n/4r/1qDayf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D15k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0fXVnr0AAADb&#10;AAAADwAAAGRycy9kb3ducmV2LnhtbEWP3WoCMRSE74W+QzgF7zSr4CJbo5RCqQoi1ZXi3WFz3Cxu&#10;TpZN/H16UxC8HGbmG2Yyu9panKn1lWMFg34CgrhwuuJSQb797o1B+ICssXZMCm7kYTZ960ww0+7C&#10;v3TehFJECPsMFZgQmkxKXxiy6PuuIY7ewbUWQ5RtKXWLlwi3tRwmSSotVhwXDDb0Zag4bk5WwTo3&#10;+x9c0p9dLY+7/LPC9L5Ileq+D5IPEIGu4RV+tudawWgE/1/iD5D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9dWe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款支出决算表</w:t>
            </w:r>
          </w:p>
        </w:tc>
      </w:tr>
      <w:tr>
        <w:tblPrEx>
          <w:tblCellMar>
            <w:top w:w="0" w:type="dxa"/>
            <w:left w:w="0" w:type="dxa"/>
            <w:bottom w:w="0" w:type="dxa"/>
            <w:right w:w="0" w:type="dxa"/>
          </w:tblCellMar>
        </w:tblPrEx>
        <w:trPr>
          <w:trHeight w:val="335" w:hRule="atLeast"/>
        </w:trPr>
        <w:tc>
          <w:tcPr>
            <w:tcW w:w="442"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8"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504" w:type="dxa"/>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168"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103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公开</w:t>
            </w:r>
            <w:r>
              <w:rPr>
                <w:rFonts w:ascii="宋体" w:hAnsi="宋体" w:cs="宋体"/>
                <w:color w:val="000000"/>
                <w:kern w:val="0"/>
                <w:sz w:val="22"/>
                <w:szCs w:val="22"/>
              </w:rPr>
              <w:t>09</w:t>
            </w:r>
            <w:r>
              <w:rPr>
                <w:rFonts w:hint="eastAsia" w:ascii="宋体" w:hAnsi="宋体" w:cs="宋体"/>
                <w:color w:val="000000"/>
                <w:kern w:val="0"/>
                <w:sz w:val="22"/>
                <w:szCs w:val="22"/>
              </w:rPr>
              <w:t>表</w:t>
            </w:r>
          </w:p>
        </w:tc>
      </w:tr>
      <w:tr>
        <w:tblPrEx>
          <w:tblCellMar>
            <w:top w:w="0" w:type="dxa"/>
            <w:left w:w="0" w:type="dxa"/>
            <w:bottom w:w="0" w:type="dxa"/>
            <w:right w:w="0" w:type="dxa"/>
          </w:tblCellMar>
        </w:tblPrEx>
        <w:trPr>
          <w:trHeight w:val="335" w:hRule="atLeast"/>
        </w:trPr>
        <w:tc>
          <w:tcPr>
            <w:tcW w:w="3357" w:type="dxa"/>
            <w:gridSpan w:val="7"/>
            <w:tcBorders>
              <w:top w:val="nil"/>
              <w:left w:val="nil"/>
              <w:bottom w:val="nil"/>
              <w:right w:val="nil"/>
            </w:tcBorders>
            <w:noWrap/>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编制单位：</w:t>
            </w:r>
            <w:r>
              <w:rPr>
                <w:rFonts w:hint="eastAsia" w:ascii="宋体" w:hAnsi="宋体" w:cs="宋体"/>
                <w:color w:val="000000"/>
                <w:kern w:val="0"/>
                <w:sz w:val="20"/>
                <w:szCs w:val="20"/>
                <w:lang w:val="en-US" w:eastAsia="zh-CN"/>
              </w:rPr>
              <w:t>保定市满城区人民法院</w:t>
            </w:r>
          </w:p>
        </w:tc>
        <w:tc>
          <w:tcPr>
            <w:tcW w:w="2005" w:type="dxa"/>
            <w:gridSpan w:val="2"/>
            <w:tcBorders>
              <w:top w:val="nil"/>
              <w:left w:val="nil"/>
              <w:bottom w:val="nil"/>
              <w:right w:val="nil"/>
            </w:tcBorders>
            <w:noWrap/>
            <w:tcMar>
              <w:top w:w="15" w:type="dxa"/>
              <w:left w:w="15" w:type="dxa"/>
              <w:right w:w="15" w:type="dxa"/>
            </w:tcMar>
            <w:vAlign w:val="center"/>
          </w:tcPr>
          <w:p>
            <w:pPr>
              <w:widowControl/>
              <w:spacing w:after="0" w:line="240" w:lineRule="auto"/>
              <w:rPr>
                <w:rFonts w:ascii="Arial" w:hAnsi="Arial" w:cs="Arial"/>
                <w:color w:val="000000"/>
                <w:sz w:val="22"/>
                <w:szCs w:val="22"/>
              </w:rPr>
            </w:pPr>
          </w:p>
        </w:tc>
        <w:tc>
          <w:tcPr>
            <w:tcW w:w="3438" w:type="dxa"/>
            <w:gridSpan w:val="2"/>
            <w:tcBorders>
              <w:top w:val="nil"/>
              <w:left w:val="nil"/>
              <w:bottom w:val="nil"/>
              <w:right w:val="nil"/>
            </w:tcBorders>
            <w:noWrap/>
            <w:tcMar>
              <w:top w:w="15" w:type="dxa"/>
              <w:left w:w="15" w:type="dxa"/>
              <w:right w:w="15" w:type="dxa"/>
            </w:tcMar>
            <w:vAlign w:val="center"/>
          </w:tcPr>
          <w:p>
            <w:pPr>
              <w:widowControl/>
              <w:spacing w:after="0" w:line="240" w:lineRule="auto"/>
              <w:jc w:val="right"/>
              <w:textAlignment w:val="center"/>
              <w:rPr>
                <w:rFonts w:ascii="宋体" w:cs="宋体"/>
                <w:color w:val="000000"/>
                <w:sz w:val="22"/>
                <w:szCs w:val="22"/>
              </w:rPr>
            </w:pPr>
            <w:r>
              <w:rPr>
                <w:rFonts w:hint="eastAsia" w:ascii="宋体" w:hAnsi="宋体" w:cs="宋体"/>
                <w:color w:val="000000"/>
                <w:kern w:val="0"/>
                <w:sz w:val="22"/>
                <w:szCs w:val="22"/>
              </w:rPr>
              <w:t>金额单位：万元</w:t>
            </w:r>
          </w:p>
        </w:tc>
      </w:tr>
      <w:tr>
        <w:tblPrEx>
          <w:tblCellMar>
            <w:top w:w="0" w:type="dxa"/>
            <w:left w:w="0" w:type="dxa"/>
            <w:bottom w:w="0" w:type="dxa"/>
            <w:right w:w="0" w:type="dxa"/>
          </w:tblCellMar>
        </w:tblPrEx>
        <w:trPr>
          <w:trHeight w:val="358" w:hRule="atLeast"/>
        </w:trPr>
        <w:tc>
          <w:tcPr>
            <w:tcW w:w="3105" w:type="dxa"/>
            <w:gridSpan w:val="6"/>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w:t>
            </w:r>
          </w:p>
        </w:tc>
        <w:tc>
          <w:tcPr>
            <w:tcW w:w="5695" w:type="dxa"/>
            <w:gridSpan w:val="5"/>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本年支出</w:t>
            </w:r>
          </w:p>
        </w:tc>
      </w:tr>
      <w:tr>
        <w:tblPrEx>
          <w:tblCellMar>
            <w:top w:w="0" w:type="dxa"/>
            <w:left w:w="0" w:type="dxa"/>
            <w:bottom w:w="0" w:type="dxa"/>
            <w:right w:w="0" w:type="dxa"/>
          </w:tblCellMar>
        </w:tblPrEx>
        <w:trPr>
          <w:trHeight w:val="826" w:hRule="atLeast"/>
        </w:trPr>
        <w:tc>
          <w:tcPr>
            <w:tcW w:w="1428" w:type="dxa"/>
            <w:gridSpan w:val="4"/>
            <w:tcBorders>
              <w:top w:val="nil"/>
              <w:left w:val="single" w:color="000000" w:sz="4" w:space="0"/>
              <w:bottom w:val="single" w:color="000000" w:sz="4" w:space="0"/>
              <w:right w:val="single" w:color="000000" w:sz="4" w:space="0"/>
            </w:tcBorders>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功能分类科目编码</w:t>
            </w: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科目名称</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小计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基本支出</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项目支出</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栏次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1</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2</w:t>
            </w: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ascii="宋体" w:hAnsi="宋体" w:cs="宋体"/>
                <w:color w:val="000000"/>
                <w:kern w:val="0"/>
                <w:sz w:val="22"/>
                <w:szCs w:val="22"/>
              </w:rPr>
              <w:t>3</w:t>
            </w:r>
          </w:p>
        </w:tc>
      </w:tr>
      <w:tr>
        <w:tblPrEx>
          <w:tblCellMar>
            <w:top w:w="0" w:type="dxa"/>
            <w:left w:w="0" w:type="dxa"/>
            <w:bottom w:w="0" w:type="dxa"/>
            <w:right w:w="0" w:type="dxa"/>
          </w:tblCellMar>
        </w:tblPrEx>
        <w:trPr>
          <w:trHeight w:val="358" w:hRule="atLeast"/>
        </w:trPr>
        <w:tc>
          <w:tcPr>
            <w:tcW w:w="3105" w:type="dxa"/>
            <w:gridSpan w:val="6"/>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center"/>
              <w:textAlignment w:val="center"/>
              <w:rPr>
                <w:rFonts w:ascii="宋体" w:cs="宋体"/>
                <w:color w:val="000000"/>
                <w:sz w:val="22"/>
                <w:szCs w:val="22"/>
              </w:rPr>
            </w:pPr>
            <w:r>
              <w:rPr>
                <w:rFonts w:hint="eastAsia" w:ascii="宋体" w:hAnsi="宋体" w:cs="宋体"/>
                <w:color w:val="000000"/>
                <w:kern w:val="0"/>
                <w:sz w:val="22"/>
                <w:szCs w:val="22"/>
              </w:rPr>
              <w:t>合计</w:t>
            </w: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46" w:hRule="atLeast"/>
        </w:trPr>
        <w:tc>
          <w:tcPr>
            <w:tcW w:w="1428" w:type="dxa"/>
            <w:gridSpan w:val="4"/>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677"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lef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8"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c>
          <w:tcPr>
            <w:tcW w:w="1899" w:type="dxa"/>
            <w:tcBorders>
              <w:top w:val="nil"/>
              <w:left w:val="nil"/>
              <w:bottom w:val="single" w:color="000000" w:sz="4" w:space="0"/>
              <w:right w:val="single" w:color="000000" w:sz="4" w:space="0"/>
            </w:tcBorders>
            <w:noWrap/>
            <w:tcMar>
              <w:top w:w="15" w:type="dxa"/>
              <w:left w:w="15" w:type="dxa"/>
              <w:right w:w="15" w:type="dxa"/>
            </w:tcMar>
            <w:vAlign w:val="center"/>
          </w:tcPr>
          <w:p>
            <w:pPr>
              <w:widowControl/>
              <w:spacing w:after="0" w:line="240" w:lineRule="auto"/>
              <w:jc w:val="right"/>
              <w:rPr>
                <w:rFonts w:ascii="宋体" w:cs="宋体"/>
                <w:color w:val="000000"/>
                <w:sz w:val="22"/>
                <w:szCs w:val="22"/>
              </w:rPr>
            </w:pPr>
          </w:p>
        </w:tc>
      </w:tr>
      <w:tr>
        <w:tblPrEx>
          <w:tblCellMar>
            <w:top w:w="0" w:type="dxa"/>
            <w:left w:w="0" w:type="dxa"/>
            <w:bottom w:w="0" w:type="dxa"/>
            <w:right w:w="0" w:type="dxa"/>
          </w:tblCellMar>
        </w:tblPrEx>
        <w:trPr>
          <w:trHeight w:val="358" w:hRule="atLeast"/>
        </w:trPr>
        <w:tc>
          <w:tcPr>
            <w:tcW w:w="8800" w:type="dxa"/>
            <w:gridSpan w:val="11"/>
            <w:tcBorders>
              <w:top w:val="nil"/>
              <w:left w:val="nil"/>
              <w:bottom w:val="nil"/>
              <w:right w:val="nil"/>
            </w:tcBorders>
            <w:tcMar>
              <w:top w:w="15" w:type="dxa"/>
              <w:left w:w="15" w:type="dxa"/>
              <w:right w:w="15" w:type="dxa"/>
            </w:tcMar>
            <w:vAlign w:val="center"/>
          </w:tcPr>
          <w:p>
            <w:pPr>
              <w:widowControl/>
              <w:spacing w:after="0" w:line="240" w:lineRule="auto"/>
              <w:jc w:val="left"/>
              <w:textAlignment w:val="center"/>
              <w:rPr>
                <w:rFonts w:ascii="宋体" w:cs="宋体"/>
                <w:color w:val="000000"/>
                <w:sz w:val="22"/>
                <w:szCs w:val="22"/>
              </w:rPr>
            </w:pPr>
            <w:r>
              <w:rPr>
                <w:rFonts w:hint="eastAsia" w:ascii="宋体" w:hAnsi="宋体" w:cs="宋体"/>
                <w:color w:val="000000"/>
                <w:kern w:val="0"/>
                <w:sz w:val="22"/>
                <w:szCs w:val="22"/>
              </w:rPr>
              <w:t>注：本表反映部门本年度国有资本经营预算财政拨款支出情况。</w:t>
            </w:r>
          </w:p>
        </w:tc>
      </w:tr>
    </w:tbl>
    <w:p>
      <w:pPr>
        <w:widowControl/>
        <w:spacing w:after="0" w:line="560" w:lineRule="exact"/>
        <w:jc w:val="left"/>
        <w:rPr>
          <w:rFonts w:hint="default" w:ascii="仿宋_GB2312" w:hAnsi="宋体" w:eastAsia="仿宋_GB2312"/>
          <w:b/>
          <w:sz w:val="28"/>
          <w:szCs w:val="28"/>
          <w:highlight w:val="none"/>
          <w:lang w:val="en-US" w:eastAsia="zh-CN"/>
        </w:rPr>
        <w:sectPr>
          <w:pgSz w:w="11906" w:h="16838"/>
          <w:pgMar w:top="2098" w:right="1474" w:bottom="1984" w:left="1588" w:header="851" w:footer="992" w:gutter="0"/>
          <w:cols w:space="0" w:num="1"/>
          <w:docGrid w:type="lines" w:linePitch="312" w:charSpace="0"/>
        </w:sectPr>
      </w:pPr>
      <w:r>
        <w:rPr>
          <w:rFonts w:hint="eastAsia" w:ascii="仿宋_GB2312" w:hAnsi="宋体" w:eastAsia="仿宋_GB2312"/>
          <w:b/>
          <w:sz w:val="28"/>
          <w:szCs w:val="28"/>
          <w:highlight w:val="none"/>
          <w:lang w:val="en-US" w:eastAsia="zh-CN"/>
        </w:rPr>
        <w:t>部门本年度无资本经营预算，按要求空表列示</w:t>
      </w:r>
    </w:p>
    <w:tbl>
      <w:tblPr>
        <w:tblStyle w:val="12"/>
        <w:tblW w:w="8940" w:type="dxa"/>
        <w:tblInd w:w="0" w:type="dxa"/>
        <w:tblLayout w:type="fixed"/>
        <w:tblCellMar>
          <w:top w:w="0" w:type="dxa"/>
          <w:left w:w="0" w:type="dxa"/>
          <w:bottom w:w="0" w:type="dxa"/>
          <w:right w:w="0" w:type="dxa"/>
        </w:tblCellMar>
      </w:tblPr>
      <w:tblGrid>
        <w:gridCol w:w="1901"/>
        <w:gridCol w:w="1203"/>
        <w:gridCol w:w="790"/>
        <w:gridCol w:w="362"/>
        <w:gridCol w:w="911"/>
        <w:gridCol w:w="241"/>
        <w:gridCol w:w="1032"/>
        <w:gridCol w:w="120"/>
        <w:gridCol w:w="1154"/>
        <w:gridCol w:w="1226"/>
      </w:tblGrid>
      <w:tr>
        <w:tblPrEx>
          <w:tblCellMar>
            <w:top w:w="0" w:type="dxa"/>
            <w:left w:w="0" w:type="dxa"/>
            <w:bottom w:w="0" w:type="dxa"/>
            <w:right w:w="0" w:type="dxa"/>
          </w:tblCellMar>
        </w:tblPrEx>
        <w:trPr>
          <w:trHeight w:val="635"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黑体" w:hAnsi="宋体" w:eastAsia="黑体" w:cs="黑体"/>
                <w:color w:val="000000"/>
                <w:sz w:val="40"/>
                <w:szCs w:val="40"/>
              </w:rPr>
            </w:pPr>
            <w:r>
              <w:rPr>
                <w:rFonts w:hint="eastAsia" w:ascii="黑体" w:hAnsi="宋体" w:eastAsia="黑体" w:cs="黑体"/>
                <w:color w:val="000000"/>
                <w:kern w:val="0"/>
                <w:sz w:val="40"/>
                <w:szCs w:val="40"/>
              </w:rPr>
              <w:t>政府采购</w:t>
            </w:r>
            <w:r>
              <mc:AlternateContent>
                <mc:Choice Requires="wpg">
                  <w:drawing>
                    <wp:anchor distT="0" distB="0" distL="114300" distR="114300" simplePos="0" relativeHeight="251683840" behindDoc="0" locked="1" layoutInCell="1" allowOverlap="1">
                      <wp:simplePos x="0" y="0"/>
                      <wp:positionH relativeFrom="column">
                        <wp:posOffset>-1027430</wp:posOffset>
                      </wp:positionH>
                      <wp:positionV relativeFrom="page">
                        <wp:posOffset>-1029970</wp:posOffset>
                      </wp:positionV>
                      <wp:extent cx="3088640" cy="523240"/>
                      <wp:effectExtent l="3175" t="0" r="13335" b="29210"/>
                      <wp:wrapNone/>
                      <wp:docPr id="59" name="组合 61"/>
                      <wp:cNvGraphicFramePr/>
                      <a:graphic xmlns:a="http://schemas.openxmlformats.org/drawingml/2006/main">
                        <a:graphicData uri="http://schemas.microsoft.com/office/word/2010/wordprocessingGroup">
                          <wpg:wgp>
                            <wpg:cNvGrpSpPr/>
                            <wpg:grpSpPr>
                              <a:xfrm>
                                <a:off x="0" y="0"/>
                                <a:ext cx="3088640" cy="523240"/>
                                <a:chOff x="4551" y="52615"/>
                                <a:chExt cx="8546" cy="1398"/>
                              </a:xfrm>
                            </wpg:grpSpPr>
                            <wps:wsp>
                              <wps:cNvPr id="57" name="矩形 13"/>
                              <wps:cNvSpPr/>
                              <wps:spPr>
                                <a:xfrm>
                                  <a:off x="4551" y="52615"/>
                                  <a:ext cx="8546" cy="1175"/>
                                </a:xfrm>
                                <a:prstGeom prst="rect">
                                  <a:avLst/>
                                </a:prstGeom>
                                <a:solidFill>
                                  <a:srgbClr val="96DA9D"/>
                                </a:solidFill>
                                <a:ln w="25400">
                                  <a:noFill/>
                                </a:ln>
                              </wps:spPr>
                              <wps:bodyPr anchor="ctr" anchorCtr="0" upright="1"/>
                            </wps:wsp>
                            <wps:wsp>
                              <wps:cNvPr id="5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wps:txbx>
                              <wps:bodyPr anchor="ctr" anchorCtr="0" upright="1"/>
                            </wps:wsp>
                          </wpg:wgp>
                        </a:graphicData>
                      </a:graphic>
                    </wp:anchor>
                  </w:drawing>
                </mc:Choice>
                <mc:Fallback>
                  <w:pict>
                    <v:group id="组合 61" o:spid="_x0000_s1026" o:spt="203" style="position:absolute;left:0pt;margin-left:-80.9pt;margin-top:-81.1pt;height:41.2pt;width:243.2pt;mso-position-vertical-relative:page;z-index:251683840;mso-width-relative:page;mso-height-relative:page;" coordorigin="4551,52615" coordsize="8546,1398" o:gfxdata="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HJpSytwAAAAN&#10;AQAADwAAAAAAAAABACAAAAAiAAAAZHJzL2Rvd25yZXYueG1sUEsBAhQAFAAAAAgAh07iQP2QwFHD&#10;AgAAJgcAAA4AAAAAAAAAAQAgAAAAKw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8O/n5rsAAADb&#10;AAAADwAAAGRycy9kb3ducmV2LnhtbEWPQWsCMRSE70L/Q3iF3vRlBduyNXooFHoSqu2ht8fmuVnc&#10;vCxJXLf/vhEEj8PMfMOst5Pv1cgxdUEMVAsNiqUJtpPWwPfhY/4KKmUSS30QNvDHCbabh9maahsu&#10;8sXjPreqQCTVZMDlPNSIqXHsKS3CwFK8Y4iecpGxRRvpUuC+x6XWz+ipk7LgaOB3x81pf/YGMHJE&#10;F6dj/E3jGaud/lk1J2OeHiv9BirzlO/hW/vTGli9wP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O/n5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P/R6ALoAAADb&#10;AAAADwAAAGRycy9kb3ducmV2LnhtbEVPy4rCMBTdC/MP4Q6401TBItUow4DoCDKoFXF3aa5Nsbkp&#10;TcbX15vFgMvDeU/nd1uLK7W+cqxg0E9AEBdOV1wqyPeL3hiED8gaa8ek4EEe5rOPzhQz7W68pesu&#10;lCKGsM9QgQmhyaT0hSGLvu8a4sidXWsxRNiWUrd4i+G2lsMkSaXFimODwYa+DRWX3Z9V8Jub0xLX&#10;dLSb9eWQf1WYPn9Spbqfg2QCItA9vMX/7pVWMIpj45f4A+Ts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9HoA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决算报表</w:t>
                              </w:r>
                            </w:p>
                            <w:p>
                              <w:pPr>
                                <w:jc w:val="center"/>
                              </w:pPr>
                            </w:p>
                          </w:txbxContent>
                        </v:textbox>
                      </v:rect>
                      <w10:anchorlock/>
                    </v:group>
                  </w:pict>
                </mc:Fallback>
              </mc:AlternateContent>
            </w:r>
            <w:r>
              <w:rPr>
                <w:rFonts w:hint="eastAsia" w:ascii="黑体" w:hAnsi="宋体" w:eastAsia="黑体" w:cs="黑体"/>
                <w:color w:val="000000"/>
                <w:kern w:val="0"/>
                <w:sz w:val="40"/>
                <w:szCs w:val="40"/>
              </w:rPr>
              <w:t>情况表</w:t>
            </w:r>
          </w:p>
        </w:tc>
      </w:tr>
      <w:tr>
        <w:tblPrEx>
          <w:tblCellMar>
            <w:top w:w="0" w:type="dxa"/>
            <w:left w:w="0" w:type="dxa"/>
            <w:bottom w:w="0" w:type="dxa"/>
            <w:right w:w="0" w:type="dxa"/>
          </w:tblCellMar>
        </w:tblPrEx>
        <w:trPr>
          <w:trHeight w:val="326" w:hRule="atLeast"/>
        </w:trPr>
        <w:tc>
          <w:tcPr>
            <w:tcW w:w="1901"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03"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790" w:type="dxa"/>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1273" w:type="dxa"/>
            <w:gridSpan w:val="2"/>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rPr>
                <w:rFonts w:ascii="Arial" w:hAnsi="Arial" w:cs="Arial"/>
                <w:color w:val="000000"/>
                <w:szCs w:val="21"/>
              </w:rPr>
            </w:pP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公开</w:t>
            </w:r>
            <w:r>
              <w:rPr>
                <w:rFonts w:ascii="宋体" w:hAnsi="宋体" w:cs="宋体"/>
                <w:color w:val="000000"/>
                <w:kern w:val="0"/>
                <w:szCs w:val="21"/>
              </w:rPr>
              <w:t>10</w:t>
            </w:r>
            <w:r>
              <w:rPr>
                <w:rFonts w:hint="eastAsia" w:ascii="宋体" w:hAnsi="宋体" w:cs="宋体"/>
                <w:color w:val="000000"/>
                <w:kern w:val="0"/>
                <w:szCs w:val="21"/>
              </w:rPr>
              <w:t>表</w:t>
            </w:r>
          </w:p>
        </w:tc>
      </w:tr>
      <w:tr>
        <w:tblPrEx>
          <w:tblCellMar>
            <w:top w:w="0" w:type="dxa"/>
            <w:left w:w="0" w:type="dxa"/>
            <w:bottom w:w="0" w:type="dxa"/>
            <w:right w:w="0" w:type="dxa"/>
          </w:tblCellMar>
        </w:tblPrEx>
        <w:trPr>
          <w:trHeight w:val="360" w:hRule="atLeast"/>
        </w:trPr>
        <w:tc>
          <w:tcPr>
            <w:tcW w:w="6440" w:type="dxa"/>
            <w:gridSpan w:val="7"/>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hint="default" w:ascii="宋体" w:cs="宋体"/>
                <w:color w:val="000000"/>
                <w:szCs w:val="21"/>
                <w:lang w:val="en-US"/>
              </w:rPr>
            </w:pPr>
            <w:r>
              <w:rPr>
                <w:rFonts w:hint="eastAsia" w:ascii="宋体" w:hAnsi="宋体" w:cs="宋体"/>
                <w:color w:val="000000"/>
                <w:kern w:val="0"/>
                <w:szCs w:val="21"/>
              </w:rPr>
              <w:t>编制单位：</w:t>
            </w:r>
            <w:r>
              <w:rPr>
                <w:rFonts w:hint="eastAsia" w:ascii="宋体" w:hAnsi="宋体" w:cs="宋体"/>
                <w:color w:val="000000"/>
                <w:kern w:val="0"/>
                <w:sz w:val="20"/>
                <w:szCs w:val="20"/>
                <w:lang w:val="en-US" w:eastAsia="zh-CN"/>
              </w:rPr>
              <w:t xml:space="preserve">保定市满城区人民法院 </w:t>
            </w:r>
          </w:p>
        </w:tc>
        <w:tc>
          <w:tcPr>
            <w:tcW w:w="2500" w:type="dxa"/>
            <w:gridSpan w:val="3"/>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right"/>
              <w:textAlignment w:val="center"/>
              <w:rPr>
                <w:rFonts w:ascii="宋体" w:cs="宋体"/>
                <w:color w:val="000000"/>
                <w:szCs w:val="21"/>
              </w:rPr>
            </w:pPr>
            <w:r>
              <w:rPr>
                <w:rFonts w:hint="eastAsia" w:ascii="宋体" w:hAnsi="宋体" w:cs="宋体"/>
                <w:color w:val="000000"/>
                <w:kern w:val="0"/>
                <w:szCs w:val="21"/>
              </w:rPr>
              <w:t>金额单位：万元</w:t>
            </w:r>
          </w:p>
        </w:tc>
      </w:tr>
      <w:tr>
        <w:tblPrEx>
          <w:tblCellMar>
            <w:top w:w="0" w:type="dxa"/>
            <w:left w:w="0" w:type="dxa"/>
            <w:bottom w:w="0" w:type="dxa"/>
            <w:right w:w="0" w:type="dxa"/>
          </w:tblCellMar>
        </w:tblPrEx>
        <w:trPr>
          <w:trHeight w:val="309" w:hRule="atLeast"/>
        </w:trPr>
        <w:tc>
          <w:tcPr>
            <w:tcW w:w="1901" w:type="dxa"/>
            <w:vMerge w:val="restart"/>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single" w:color="000000" w:sz="4" w:space="0"/>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采购计划金额</w:t>
            </w:r>
          </w:p>
        </w:tc>
      </w:tr>
      <w:tr>
        <w:tblPrEx>
          <w:tblCellMar>
            <w:top w:w="0" w:type="dxa"/>
            <w:left w:w="0" w:type="dxa"/>
            <w:bottom w:w="0" w:type="dxa"/>
            <w:right w:w="0" w:type="dxa"/>
          </w:tblCellMar>
        </w:tblPrEx>
        <w:trPr>
          <w:trHeight w:val="398"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473" w:hRule="atLeast"/>
        </w:trPr>
        <w:tc>
          <w:tcPr>
            <w:tcW w:w="1901" w:type="dxa"/>
            <w:vMerge w:val="continue"/>
            <w:tcBorders>
              <w:top w:val="single" w:color="000000" w:sz="4" w:space="0"/>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50"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vMerge w:val="restart"/>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项目</w:t>
            </w:r>
          </w:p>
        </w:tc>
        <w:tc>
          <w:tcPr>
            <w:tcW w:w="7039" w:type="dxa"/>
            <w:gridSpan w:val="9"/>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实际采购金额</w:t>
            </w:r>
          </w:p>
        </w:tc>
      </w:tr>
      <w:tr>
        <w:tblPrEx>
          <w:tblCellMar>
            <w:top w:w="0" w:type="dxa"/>
            <w:left w:w="0" w:type="dxa"/>
            <w:bottom w:w="0" w:type="dxa"/>
            <w:right w:w="0" w:type="dxa"/>
          </w:tblCellMar>
        </w:tblPrEx>
        <w:trPr>
          <w:trHeight w:val="350"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总计</w:t>
            </w:r>
          </w:p>
        </w:tc>
        <w:tc>
          <w:tcPr>
            <w:tcW w:w="4610" w:type="dxa"/>
            <w:gridSpan w:val="7"/>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采购预算（财政性资金）</w:t>
            </w:r>
          </w:p>
        </w:tc>
        <w:tc>
          <w:tcPr>
            <w:tcW w:w="1226" w:type="dxa"/>
            <w:vMerge w:val="restart"/>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非财政性资金</w:t>
            </w:r>
          </w:p>
        </w:tc>
      </w:tr>
      <w:tr>
        <w:tblPrEx>
          <w:tblCellMar>
            <w:top w:w="0" w:type="dxa"/>
            <w:left w:w="0" w:type="dxa"/>
            <w:bottom w:w="0" w:type="dxa"/>
            <w:right w:w="0" w:type="dxa"/>
          </w:tblCellMar>
        </w:tblPrEx>
        <w:trPr>
          <w:trHeight w:val="543" w:hRule="atLeast"/>
        </w:trPr>
        <w:tc>
          <w:tcPr>
            <w:tcW w:w="1901" w:type="dxa"/>
            <w:vMerge w:val="continue"/>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203"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合计</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一般公共预算</w:t>
            </w:r>
          </w:p>
        </w:tc>
        <w:tc>
          <w:tcPr>
            <w:tcW w:w="1152" w:type="dxa"/>
            <w:gridSpan w:val="2"/>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政府性基金预算</w:t>
            </w:r>
          </w:p>
        </w:tc>
        <w:tc>
          <w:tcPr>
            <w:tcW w:w="1154" w:type="dxa"/>
            <w:tcBorders>
              <w:top w:val="nil"/>
              <w:left w:val="nil"/>
              <w:bottom w:val="single" w:color="000000" w:sz="4" w:space="0"/>
              <w:right w:val="single" w:color="000000" w:sz="4" w:space="0"/>
            </w:tcBorders>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其他资金</w:t>
            </w:r>
          </w:p>
        </w:tc>
        <w:tc>
          <w:tcPr>
            <w:tcW w:w="1226" w:type="dxa"/>
            <w:vMerge w:val="continue"/>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rPr>
                <w:rFonts w:ascii="宋体" w:cs="宋体"/>
                <w:color w:val="000000"/>
                <w:szCs w:val="21"/>
              </w:rPr>
            </w:pPr>
          </w:p>
        </w:tc>
      </w:tr>
      <w:tr>
        <w:tblPrEx>
          <w:tblCellMar>
            <w:top w:w="0" w:type="dxa"/>
            <w:left w:w="0" w:type="dxa"/>
            <w:bottom w:w="0" w:type="dxa"/>
            <w:right w:w="0" w:type="dxa"/>
          </w:tblCellMar>
        </w:tblPrEx>
        <w:trPr>
          <w:trHeight w:val="309"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栏次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1</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2</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3</w:t>
            </w: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4</w:t>
            </w: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5</w:t>
            </w: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ascii="宋体" w:hAnsi="宋体" w:cs="宋体"/>
                <w:color w:val="000000"/>
                <w:kern w:val="0"/>
                <w:szCs w:val="21"/>
              </w:rPr>
              <w:t>6</w:t>
            </w: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合</w:t>
            </w:r>
            <w:r>
              <w:rPr>
                <w:rFonts w:ascii="宋体" w:hAnsi="宋体" w:cs="宋体"/>
                <w:color w:val="000000"/>
                <w:kern w:val="0"/>
                <w:szCs w:val="21"/>
              </w:rPr>
              <w:t xml:space="preserve">       </w:t>
            </w:r>
            <w:r>
              <w:rPr>
                <w:rFonts w:hint="eastAsia" w:ascii="宋体" w:hAnsi="宋体" w:cs="宋体"/>
                <w:color w:val="000000"/>
                <w:kern w:val="0"/>
                <w:szCs w:val="21"/>
              </w:rPr>
              <w:t>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货物</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工程</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35" w:hRule="atLeast"/>
        </w:trPr>
        <w:tc>
          <w:tcPr>
            <w:tcW w:w="1901" w:type="dxa"/>
            <w:tcBorders>
              <w:top w:val="nil"/>
              <w:left w:val="single" w:color="000000" w:sz="4" w:space="0"/>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center"/>
              <w:textAlignment w:val="center"/>
              <w:rPr>
                <w:rFonts w:ascii="宋体" w:cs="宋体"/>
                <w:color w:val="000000"/>
                <w:szCs w:val="21"/>
              </w:rPr>
            </w:pPr>
            <w:r>
              <w:rPr>
                <w:rFonts w:hint="eastAsia" w:ascii="宋体" w:hAnsi="宋体" w:cs="宋体"/>
                <w:color w:val="000000"/>
                <w:kern w:val="0"/>
                <w:szCs w:val="21"/>
              </w:rPr>
              <w:t>服务</w:t>
            </w:r>
          </w:p>
        </w:tc>
        <w:tc>
          <w:tcPr>
            <w:tcW w:w="1203"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2" w:type="dxa"/>
            <w:gridSpan w:val="2"/>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154"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c>
          <w:tcPr>
            <w:tcW w:w="1226" w:type="dxa"/>
            <w:tcBorders>
              <w:top w:val="nil"/>
              <w:left w:val="nil"/>
              <w:bottom w:val="single" w:color="000000" w:sz="4" w:space="0"/>
              <w:right w:val="single" w:color="000000" w:sz="4" w:space="0"/>
            </w:tcBorders>
            <w:noWrap/>
            <w:tcMar>
              <w:top w:w="15" w:type="dxa"/>
              <w:left w:w="15" w:type="dxa"/>
              <w:right w:w="15" w:type="dxa"/>
            </w:tcMar>
            <w:vAlign w:val="center"/>
          </w:tcPr>
          <w:p>
            <w:pPr>
              <w:widowControl/>
              <w:adjustRightInd w:val="0"/>
              <w:snapToGrid w:val="0"/>
              <w:spacing w:after="0" w:line="240" w:lineRule="auto"/>
              <w:jc w:val="right"/>
              <w:rPr>
                <w:rFonts w:ascii="宋体" w:cs="宋体"/>
                <w:color w:val="000000"/>
                <w:szCs w:val="21"/>
              </w:rPr>
            </w:pPr>
          </w:p>
        </w:tc>
      </w:tr>
      <w:tr>
        <w:tblPrEx>
          <w:tblCellMar>
            <w:top w:w="0" w:type="dxa"/>
            <w:left w:w="0" w:type="dxa"/>
            <w:bottom w:w="0" w:type="dxa"/>
            <w:right w:w="0" w:type="dxa"/>
          </w:tblCellMar>
        </w:tblPrEx>
        <w:trPr>
          <w:trHeight w:val="398" w:hRule="atLeast"/>
        </w:trPr>
        <w:tc>
          <w:tcPr>
            <w:tcW w:w="8940" w:type="dxa"/>
            <w:gridSpan w:val="10"/>
            <w:tcBorders>
              <w:top w:val="nil"/>
              <w:left w:val="nil"/>
              <w:bottom w:val="nil"/>
              <w:right w:val="nil"/>
            </w:tcBorders>
            <w:noWrap/>
            <w:tcMar>
              <w:top w:w="15" w:type="dxa"/>
              <w:left w:w="15" w:type="dxa"/>
              <w:right w:w="15" w:type="dxa"/>
            </w:tcMar>
            <w:vAlign w:val="center"/>
          </w:tcPr>
          <w:p>
            <w:pPr>
              <w:widowControl/>
              <w:adjustRightInd w:val="0"/>
              <w:snapToGrid w:val="0"/>
              <w:spacing w:after="0" w:line="240" w:lineRule="auto"/>
              <w:jc w:val="left"/>
              <w:textAlignment w:val="center"/>
              <w:rPr>
                <w:rFonts w:ascii="宋体" w:cs="宋体"/>
                <w:color w:val="000000"/>
                <w:szCs w:val="21"/>
              </w:rPr>
            </w:pPr>
            <w:r>
              <w:rPr>
                <w:rFonts w:hint="eastAsia" w:ascii="宋体" w:hAnsi="宋体" w:cs="宋体"/>
                <w:color w:val="000000"/>
                <w:kern w:val="0"/>
                <w:szCs w:val="21"/>
              </w:rPr>
              <w:t>注：本表反映部门本年度纳入部门预算范围的政府采购预算及支出情况。</w:t>
            </w:r>
            <w:r>
              <w:rPr>
                <w:rFonts w:ascii="宋体" w:hAnsi="宋体" w:cs="宋体"/>
                <w:color w:val="000000"/>
                <w:kern w:val="0"/>
                <w:szCs w:val="21"/>
              </w:rPr>
              <w:t xml:space="preserve">     </w:t>
            </w:r>
          </w:p>
        </w:tc>
      </w:tr>
    </w:tbl>
    <w:p>
      <w:pPr>
        <w:widowControl/>
        <w:spacing w:after="0" w:line="560" w:lineRule="exact"/>
        <w:jc w:val="left"/>
        <w:rPr>
          <w:rFonts w:hint="default" w:ascii="仿宋_GB2312" w:hAnsi="宋体" w:eastAsia="仿宋_GB2312"/>
          <w:b/>
          <w:sz w:val="28"/>
          <w:szCs w:val="28"/>
          <w:highlight w:val="none"/>
          <w:lang w:val="en-US" w:eastAsia="zh-CN"/>
        </w:rPr>
      </w:pPr>
      <w:r>
        <w:rPr>
          <w:rFonts w:hint="eastAsia" w:ascii="仿宋_GB2312" w:hAnsi="宋体" w:eastAsia="仿宋_GB2312"/>
          <w:b/>
          <w:sz w:val="28"/>
          <w:szCs w:val="28"/>
          <w:highlight w:val="none"/>
          <w:lang w:val="en-US" w:eastAsia="zh-CN"/>
        </w:rPr>
        <w:t>部门本年度无政府采购，按要求空表列示</w:t>
      </w:r>
    </w:p>
    <w:p/>
    <w:p/>
    <w:p/>
    <w:p>
      <w:pPr>
        <w:tabs>
          <w:tab w:val="left" w:pos="1086"/>
        </w:tabs>
        <w:jc w:val="left"/>
        <w:rPr>
          <w:rFonts w:ascii="仿宋_GB2312" w:hAnsi="宋体" w:eastAsia="仿宋_GB2312"/>
          <w:b/>
          <w:sz w:val="28"/>
          <w:szCs w:val="28"/>
          <w:highlight w:val="yellow"/>
        </w:rPr>
        <w:sectPr>
          <w:pgSz w:w="11906" w:h="16838"/>
          <w:pgMar w:top="2098" w:right="1474" w:bottom="1984" w:left="1588" w:header="851" w:footer="992" w:gutter="0"/>
          <w:cols w:space="0" w:num="1"/>
          <w:docGrid w:type="lines" w:linePitch="312" w:charSpace="0"/>
        </w:sectPr>
      </w:pPr>
      <w:r>
        <w:tab/>
      </w: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6432" behindDoc="1" locked="0" layoutInCell="1" allowOverlap="1">
            <wp:simplePos x="0" y="0"/>
            <wp:positionH relativeFrom="column">
              <wp:posOffset>-1393825</wp:posOffset>
            </wp:positionH>
            <wp:positionV relativeFrom="paragraph">
              <wp:posOffset>-1226820</wp:posOffset>
            </wp:positionV>
            <wp:extent cx="7550150" cy="10680065"/>
            <wp:effectExtent l="0" t="0" r="12700" b="6985"/>
            <wp:wrapNone/>
            <wp:docPr id="10"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5408"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9" name="文本框 5"/>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wps:txbx>
                      <wps:bodyPr upright="1"/>
                    </wps:wsp>
                  </a:graphicData>
                </a:graphic>
              </wp:anchor>
            </w:drawing>
          </mc:Choice>
          <mc:Fallback>
            <w:pict>
              <v:shape id="文本框 5" o:spid="_x0000_s1026" o:spt="202" type="#_x0000_t202" style="position:absolute;left:0pt;margin-left:-78.7pt;margin-top:232.8pt;height:159.1pt;width:596.2pt;z-index:251665408;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A4sT/xtwEAAFg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第三部分</w:t>
                      </w:r>
                    </w:p>
                    <w:p>
                      <w:pPr>
                        <w:widowControl/>
                        <w:spacing w:line="1200" w:lineRule="exact"/>
                        <w:jc w:val="center"/>
                        <w:rPr>
                          <w:color w:val="FDEFBE"/>
                          <w:sz w:val="96"/>
                          <w:szCs w:val="96"/>
                        </w:rPr>
                      </w:pPr>
                      <w:r>
                        <w:rPr>
                          <w:rFonts w:hint="eastAsia" w:ascii="黑体" w:hAnsi="宋体" w:eastAsia="黑体"/>
                          <w:color w:val="FDEFBE"/>
                          <w:sz w:val="96"/>
                          <w:szCs w:val="96"/>
                        </w:rPr>
                        <w:t>部门决算情况说明</w:t>
                      </w:r>
                    </w:p>
                  </w:txbxContent>
                </v:textbox>
              </v:shape>
            </w:pict>
          </mc:Fallback>
        </mc:AlternateContent>
      </w:r>
    </w:p>
    <w:p>
      <w:pPr>
        <w:pStyle w:val="3"/>
        <w:spacing w:before="0" w:after="0" w:line="580" w:lineRule="exact"/>
        <w:ind w:firstLine="640" w:firstLineChars="200"/>
        <w:rPr>
          <w:rFonts w:ascii="黑体" w:eastAsia="黑体"/>
          <w:b w:val="0"/>
          <w:bCs w:val="0"/>
        </w:rPr>
      </w:pPr>
      <w:r>
        <w:rPr>
          <w:rFonts w:hint="eastAsia" w:ascii="黑体" w:eastAsia="黑体"/>
          <w:b w:val="0"/>
          <w:bCs w:val="0"/>
        </w:rPr>
        <w:t>一、收入</w:t>
      </w:r>
      <w:r>
        <w:rPr>
          <w:rFonts w:hint="eastAsia" w:ascii="黑体" w:hAnsi="Cambria" w:eastAsia="黑体" w:cs="黑体"/>
          <w:b w:val="0"/>
          <w:bCs w:val="0"/>
          <w:kern w:val="0"/>
        </w:rPr>
        <w:t>支</w:t>
      </w:r>
      <w:r>
        <mc:AlternateContent>
          <mc:Choice Requires="wpg">
            <w:drawing>
              <wp:anchor distT="0" distB="0" distL="114300" distR="114300" simplePos="0" relativeHeight="25169100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2" name="组合 18"/>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0" name="矩形 13"/>
                        <wps:cNvSpPr/>
                        <wps:spPr>
                          <a:xfrm>
                            <a:off x="4551" y="52615"/>
                            <a:ext cx="8546" cy="1175"/>
                          </a:xfrm>
                          <a:prstGeom prst="rect">
                            <a:avLst/>
                          </a:prstGeom>
                          <a:solidFill>
                            <a:srgbClr val="96DA9D"/>
                          </a:solidFill>
                          <a:ln w="25400">
                            <a:noFill/>
                          </a:ln>
                        </wps:spPr>
                        <wps:bodyPr anchor="ctr" anchorCtr="0" upright="1"/>
                      </wps:wsp>
                      <wps:wsp>
                        <wps:cNvPr id="9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18" o:spid="_x0000_s1026" o:spt="203" style="position:absolute;left:0pt;margin-left:-79.5pt;margin-top:29.3pt;height:43.95pt;width:301.85pt;mso-position-vertical-relative:page;z-index:25169100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DJ3B51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hL/FCLgAAADb&#10;AAAADwAAAGRycy9kb3ducmV2LnhtbEVPTWsCMRC9C/6HMEJvOlmhxW6NHgqFnoRaPfQ2bMbN4may&#10;JHHd/vvmUPD4eN/b/eR7NXJMXRAD1UqDYmmC7aQ1cPr+WG5ApUxiqQ/CBn45wX43n22ptuEuXzwe&#10;c6tKiKSaDLichxoxNY49pVUYWAp3CdFTLjC2aCPdS7jvca31C3rqpDQ4GvjdcXM93rwBjBzRxekS&#10;f9J4w+qgz8/N1ZinRaXfQGWe8kP87/60Bl7L+vKl/ADc/Q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hL/FCL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VXdpB74AAADb&#10;AAAADwAAAGRycy9kb3ducmV2LnhtbEWPQWvCQBSE7wX/w/IEb3UTD6FGVxFBrEIp1Yh4e2Sf2WD2&#10;bchu1fbXdwuCx2FmvmGm87ttxJU6XztWkA4TEMSl0zVXCor96vUNhA/IGhvHpOCHPMxnvZcp5trd&#10;+Iuuu1CJCGGfowITQptL6UtDFv3QtcTRO7vOYoiyq6Tu8BbhtpGjJMmkxZrjgsGWlobKy+7bKvgs&#10;zGmNWzraj+3lUCxqzH43mVKDfppMQAS6h2f40X7XCsYp/H+JP0DO/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XdpB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hAnsi="Cambria" w:eastAsia="黑体" w:cs="黑体"/>
          <w:b w:val="0"/>
          <w:bCs w:val="0"/>
          <w:kern w:val="0"/>
        </w:rPr>
        <w:t>出</w:t>
      </w:r>
      <w:r>
        <w:rPr>
          <w:rFonts w:hint="eastAsia" w:ascii="黑体" w:eastAsia="黑体"/>
          <w:b w:val="0"/>
          <w:bCs w:val="0"/>
        </w:rPr>
        <w:t>决算总体情况说明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年度收入总计</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年度决算相比，收入增加</w:t>
      </w:r>
      <w:r>
        <w:rPr>
          <w:rFonts w:hint="eastAsia" w:ascii="仿宋_GB2312" w:eastAsia="仿宋_GB2312" w:cs="DengXian-Regular"/>
          <w:sz w:val="32"/>
          <w:szCs w:val="32"/>
          <w:lang w:val="en-US" w:eastAsia="zh-CN"/>
        </w:rPr>
        <w:t>277.47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19.01</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法官员额内增资</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年度支出总计</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万元。与</w:t>
      </w:r>
      <w:r>
        <w:rPr>
          <w:rFonts w:ascii="仿宋_GB2312" w:eastAsia="仿宋_GB2312" w:cs="DengXian-Regular"/>
          <w:sz w:val="32"/>
          <w:szCs w:val="32"/>
        </w:rPr>
        <w:t>2017</w:t>
      </w:r>
      <w:r>
        <w:rPr>
          <w:rFonts w:hint="eastAsia" w:ascii="仿宋_GB2312" w:eastAsia="仿宋_GB2312" w:cs="DengXian-Regular"/>
          <w:sz w:val="32"/>
          <w:szCs w:val="32"/>
        </w:rPr>
        <w:t>年度决算相比，支出增加</w:t>
      </w:r>
      <w:r>
        <w:rPr>
          <w:rFonts w:hint="eastAsia" w:ascii="仿宋_GB2312" w:eastAsia="仿宋_GB2312" w:cs="DengXian-Regular"/>
          <w:sz w:val="32"/>
          <w:szCs w:val="32"/>
          <w:lang w:val="en-US" w:eastAsia="zh-CN"/>
        </w:rPr>
        <w:t>277.47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19.01</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法官员额内增资</w:t>
      </w:r>
      <w:r>
        <w:rPr>
          <w:rFonts w:hint="eastAsia" w:ascii="仿宋_GB2312"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二、收入决算情况说明</w:t>
      </w:r>
    </w:p>
    <w:p>
      <w:pPr>
        <w:adjustRightInd w:val="0"/>
        <w:snapToGrid w:val="0"/>
        <w:spacing w:line="580" w:lineRule="exact"/>
        <w:ind w:firstLine="640" w:firstLineChars="200"/>
        <w:rPr>
          <w:rFonts w:ascii="黑体" w:hAnsi="Calibri" w:eastAsia="黑体"/>
          <w:b/>
          <w:bCs/>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年度本年收入合计</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万元，其中：财政拨款收入</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事业收入0万元，占0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；其他收入0万元，占0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pStyle w:val="3"/>
        <w:spacing w:before="0" w:after="0" w:line="580" w:lineRule="exact"/>
        <w:ind w:firstLine="640" w:firstLineChars="200"/>
        <w:rPr>
          <w:rFonts w:ascii="黑体" w:eastAsia="黑体"/>
          <w:b w:val="0"/>
          <w:bCs w:val="0"/>
        </w:rPr>
      </w:pPr>
      <w:r>
        <w:rPr>
          <w:rFonts w:hint="eastAsia" w:ascii="黑体" w:eastAsia="黑体"/>
          <w:b w:val="0"/>
          <w:bCs w:val="0"/>
        </w:rPr>
        <w:t>三、支出决算情况说明</w:t>
      </w:r>
    </w:p>
    <w:p>
      <w:pPr>
        <w:adjustRightInd w:val="0"/>
        <w:snapToGrid w:val="0"/>
        <w:spacing w:line="580" w:lineRule="exact"/>
        <w:ind w:firstLine="640" w:firstLineChars="200"/>
        <w:rPr>
          <w:rFonts w:hint="eastAsia" w:ascii="仿宋_GB2312" w:hAnsi="Times New Roman"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年度本年支出合计</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万元，其中：基本支出</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w:t>
      </w:r>
      <w:r>
        <w:rPr>
          <w:rFonts w:hint="eastAsia" w:ascii="仿宋_GB2312" w:hAnsi="Times New Roman" w:eastAsia="仿宋_GB2312" w:cs="DengXian-Regular"/>
          <w:sz w:val="32"/>
          <w:szCs w:val="32"/>
        </w:rPr>
        <w:t>项目支出</w:t>
      </w:r>
      <w:r>
        <w:rPr>
          <w:rFonts w:hint="eastAsia" w:ascii="仿宋_GB2312" w:hAnsi="Times New Roman" w:eastAsia="仿宋_GB2312" w:cs="DengXian-Regular"/>
          <w:sz w:val="32"/>
          <w:szCs w:val="32"/>
          <w:lang w:val="en-US" w:eastAsia="zh-CN"/>
        </w:rPr>
        <w:t>0</w:t>
      </w:r>
      <w:r>
        <w:rPr>
          <w:rFonts w:hint="eastAsia" w:ascii="仿宋_GB2312" w:hAnsi="Times New Roman" w:eastAsia="仿宋_GB2312" w:cs="DengXian-Regular"/>
          <w:sz w:val="32"/>
          <w:szCs w:val="32"/>
        </w:rPr>
        <w:t>万元，占</w:t>
      </w:r>
      <w:r>
        <w:rPr>
          <w:rFonts w:hint="eastAsia" w:ascii="仿宋_GB2312" w:hAnsi="Times New Roman" w:eastAsia="仿宋_GB2312" w:cs="DengXian-Regular"/>
          <w:sz w:val="32"/>
          <w:szCs w:val="32"/>
          <w:lang w:val="en-US" w:eastAsia="zh-CN"/>
        </w:rPr>
        <w:t>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；经营支出0万元，占0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w:t>
      </w:r>
    </w:p>
    <w:p>
      <w:pPr>
        <w:pStyle w:val="3"/>
        <w:spacing w:before="0" w:after="0" w:line="580" w:lineRule="exact"/>
        <w:ind w:firstLine="640" w:firstLineChars="200"/>
        <w:rPr>
          <w:rFonts w:hint="eastAsia" w:ascii="黑体" w:eastAsia="黑体"/>
          <w:b w:val="0"/>
          <w:bCs w:val="0"/>
        </w:rPr>
      </w:pPr>
      <w:r>
        <w:rPr>
          <w:rFonts w:hint="eastAsia" w:ascii="黑体" w:eastAsia="黑体"/>
          <w:b w:val="0"/>
          <w:bCs w:val="0"/>
        </w:rPr>
        <mc:AlternateContent>
          <mc:Choice Requires="wpg">
            <w:drawing>
              <wp:anchor distT="0" distB="0" distL="114300" distR="114300" simplePos="0" relativeHeight="251684864"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62" name="组合 70"/>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0" name="矩形 13"/>
                        <wps:cNvSpPr/>
                        <wps:spPr>
                          <a:xfrm>
                            <a:off x="4551" y="52615"/>
                            <a:ext cx="8546" cy="1175"/>
                          </a:xfrm>
                          <a:prstGeom prst="rect">
                            <a:avLst/>
                          </a:prstGeom>
                          <a:solidFill>
                            <a:srgbClr val="96DA9D"/>
                          </a:solidFill>
                          <a:ln w="25400">
                            <a:noFill/>
                          </a:ln>
                        </wps:spPr>
                        <wps:bodyPr anchor="ctr" anchorCtr="0" upright="1"/>
                      </wps:wsp>
                      <wps:wsp>
                        <wps:cNvPr id="61"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0" o:spid="_x0000_s1026" o:spt="203" style="position:absolute;left:0pt;margin-left:-79.5pt;margin-top:29.3pt;height:43.95pt;width:301.85pt;mso-position-vertical-relative:page;z-index:251684864;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">
                <o:lock v:ext="edit" aspectratio="f"/>
                <v:rect id="矩形 13" o:spid="_x0000_s1026" o:spt="1" style="position:absolute;left:4551;top:52615;height:1175;width:8546;v-text-anchor:middle;" fillcolor="#96DA9D" filled="t" stroked="f" coordsize="21600,21600" o:gfxdata="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Wq1L7gAAADbAAAA&#10;DwAAAAAAAAABACAAAAAiAAAAZHJzL2Rvd25yZXYueG1sUEsBAhQAFAAAAAgAh07iQDMvBZ47AAAA&#10;OQAAABAAAAAAAAAAAQAgAAAABwEAAGRycy9zaGFwZXhtbC54bWxQSwUGAAAAAAYABgBbAQAAsQMA&#10;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YKIZIL0AAADb&#10;AAAADwAAAGRycy9kb3ducmV2LnhtbEWPT4vCMBTE78J+h/AWvGlaD0WqUWRh2VWQRa0se3s0z6bY&#10;vJQm/ttPbwTB4zAzv2Gm86ttxJk6XztWkA4TEMSl0zVXCord52AMwgdkjY1jUnAjD/PZW2+KuXYX&#10;3tB5GyoRIexzVGBCaHMpfWnIoh+6ljh6B9dZDFF2ldQdXiLcNnKUJJm0WHNcMNjSh6HyuD1ZBT+F&#10;+fvCFf3a9eq4LxY1Zv/LTKn+e5pMQAS6hlf42f7WCrIUHl/iD5Cz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gohkgvQAA&#10;ANsAAAAPAAAAAAAAAAEAIAAAACIAAABkcnMvZG93bnJldi54bWxQSwECFAAUAAAACACHTuJAMy8F&#10;njsAAAA5AAAAEAAAAAAAAAABACAAAAAMAQAAZHJzL3NoYXBleG1sLnhtbFBLBQYAAAAABgAGAFsB&#10;AAC2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黑体" w:eastAsia="黑体"/>
          <w:b w:val="0"/>
          <w:bCs w:val="0"/>
        </w:rPr>
        <w:t>四、财政拨款收入支出决算情况说明</w:t>
      </w:r>
    </w:p>
    <w:p>
      <w:pPr>
        <w:spacing w:after="0" w:line="580" w:lineRule="exact"/>
        <w:ind w:firstLine="643" w:firstLineChars="200"/>
        <w:rPr>
          <w:rFonts w:ascii="楷体_GB2312" w:eastAsia="楷体_GB2312" w:cs="DengXian-Bold"/>
          <w:b/>
          <w:bCs/>
          <w:sz w:val="32"/>
          <w:szCs w:val="32"/>
        </w:rPr>
      </w:pPr>
      <w:r>
        <w:rPr>
          <w:rFonts w:hint="eastAsia" w:ascii="楷体_GB2312" w:eastAsia="楷体_GB2312" w:cs="DengXian-Bold"/>
          <w:b/>
          <w:bCs/>
          <w:sz w:val="32"/>
          <w:szCs w:val="32"/>
        </w:rPr>
        <w:t>（一）财政拨款收支与</w:t>
      </w:r>
      <w:r>
        <w:rPr>
          <w:rFonts w:ascii="楷体_GB2312" w:eastAsia="楷体_GB2312" w:cs="DengXian-Bold"/>
          <w:b/>
          <w:bCs/>
          <w:sz w:val="32"/>
          <w:szCs w:val="32"/>
        </w:rPr>
        <w:t xml:space="preserve">2017 </w:t>
      </w:r>
      <w:r>
        <w:rPr>
          <w:rFonts w:hint="eastAsia" w:ascii="楷体_GB2312" w:eastAsia="楷体_GB2312" w:cs="DengXian-Bold"/>
          <w:b/>
          <w:bCs/>
          <w:sz w:val="32"/>
          <w:szCs w:val="32"/>
        </w:rPr>
        <w:t>年度决算对比情况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年度形成的财政拨款收支均为一般公共预算财政拨款，其中一般公共预算财政拨款本年收入</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277.47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19.01</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法官员额内增资</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w:t>
      </w:r>
      <w:r>
        <w:rPr>
          <w:rFonts w:hint="eastAsia" w:ascii="仿宋_GB2312" w:eastAsia="仿宋_GB2312" w:cs="DengXian-Regular"/>
          <w:sz w:val="32"/>
          <w:szCs w:val="32"/>
          <w:lang w:val="en-US" w:eastAsia="zh-CN"/>
        </w:rPr>
        <w:t>比</w:t>
      </w:r>
      <w:r>
        <w:rPr>
          <w:rFonts w:ascii="仿宋_GB2312" w:eastAsia="仿宋_GB2312" w:cs="DengXian-Regular"/>
          <w:sz w:val="32"/>
          <w:szCs w:val="32"/>
        </w:rPr>
        <w:t>2017</w:t>
      </w:r>
      <w:r>
        <w:rPr>
          <w:rFonts w:hint="eastAsia" w:ascii="仿宋_GB2312" w:eastAsia="仿宋_GB2312" w:cs="DengXian-Regular"/>
          <w:sz w:val="32"/>
          <w:szCs w:val="32"/>
        </w:rPr>
        <w:t>年度增加</w:t>
      </w:r>
      <w:r>
        <w:rPr>
          <w:rFonts w:hint="eastAsia" w:ascii="仿宋_GB2312" w:eastAsia="仿宋_GB2312" w:cs="DengXian-Regular"/>
          <w:sz w:val="32"/>
          <w:szCs w:val="32"/>
          <w:lang w:val="en-US" w:eastAsia="zh-CN"/>
        </w:rPr>
        <w:t>277.47</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19.01</w:t>
      </w:r>
      <w:r>
        <w:rPr>
          <w:rFonts w:ascii="仿宋_GB2312" w:eastAsia="仿宋_GB2312" w:cs="DengXian-Regular"/>
          <w:sz w:val="32"/>
          <w:szCs w:val="32"/>
        </w:rPr>
        <w:t>%</w:t>
      </w:r>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法官员额内增资</w:t>
      </w:r>
      <w:r>
        <w:rPr>
          <w:rFonts w:hint="eastAsia" w:ascii="仿宋_GB2312" w:eastAsia="仿宋_GB2312" w:cs="DengXian-Regular"/>
          <w:sz w:val="32"/>
          <w:szCs w:val="32"/>
        </w:rPr>
        <w:t>。</w:t>
      </w:r>
    </w:p>
    <w:p>
      <w:pPr>
        <w:adjustRightInd w:val="0"/>
        <w:snapToGrid w:val="0"/>
        <w:spacing w:after="0" w:line="580" w:lineRule="exact"/>
        <w:rPr>
          <w:rFonts w:ascii="仿宋_GB2312" w:eastAsia="仿宋_GB2312" w:cs="DengXian-Regular"/>
          <w:sz w:val="32"/>
          <w:szCs w:val="32"/>
        </w:rPr>
      </w:pPr>
    </w:p>
    <w:p>
      <w:pPr>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（二）财政拨款收支与年初预算数对比情况</w:t>
      </w:r>
    </w:p>
    <w:p>
      <w:pPr>
        <w:adjustRightInd w:val="0"/>
        <w:snapToGrid w:val="0"/>
        <w:spacing w:after="0" w:line="580" w:lineRule="exact"/>
        <w:ind w:firstLine="640" w:firstLineChars="200"/>
        <w:rPr>
          <w:rFonts w:ascii="仿宋_GB2312" w:eastAsia="仿宋_GB2312" w:cs="DengXian-Regular"/>
          <w:sz w:val="32"/>
          <w:szCs w:val="32"/>
          <w:highlight w:val="yellow"/>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年度一般公共预算财政拨款收入</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106.30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104.21</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val="en-US" w:eastAsia="zh-CN"/>
        </w:rPr>
        <w:t>干警晋档晋级，案件数量增加较多</w:t>
      </w:r>
      <w:r>
        <w:rPr>
          <w:rFonts w:hint="eastAsia" w:ascii="仿宋_GB2312" w:eastAsia="仿宋_GB2312" w:cs="DengXian-Regular"/>
          <w:sz w:val="32"/>
          <w:szCs w:val="32"/>
        </w:rPr>
        <w:t>；本年支出</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万元，完成年初预算的</w:t>
      </w:r>
      <w:r>
        <w:rPr>
          <w:rFonts w:hint="eastAsia" w:ascii="仿宋_GB2312" w:eastAsia="仿宋_GB2312" w:cs="DengXian-Regular"/>
          <w:sz w:val="32"/>
          <w:szCs w:val="32"/>
          <w:lang w:val="en-US" w:eastAsia="zh-CN"/>
        </w:rPr>
        <w:t>106.30</w:t>
      </w:r>
      <w:r>
        <w:rPr>
          <w:rFonts w:ascii="仿宋_GB2312" w:eastAsia="仿宋_GB2312" w:cs="DengXian-Regular"/>
          <w:sz w:val="32"/>
          <w:szCs w:val="32"/>
        </w:rPr>
        <w:t>%,</w:t>
      </w:r>
      <w:r>
        <w:rPr>
          <w:rFonts w:hint="eastAsia" w:ascii="仿宋_GB2312" w:eastAsia="仿宋_GB2312" w:cs="DengXian-Regular"/>
          <w:sz w:val="32"/>
          <w:szCs w:val="32"/>
        </w:rPr>
        <w:t>比年初预算增加</w:t>
      </w:r>
      <w:r>
        <w:rPr>
          <w:rFonts w:hint="eastAsia" w:ascii="仿宋_GB2312" w:eastAsia="仿宋_GB2312" w:cs="DengXian-Regular"/>
          <w:sz w:val="32"/>
          <w:szCs w:val="32"/>
          <w:lang w:val="en-US" w:eastAsia="zh-CN"/>
        </w:rPr>
        <w:t>104.21</w:t>
      </w:r>
      <w:r>
        <w:rPr>
          <w:rFonts w:hint="eastAsia" w:ascii="仿宋_GB2312" w:eastAsia="仿宋_GB2312" w:cs="DengXian-Regular"/>
          <w:sz w:val="32"/>
          <w:szCs w:val="32"/>
        </w:rPr>
        <w:t>万元，决算数大于预算数主要原因是</w:t>
      </w:r>
      <w:r>
        <w:rPr>
          <w:rFonts w:hint="eastAsia" w:ascii="仿宋_GB2312" w:eastAsia="仿宋_GB2312" w:cs="DengXian-Regular"/>
          <w:sz w:val="32"/>
          <w:szCs w:val="32"/>
          <w:lang w:val="en-US" w:eastAsia="zh-CN"/>
        </w:rPr>
        <w:t>干警晋档晋级，案件数量增加较多。</w:t>
      </w:r>
    </w:p>
    <w:p>
      <w:pPr>
        <w:adjustRightInd w:val="0"/>
        <w:snapToGrid w:val="0"/>
        <w:spacing w:after="0" w:line="580" w:lineRule="exact"/>
        <w:rPr>
          <w:rFonts w:ascii="仿宋_GB2312" w:eastAsia="仿宋_GB2312" w:cs="DengXian-Regular"/>
          <w:sz w:val="32"/>
          <w:szCs w:val="32"/>
          <w:highlight w:val="yellow"/>
        </w:rPr>
      </w:pPr>
    </w:p>
    <w:p>
      <w:pPr>
        <w:numPr>
          <w:ilvl w:val="0"/>
          <w:numId w:val="2"/>
        </w:numPr>
        <w:adjustRightInd w:val="0"/>
        <w:snapToGrid w:val="0"/>
        <w:spacing w:after="0" w:line="580" w:lineRule="exact"/>
        <w:ind w:left="420" w:leftChars="200"/>
        <w:rPr>
          <w:rFonts w:ascii="楷体_GB2312" w:eastAsia="楷体_GB2312" w:cs="DengXian-Bold"/>
          <w:b/>
          <w:bCs/>
          <w:sz w:val="32"/>
          <w:szCs w:val="32"/>
        </w:rPr>
      </w:pPr>
      <w:r>
        <w:rPr>
          <w:rFonts w:hint="eastAsia" w:ascii="楷体_GB2312" w:eastAsia="楷体_GB2312" w:cs="DengXian-Bold"/>
          <w:b/>
          <w:bCs/>
          <w:sz w:val="32"/>
          <w:szCs w:val="32"/>
        </w:rPr>
        <w:t>财政拨款支出决算结构情况。</w:t>
      </w:r>
    </w:p>
    <w:p>
      <w:pPr>
        <w:adjustRightInd w:val="0"/>
        <w:snapToGrid w:val="0"/>
        <w:spacing w:after="0" w:line="580" w:lineRule="exact"/>
        <w:ind w:firstLine="640" w:firstLineChars="200"/>
        <w:rPr>
          <w:rFonts w:ascii="楷体_GB2312" w:eastAsia="楷体_GB2312" w:cs="DengXian-Bold"/>
          <w:b/>
          <w:bCs/>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年度财政拨款支出</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万元，主要用于以下方面</w:t>
      </w:r>
      <w:r>
        <w:rPr>
          <w:rFonts w:hint="eastAsia" w:ascii="仿宋_GB2312" w:eastAsia="仿宋_GB2312" w:cs="DengXian-Regular"/>
          <w:sz w:val="32"/>
          <w:szCs w:val="32"/>
          <w:highlight w:val="none"/>
        </w:rPr>
        <w:t>：</w:t>
      </w:r>
      <w:r>
        <w:rPr>
          <w:rFonts w:hint="eastAsia" w:ascii="仿宋_GB2312" w:eastAsia="仿宋_GB2312" w:cs="DengXian-Regular"/>
          <w:sz w:val="32"/>
          <w:szCs w:val="32"/>
        </w:rPr>
        <w:t>公共安全类（类）支出</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万元，占</w:t>
      </w:r>
      <w:r>
        <w:rPr>
          <w:rFonts w:hint="eastAsia" w:ascii="仿宋_GB2312" w:eastAsia="仿宋_GB2312" w:cs="DengXian-Regular"/>
          <w:sz w:val="32"/>
          <w:szCs w:val="32"/>
          <w:lang w:val="en-US" w:eastAsia="zh-CN"/>
        </w:rPr>
        <w:t>100</w:t>
      </w:r>
      <w:r>
        <w:rPr>
          <w:rFonts w:ascii="仿宋_GB2312" w:eastAsia="仿宋_GB2312" w:cs="DengXian-Regular"/>
          <w:sz w:val="32"/>
          <w:szCs w:val="32"/>
        </w:rPr>
        <w:t>%</w:t>
      </w:r>
      <w:r>
        <w:rPr>
          <w:rFonts w:hint="eastAsia" w:ascii="仿宋_GB2312" w:eastAsia="仿宋_GB2312" w:cs="DengXian-Regular"/>
          <w:sz w:val="32"/>
          <w:szCs w:val="32"/>
          <w:lang w:eastAsia="zh-CN"/>
        </w:rPr>
        <w:t>。</w:t>
      </w:r>
    </w:p>
    <w:p>
      <w:pPr>
        <w:adjustRightInd w:val="0"/>
        <w:snapToGrid w:val="0"/>
        <w:spacing w:after="0" w:line="580" w:lineRule="exact"/>
        <w:ind w:left="420" w:leftChars="200"/>
        <w:rPr>
          <w:rFonts w:ascii="楷体_GB2312" w:eastAsia="楷体_GB2312" w:cs="DengXian-Bold"/>
          <w:b/>
          <w:bCs/>
          <w:sz w:val="32"/>
          <w:szCs w:val="32"/>
        </w:rPr>
      </w:pPr>
    </w:p>
    <w:p>
      <w:pPr>
        <w:adjustRightInd w:val="0"/>
        <w:snapToGrid w:val="0"/>
        <w:spacing w:after="0" w:line="580" w:lineRule="exact"/>
        <w:ind w:left="420" w:leftChars="200"/>
        <w:rPr>
          <w:rFonts w:ascii="仿宋_GB2312" w:eastAsia="仿宋_GB2312" w:cs="DengXian-Regular"/>
          <w:sz w:val="32"/>
          <w:szCs w:val="32"/>
          <w:highlight w:val="yellow"/>
        </w:rPr>
      </w:pPr>
      <w:r>
        <mc:AlternateContent>
          <mc:Choice Requires="wpg">
            <w:drawing>
              <wp:anchor distT="0" distB="0" distL="114300" distR="114300" simplePos="0" relativeHeight="251685888"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1" name="组合 79"/>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69" name="矩形 13"/>
                        <wps:cNvSpPr/>
                        <wps:spPr>
                          <a:xfrm>
                            <a:off x="4551" y="52615"/>
                            <a:ext cx="8546" cy="1175"/>
                          </a:xfrm>
                          <a:prstGeom prst="rect">
                            <a:avLst/>
                          </a:prstGeom>
                          <a:solidFill>
                            <a:srgbClr val="96DA9D"/>
                          </a:solidFill>
                          <a:ln w="25400">
                            <a:noFill/>
                          </a:ln>
                        </wps:spPr>
                        <wps:bodyPr anchor="ctr" anchorCtr="0" upright="1"/>
                      </wps:wsp>
                      <wps:wsp>
                        <wps:cNvPr id="70"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79" o:spid="_x0000_s1026" o:spt="203" style="position:absolute;left:0pt;margin-left:-79.5pt;margin-top:29.3pt;height:43.95pt;width:301.85pt;mso-position-vertical-relative:page;z-index:251685888;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xV6itsA&#10;AAALAQAADwAAAAAAAAABACAAAAAiAAAAZHJzL2Rvd25yZXYueG1sUEsBAhQAFAAAAAgAh07iQAlq&#10;tyLHAgAAJgcAAA4AAAAAAAAAAQAgAAAAKgEAAGRycy9lMm9Eb2MueG1sUEsFBgAAAAAGAAYAWQEA&#10;AGMGAAAAAA==&#10;">
                <o:lock v:ext="edit" aspectratio="f"/>
                <v:rect id="矩形 13" o:spid="_x0000_s1026" o:spt="1" style="position:absolute;left:4551;top:52615;height:1175;width:8546;v-text-anchor:middle;" fillcolor="#96DA9D" filled="t" stroked="f" coordsize="21600,21600" o:gfxdata="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FAcs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ijcqZroAAADb&#10;AAAADwAAAGRycy9kb3ducmV2LnhtbEVPy4rCMBTdC/5DuII7TZ1FHapRRBBHQYbRiri7NNem2NyU&#10;Jr7m6yeLAZeH857On7YWd2p95VjBaJiAIC6crrhUkB9Wg08QPiBrrB2Tghd5mM+6nSlm2j34h+77&#10;UIoYwj5DBSaEJpPSF4Ys+qFriCN3ca3FEGFbSt3iI4bbWn4kSSotVhwbDDa0NFRc9zer4Ds35zVu&#10;6WR32+sxX1SY/m5Spfq9UTIBEegZ3uJ/95dWMI7r45f4A+Ts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KNypmugAAANsA&#10;AAAPAAAAAAAAAAEAIAAAACIAAABkcnMvZG93bnJldi54bWxQSwECFAAUAAAACACHTuJAMy8FnjsA&#10;AAA5AAAAEAAAAAAAAAABACAAAAAJAQAAZHJzL3NoYXBleG1sLnhtbFBLBQYAAAAABgAGAFsBAACz&#10;Aw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（四）一般公共预算财政拨款基本支出决算情况说明</w:t>
      </w:r>
      <w:r>
        <mc:AlternateContent>
          <mc:Choice Requires="wpg">
            <w:drawing>
              <wp:anchor distT="0" distB="0" distL="114300" distR="114300" simplePos="0" relativeHeight="25169203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95" name="组合 23"/>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93" name="矩形 13"/>
                        <wps:cNvSpPr/>
                        <wps:spPr>
                          <a:xfrm>
                            <a:off x="4551" y="52615"/>
                            <a:ext cx="8546" cy="1175"/>
                          </a:xfrm>
                          <a:prstGeom prst="rect">
                            <a:avLst/>
                          </a:prstGeom>
                          <a:solidFill>
                            <a:srgbClr val="96DA9D"/>
                          </a:solidFill>
                          <a:ln w="25400">
                            <a:noFill/>
                          </a:ln>
                        </wps:spPr>
                        <wps:bodyPr anchor="ctr" anchorCtr="0" upright="1"/>
                      </wps:wsp>
                      <wps:wsp>
                        <wps:cNvPr id="94"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23" o:spid="_x0000_s1026" o:spt="203" style="position:absolute;left:0pt;margin-left:-79.5pt;margin-top:29.3pt;height:43.95pt;width:301.85pt;mso-position-vertical-relative:page;z-index:25169203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">
                <o:lock v:ext="edit" aspectratio="f"/>
                <v:rect id="矩形 13" o:spid="_x0000_s1026" o:spt="1" style="position:absolute;left:4551;top:52615;height:1175;width:8546;v-text-anchor:middle;" fillcolor="#96DA9D" filled="t" stroked="f" coordsize="21600,21600" o:gfxdata="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G1bf7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QDKn74AAADb&#10;AAAADwAAAGRycy9kb3ducmV2LnhtbEWP3WoCMRSE7wXfIZxC7zSrlEVXoxRBWgUp2i3i3WFz3Cxu&#10;TpZN/Gmf3hQEL4eZ+YaZzm+2FhdqfeVYwaCfgCAunK64VJB/L3sjED4ga6wdk4Jf8jCfdTtTzLS7&#10;8pYuu1CKCGGfoQITQpNJ6QtDFn3fNcTRO7rWYoiyLaVu8RrhtpbDJEmlxYrjgsGGFoaK0+5sFXzl&#10;5vCBa9rbzfr0k79XmP6tUqVeXwbJBESgW3iGH+1PrWD8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QDKn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 xml:space="preserve">2018 </w:t>
      </w:r>
      <w:r>
        <w:rPr>
          <w:rFonts w:hint="eastAsia" w:ascii="仿宋_GB2312" w:eastAsia="仿宋_GB2312" w:cs="DengXian-Regular"/>
          <w:sz w:val="32"/>
          <w:szCs w:val="32"/>
        </w:rPr>
        <w:t>年度一般公共预算财政拨款基本支出</w:t>
      </w:r>
      <w:r>
        <w:rPr>
          <w:rFonts w:hint="eastAsia" w:ascii="仿宋_GB2312" w:eastAsia="仿宋_GB2312" w:cs="DengXian-Regular"/>
          <w:sz w:val="32"/>
          <w:szCs w:val="32"/>
          <w:lang w:val="en-US" w:eastAsia="zh-CN"/>
        </w:rPr>
        <w:t>1737.39</w:t>
      </w:r>
      <w:r>
        <w:rPr>
          <w:rFonts w:hint="eastAsia" w:ascii="仿宋_GB2312" w:eastAsia="仿宋_GB2312" w:cs="DengXian-Regular"/>
          <w:sz w:val="32"/>
          <w:szCs w:val="32"/>
        </w:rPr>
        <w:t>万元，其中：人员经费</w:t>
      </w:r>
      <w:r>
        <w:rPr>
          <w:rFonts w:hint="eastAsia" w:ascii="仿宋_GB2312" w:eastAsia="仿宋_GB2312" w:cs="DengXian-Regular"/>
          <w:sz w:val="32"/>
          <w:szCs w:val="32"/>
          <w:lang w:val="en-US" w:eastAsia="zh-CN"/>
        </w:rPr>
        <w:t>995.98</w:t>
      </w:r>
      <w:r>
        <w:rPr>
          <w:rFonts w:hint="eastAsia" w:ascii="仿宋_GB2312" w:eastAsia="仿宋_GB2312" w:cs="DengXian-Regular"/>
          <w:sz w:val="32"/>
          <w:szCs w:val="32"/>
        </w:rPr>
        <w:t>万元，主要包括基本工资、津贴补贴、奖金、伙食补助费、绩效工资、机关事业单位基本养老保险缴费、职业年金缴费、职工基本医疗保险缴费、公务员医疗补助缴费、住房公积金、医疗费、其他社会保障缴费、其他工资福利支出、离休费、退休费、抚恤金、生活补助、医疗费补助、奖励金、其他对个人和家庭的补助支出；公用经费</w:t>
      </w:r>
      <w:r>
        <w:rPr>
          <w:rFonts w:hint="eastAsia" w:ascii="仿宋_GB2312" w:eastAsia="仿宋_GB2312" w:cs="DengXian-Regular"/>
          <w:sz w:val="32"/>
          <w:szCs w:val="32"/>
          <w:lang w:val="en-US" w:eastAsia="zh-CN"/>
        </w:rPr>
        <w:t>741.40</w:t>
      </w:r>
      <w:r>
        <w:rPr>
          <w:rFonts w:hint="eastAsia" w:ascii="仿宋_GB2312" w:eastAsia="仿宋_GB2312" w:cs="DengXian-Regular"/>
          <w:sz w:val="32"/>
          <w:szCs w:val="32"/>
        </w:rPr>
        <w:t>万元，主要包括办公费、印刷费、咨询费、手续费、水费、电费、邮电费、取暖费、物业管理费、差旅费、因公出国（境）费用、维修（护）费、租赁费、会议费、培训费、公务接待费、专用材料费、劳务费、委托业务费、工会经费、福利费、公务用车运行维护费、其他交通费用、税金及附加费用、其他商品和服务支出、办公设备购置、专用设备购置、信息网络及软件购置更新、公务用车购置、其他资本性支出。</w:t>
      </w:r>
    </w:p>
    <w:p>
      <w:pPr>
        <w:pStyle w:val="3"/>
        <w:spacing w:before="0" w:after="0" w:line="580" w:lineRule="exact"/>
        <w:ind w:firstLine="640" w:firstLineChars="200"/>
        <w:rPr>
          <w:rFonts w:ascii="黑体" w:eastAsia="黑体"/>
          <w:b w:val="0"/>
          <w:bCs w:val="0"/>
        </w:rPr>
      </w:pPr>
      <w:r>
        <w:rPr>
          <w:rFonts w:hint="eastAsia" w:ascii="黑体" w:eastAsia="黑体"/>
          <w:b w:val="0"/>
          <w:bCs w:val="0"/>
        </w:rPr>
        <w:t>五、一般公共预算财政拨款“三公”</w:t>
      </w:r>
      <w:r>
        <w:rPr>
          <w:rFonts w:ascii="黑体" w:eastAsia="黑体"/>
          <w:b w:val="0"/>
          <w:bCs w:val="0"/>
        </w:rPr>
        <w:t xml:space="preserve"> </w:t>
      </w:r>
      <w:r>
        <w:rPr>
          <w:rFonts w:hint="eastAsia" w:ascii="黑体" w:eastAsia="黑体"/>
          <w:b w:val="0"/>
          <w:bCs w:val="0"/>
        </w:rPr>
        <w:t>经费支出决算情况说明</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w:t>
      </w:r>
      <w:r>
        <w:rPr>
          <w:rFonts w:ascii="仿宋_GB2312" w:eastAsia="仿宋_GB2312" w:cs="DengXian-Regular"/>
          <w:sz w:val="32"/>
          <w:szCs w:val="32"/>
        </w:rPr>
        <w:t xml:space="preserve"> </w:t>
      </w:r>
      <w:r>
        <w:rPr>
          <w:rFonts w:hint="eastAsia" w:ascii="仿宋_GB2312" w:eastAsia="仿宋_GB2312" w:cs="DengXian-Regular"/>
          <w:sz w:val="32"/>
          <w:szCs w:val="32"/>
        </w:rPr>
        <w:t>“三公”经费支出共计</w:t>
      </w:r>
      <w:r>
        <w:rPr>
          <w:rFonts w:hint="eastAsia" w:ascii="仿宋_GB2312" w:eastAsia="仿宋_GB2312" w:cs="DengXian-Regular"/>
          <w:sz w:val="32"/>
          <w:szCs w:val="32"/>
          <w:lang w:val="en-US" w:eastAsia="zh-CN"/>
        </w:rPr>
        <w:t>44.34</w:t>
      </w:r>
      <w:r>
        <w:rPr>
          <w:rFonts w:hint="eastAsia" w:ascii="仿宋_GB2312" w:eastAsia="仿宋_GB2312" w:cs="DengXian-Regular"/>
          <w:sz w:val="32"/>
          <w:szCs w:val="32"/>
        </w:rPr>
        <w:t>万元，</w:t>
      </w:r>
      <w:r>
        <w:rPr>
          <w:rFonts w:hint="eastAsia" w:ascii="仿宋_GB2312" w:eastAsia="仿宋_GB2312" w:cs="DengXian-Regular"/>
          <w:b w:val="0"/>
          <w:bCs w:val="0"/>
          <w:sz w:val="32"/>
          <w:szCs w:val="32"/>
        </w:rPr>
        <w:t>较年初预算减少</w:t>
      </w:r>
      <w:r>
        <w:rPr>
          <w:rFonts w:hint="eastAsia" w:ascii="仿宋_GB2312" w:eastAsia="仿宋_GB2312" w:cs="DengXian-Regular"/>
          <w:b w:val="0"/>
          <w:bCs w:val="0"/>
          <w:sz w:val="32"/>
          <w:szCs w:val="32"/>
          <w:lang w:val="en-US" w:eastAsia="zh-CN"/>
        </w:rPr>
        <w:t>15.32</w:t>
      </w:r>
      <w:r>
        <w:rPr>
          <w:rFonts w:hint="eastAsia" w:ascii="仿宋_GB2312" w:eastAsia="仿宋_GB2312" w:cs="DengXian-Regular"/>
          <w:b w:val="0"/>
          <w:bCs w:val="0"/>
          <w:sz w:val="32"/>
          <w:szCs w:val="32"/>
        </w:rPr>
        <w:t>万元，降低</w:t>
      </w:r>
      <w:r>
        <w:rPr>
          <w:rFonts w:hint="eastAsia" w:ascii="仿宋_GB2312" w:eastAsia="仿宋_GB2312" w:cs="DengXian-Regular"/>
          <w:b w:val="0"/>
          <w:bCs w:val="0"/>
          <w:sz w:val="32"/>
          <w:szCs w:val="32"/>
          <w:lang w:val="en-US" w:eastAsia="zh-CN"/>
        </w:rPr>
        <w:t>25.70</w:t>
      </w:r>
      <w:r>
        <w:rPr>
          <w:rFonts w:ascii="仿宋_GB2312" w:eastAsia="仿宋_GB2312" w:cs="DengXian-Regular"/>
          <w:b w:val="0"/>
          <w:bCs w:val="0"/>
          <w:sz w:val="32"/>
          <w:szCs w:val="32"/>
        </w:rPr>
        <w:t>%</w:t>
      </w:r>
      <w:r>
        <w:rPr>
          <w:rFonts w:hint="eastAsia" w:ascii="仿宋_GB2312" w:eastAsia="仿宋_GB2312" w:cs="DengXian-Regular"/>
          <w:b w:val="0"/>
          <w:bCs w:val="0"/>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精神和厉行节约要求，从严控制“三公”经费开支，全年实际支出比预算有所节约。具体情况如下：</w:t>
      </w:r>
    </w:p>
    <w:p>
      <w:pPr>
        <w:adjustRightInd w:val="0"/>
        <w:snapToGrid w:val="0"/>
        <w:spacing w:after="0" w:line="580" w:lineRule="exact"/>
        <w:ind w:firstLine="643" w:firstLineChars="200"/>
        <w:rPr>
          <w:rFonts w:hint="eastAsia" w:ascii="楷体_GB2312" w:eastAsia="楷体_GB2312" w:cs="DengXian-Bold"/>
          <w:b/>
          <w:bCs/>
          <w:sz w:val="32"/>
          <w:szCs w:val="32"/>
        </w:rPr>
      </w:pPr>
      <w:r>
        <w:rPr>
          <w:rFonts w:hint="eastAsia" w:ascii="楷体_GB2312" w:eastAsia="楷体_GB2312" w:cs="DengXian-Bold"/>
          <w:b/>
          <w:bCs/>
          <w:sz w:val="32"/>
          <w:szCs w:val="32"/>
        </w:rPr>
        <w:t>（</w:t>
      </w:r>
      <w:r>
        <mc:AlternateContent>
          <mc:Choice Requires="wpg">
            <w:drawing>
              <wp:anchor distT="0" distB="0" distL="114300" distR="114300" simplePos="0" relativeHeight="251686912"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4" name="组合 82"/>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2" name="矩形 13"/>
                        <wps:cNvSpPr/>
                        <wps:spPr>
                          <a:xfrm>
                            <a:off x="4551" y="52615"/>
                            <a:ext cx="8546" cy="1175"/>
                          </a:xfrm>
                          <a:prstGeom prst="rect">
                            <a:avLst/>
                          </a:prstGeom>
                          <a:solidFill>
                            <a:srgbClr val="96DA9D"/>
                          </a:solidFill>
                          <a:ln w="25400">
                            <a:noFill/>
                          </a:ln>
                        </wps:spPr>
                        <wps:bodyPr anchor="ctr" anchorCtr="0" upright="1"/>
                      </wps:wsp>
                      <wps:wsp>
                        <wps:cNvPr id="73"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2" o:spid="_x0000_s1026" o:spt="203" style="position:absolute;left:0pt;margin-left:-79.5pt;margin-top:29.3pt;height:43.95pt;width:301.85pt;mso-position-vertical-relative:page;z-index:251686912;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K3zOWL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qy0YHrsAAADb&#10;AAAADwAAAGRycy9kb3ducmV2LnhtbEWPQWsCMRSE70L/Q3gFb/qyQlvZGj0UCj0VatuDt8fmuVnc&#10;vCxJXLf/vhEEj8PMfMNsdpPv1cgxdUEMVEsNiqUJtpPWwM/3+2INKmUSS30QNvDHCXbbh9mGahsu&#10;8sXjPreqQCTVZMDlPNSIqXHsKS3DwFK8Y4iecpGxRRvpUuC+x5XWz+ipk7LgaOA3x81pf/YGMHJE&#10;F6djPKTxjNWn/n1qTsbMHyv9CirzlO/hW/vD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y0YH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euW0Eb4AAADb&#10;AAAADwAAAGRycy9kb3ducmV2LnhtbEWP3WoCMRSE7wXfIZxC7zSrhVVWoxRBWgUp2i3i3WFz3Cxu&#10;TpZN/Gmf3hQEL4eZ+YaZzm+2FhdqfeVYwaCfgCAunK64VJB/L3tjED4ga6wdk4Jf8jCfdTtTzLS7&#10;8pYuu1CKCGGfoQITQpNJ6QtDFn3fNcTRO7rWYoiyLaVu8RrhtpbDJEmlxYrjgsGGFoaK0+5sFXzl&#10;5vCBa9rbzfr0k79XmP6tUqVeXwbJBESgW3iGH+1PrWD0Bv9f4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uW0E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楷体_GB2312" w:eastAsia="楷体_GB2312" w:cs="DengXian-Bold"/>
          <w:b/>
          <w:bCs/>
          <w:sz w:val="32"/>
          <w:szCs w:val="32"/>
        </w:rPr>
        <w:t>一）因公出国（境）费支出</w:t>
      </w:r>
      <w:r>
        <w:rPr>
          <w:rFonts w:hint="eastAsia" w:ascii="楷体_GB2312" w:eastAsia="楷体_GB2312" w:cs="DengXian-Bold"/>
          <w:b/>
          <w:bCs/>
          <w:sz w:val="32"/>
          <w:szCs w:val="32"/>
          <w:lang w:val="en-US" w:eastAsia="zh-CN"/>
        </w:rPr>
        <w:t>0</w:t>
      </w:r>
      <w:r>
        <w:rPr>
          <w:rFonts w:hint="eastAsia" w:ascii="楷体_GB2312" w:eastAsia="楷体_GB2312" w:cs="DengXian-Bold"/>
          <w:b/>
          <w:bCs/>
          <w:sz w:val="32"/>
          <w:szCs w:val="32"/>
        </w:rPr>
        <w:t>万元。</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年度因公出国（境）团组0个、共0人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参加其他单位组织的因公出国（境）团组0个、共0人</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无本单位组织的出国（境）团组。因公出国（境）费支出较预算增加0万元，增长0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w:t>
      </w:r>
    </w:p>
    <w:p>
      <w:pPr>
        <w:adjustRightInd w:val="0"/>
        <w:snapToGrid w:val="0"/>
        <w:spacing w:after="0" w:line="580" w:lineRule="exact"/>
        <w:ind w:firstLine="643" w:firstLineChars="200"/>
        <w:rPr>
          <w:rFonts w:ascii="仿宋_GB2312" w:eastAsia="仿宋_GB2312" w:cs="DengXian-Bold"/>
          <w:b/>
          <w:bCs/>
          <w:sz w:val="32"/>
          <w:szCs w:val="32"/>
        </w:rPr>
      </w:pPr>
      <w:r>
        <w:rPr>
          <w:rFonts w:hint="eastAsia" w:ascii="楷体_GB2312" w:eastAsia="楷体_GB2312" w:cs="DengXian-Bold"/>
          <w:b/>
          <w:bCs/>
          <w:sz w:val="32"/>
          <w:szCs w:val="32"/>
        </w:rPr>
        <w:t>（二）公务用车购置及运行维护费支出</w:t>
      </w:r>
      <w:r>
        <w:rPr>
          <w:rFonts w:hint="eastAsia" w:ascii="楷体_GB2312" w:eastAsia="楷体_GB2312" w:cs="DengXian-Bold"/>
          <w:b/>
          <w:bCs/>
          <w:sz w:val="32"/>
          <w:szCs w:val="32"/>
          <w:lang w:val="en-US" w:eastAsia="zh-CN"/>
        </w:rPr>
        <w:t>44.30</w:t>
      </w:r>
      <w:r>
        <w:rPr>
          <w:rFonts w:hint="eastAsia" w:ascii="楷体_GB2312" w:eastAsia="楷体_GB2312" w:cs="DengXian-Bold"/>
          <w:b/>
          <w:bCs/>
          <w:sz w:val="32"/>
          <w:szCs w:val="32"/>
        </w:rPr>
        <w:t>万元。</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年度公务用车购置及运行维护费较年初预算减少</w:t>
      </w:r>
      <w:r>
        <w:rPr>
          <w:rFonts w:hint="eastAsia" w:ascii="仿宋_GB2312" w:eastAsia="仿宋_GB2312" w:cs="DengXian-Regular"/>
          <w:sz w:val="32"/>
          <w:szCs w:val="32"/>
          <w:lang w:val="en-US" w:eastAsia="zh-CN"/>
        </w:rPr>
        <w:t>12.70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22.30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Bold"/>
          <w:b/>
          <w:bCs/>
          <w:sz w:val="32"/>
          <w:szCs w:val="32"/>
        </w:rPr>
        <w:t>其中：</w:t>
      </w:r>
    </w:p>
    <w:p>
      <w:pPr>
        <w:adjustRightInd w:val="0"/>
        <w:snapToGrid w:val="0"/>
        <w:spacing w:line="580" w:lineRule="exact"/>
        <w:ind w:firstLine="643" w:firstLineChars="200"/>
        <w:rPr>
          <w:rFonts w:ascii="仿宋_GB2312" w:hAnsi="Times New Roman" w:eastAsia="仿宋_GB2312" w:cs="DengXian-Regular"/>
          <w:sz w:val="32"/>
          <w:szCs w:val="32"/>
        </w:rPr>
      </w:pPr>
      <w:r>
        <w:rPr>
          <w:rFonts w:hint="eastAsia" w:ascii="仿宋_GB2312" w:eastAsia="仿宋_GB2312" w:cs="DengXian-Regular"/>
          <w:b/>
          <w:sz w:val="32"/>
          <w:szCs w:val="32"/>
        </w:rPr>
        <w:t>公务用车购置费：</w:t>
      </w:r>
      <w:r>
        <w:rPr>
          <w:rFonts w:hint="eastAsia" w:ascii="仿宋_GB2312" w:hAnsi="Times New Roman" w:eastAsia="仿宋_GB2312" w:cs="DengXian-Regular"/>
          <w:sz w:val="32"/>
          <w:szCs w:val="32"/>
        </w:rPr>
        <w:t>本部门</w:t>
      </w:r>
      <w:r>
        <w:rPr>
          <w:rFonts w:ascii="仿宋_GB2312" w:hAnsi="Times New Roman" w:eastAsia="仿宋_GB2312" w:cs="DengXian-Regular"/>
          <w:sz w:val="32"/>
          <w:szCs w:val="32"/>
        </w:rPr>
        <w:t>201</w:t>
      </w:r>
      <w:r>
        <w:rPr>
          <w:rFonts w:hint="eastAsia" w:ascii="仿宋_GB2312" w:hAnsi="Times New Roman" w:eastAsia="仿宋_GB2312" w:cs="DengXian-Regular"/>
          <w:sz w:val="32"/>
          <w:szCs w:val="32"/>
          <w:lang w:val="en-US" w:eastAsia="zh-CN"/>
        </w:rPr>
        <w:t>8</w:t>
      </w:r>
      <w:r>
        <w:rPr>
          <w:rFonts w:hint="eastAsia" w:ascii="仿宋_GB2312" w:hAnsi="Times New Roman" w:eastAsia="仿宋_GB2312" w:cs="DengXian-Regular"/>
          <w:sz w:val="32"/>
          <w:szCs w:val="32"/>
        </w:rPr>
        <w:t>年度公务用车购置量0辆，发生“公务用车购置”经费支出0万元。公务用车购置费支出较预算增加0万元，增长0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；较上年增加0万元，增长0</w:t>
      </w:r>
      <w:r>
        <w:rPr>
          <w:rFonts w:ascii="仿宋_GB2312" w:hAnsi="Times New Roman" w:eastAsia="仿宋_GB2312" w:cs="DengXian-Regular"/>
          <w:sz w:val="32"/>
          <w:szCs w:val="32"/>
        </w:rPr>
        <w:t>%,</w:t>
      </w:r>
      <w:r>
        <w:rPr>
          <w:rFonts w:hint="eastAsia" w:ascii="仿宋_GB2312" w:hAnsi="Times New Roman" w:eastAsia="仿宋_GB2312" w:cs="DengXian-Regular"/>
          <w:sz w:val="32"/>
          <w:szCs w:val="32"/>
        </w:rPr>
        <w:t>主要是</w:t>
      </w:r>
      <w:r>
        <w:rPr>
          <w:rFonts w:hint="eastAsia" w:ascii="仿宋_GB2312" w:eastAsia="仿宋_GB2312" w:cs="DengXian-Regular"/>
          <w:sz w:val="32"/>
          <w:szCs w:val="32"/>
        </w:rPr>
        <w:t>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w:t>
      </w:r>
      <w:r>
        <w:rPr>
          <w:rFonts w:hint="eastAsia" w:ascii="仿宋_GB2312" w:hAnsi="Times New Roman" w:eastAsia="仿宋_GB2312" w:cs="DengXian-Regular"/>
          <w:sz w:val="32"/>
          <w:szCs w:val="32"/>
        </w:rPr>
        <w:t>。</w:t>
      </w:r>
    </w:p>
    <w:p>
      <w:pPr>
        <w:adjustRightInd w:val="0"/>
        <w:snapToGrid w:val="0"/>
        <w:spacing w:after="0" w:line="580" w:lineRule="exact"/>
        <w:ind w:firstLine="643" w:firstLineChars="200"/>
        <w:rPr>
          <w:rFonts w:ascii="仿宋_GB2312" w:eastAsia="仿宋_GB2312" w:cs="DengXian-Regular"/>
          <w:sz w:val="32"/>
          <w:szCs w:val="32"/>
        </w:rPr>
      </w:pPr>
      <w:r>
        <w:rPr>
          <w:rFonts w:hint="eastAsia" w:ascii="仿宋_GB2312" w:eastAsia="仿宋_GB2312" w:cs="DengXian-Regular"/>
          <w:b/>
          <w:sz w:val="32"/>
          <w:szCs w:val="32"/>
        </w:rPr>
        <w:t>公务用车运行维护费：</w: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年度单位公务用车保有量</w:t>
      </w:r>
      <w:r>
        <w:rPr>
          <w:rFonts w:hint="eastAsia" w:ascii="仿宋_GB2312" w:eastAsia="仿宋_GB2312" w:cs="DengXian-Regular"/>
          <w:sz w:val="32"/>
          <w:szCs w:val="32"/>
          <w:lang w:val="en-US" w:eastAsia="zh-CN"/>
        </w:rPr>
        <w:t>28</w:t>
      </w:r>
      <w:r>
        <w:rPr>
          <w:rFonts w:hint="eastAsia" w:ascii="仿宋_GB2312" w:eastAsia="仿宋_GB2312" w:cs="DengXian-Regular"/>
          <w:sz w:val="32"/>
          <w:szCs w:val="32"/>
        </w:rPr>
        <w:t>辆。公车运行维护费支出较年初预算减少</w:t>
      </w:r>
      <w:r>
        <w:rPr>
          <w:rFonts w:hint="eastAsia" w:ascii="仿宋_GB2312" w:eastAsia="仿宋_GB2312" w:cs="DengXian-Regular"/>
          <w:sz w:val="32"/>
          <w:szCs w:val="32"/>
          <w:lang w:val="en-US" w:eastAsia="zh-CN"/>
        </w:rPr>
        <w:t>12.70</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22.3</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p>
    <w:p>
      <w:pPr>
        <w:numPr>
          <w:ilvl w:val="0"/>
          <w:numId w:val="2"/>
        </w:numPr>
        <w:adjustRightInd w:val="0"/>
        <w:snapToGrid w:val="0"/>
        <w:spacing w:after="0" w:line="580" w:lineRule="exact"/>
        <w:ind w:left="420" w:leftChars="200" w:firstLine="0" w:firstLineChars="0"/>
        <w:rPr>
          <w:rFonts w:hint="eastAsia" w:ascii="楷体_GB2312" w:eastAsia="楷体_GB2312" w:cs="DengXian-Bold"/>
          <w:b/>
          <w:bCs/>
          <w:sz w:val="32"/>
          <w:szCs w:val="32"/>
        </w:rPr>
      </w:pPr>
      <w:r>
        <w:rPr>
          <w:rFonts w:hint="eastAsia" w:ascii="楷体_GB2312" w:eastAsia="楷体_GB2312" w:cs="DengXian-Bold"/>
          <w:b/>
          <w:bCs/>
          <w:sz w:val="32"/>
          <w:szCs w:val="32"/>
        </w:rPr>
        <w:t>公务接待费支出</w:t>
      </w:r>
      <w:r>
        <w:rPr>
          <w:rFonts w:hint="eastAsia" w:ascii="楷体_GB2312" w:eastAsia="楷体_GB2312" w:cs="DengXian-Bold"/>
          <w:b/>
          <w:bCs/>
          <w:sz w:val="32"/>
          <w:szCs w:val="32"/>
          <w:lang w:val="en-US" w:eastAsia="zh-CN"/>
        </w:rPr>
        <w:t>0.04</w:t>
      </w:r>
      <w:r>
        <w:rPr>
          <w:rFonts w:hint="eastAsia" w:ascii="楷体_GB2312" w:eastAsia="楷体_GB2312" w:cs="DengXian-Bold"/>
          <w:b/>
          <w:bCs/>
          <w:sz w:val="32"/>
          <w:szCs w:val="32"/>
        </w:rPr>
        <w:t>万元。</w:t>
      </w:r>
    </w:p>
    <w:p>
      <w:pPr>
        <w:numPr>
          <w:ilvl w:val="0"/>
          <w:numId w:val="0"/>
        </w:numPr>
        <w:adjustRightInd w:val="0"/>
        <w:snapToGrid w:val="0"/>
        <w:spacing w:after="0" w:line="580" w:lineRule="exact"/>
        <w:ind w:leftChars="200" w:firstLine="630" w:firstLineChars="300"/>
        <w:rPr>
          <w:rFonts w:hint="eastAsia" w:ascii="仿宋_GB2312" w:eastAsia="仿宋_GB2312" w:cs="DengXian-Regular"/>
          <w:sz w:val="32"/>
          <w:szCs w:val="32"/>
          <w:lang w:eastAsia="zh-CN"/>
        </w:rPr>
      </w:pPr>
      <w:r>
        <mc:AlternateContent>
          <mc:Choice Requires="wpg">
            <w:drawing>
              <wp:anchor distT="0" distB="0" distL="114300" distR="114300" simplePos="0" relativeHeight="25168793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77" name="组合 85"/>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75" name="矩形 13"/>
                        <wps:cNvSpPr/>
                        <wps:spPr>
                          <a:xfrm>
                            <a:off x="4551" y="52615"/>
                            <a:ext cx="8546" cy="1175"/>
                          </a:xfrm>
                          <a:prstGeom prst="rect">
                            <a:avLst/>
                          </a:prstGeom>
                          <a:solidFill>
                            <a:srgbClr val="96DA9D"/>
                          </a:solidFill>
                          <a:ln w="25400">
                            <a:noFill/>
                          </a:ln>
                        </wps:spPr>
                        <wps:bodyPr anchor="ctr" anchorCtr="0" upright="1"/>
                      </wps:wsp>
                      <wps:wsp>
                        <wps:cNvPr id="76"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组合 85" o:spid="_x0000_s1026" o:spt="203" style="position:absolute;left:0pt;margin-left:-79.5pt;margin-top:29.3pt;height:43.95pt;width:301.85pt;mso-position-vertical-relative:page;z-index:25168793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">
                <o:lock v:ext="edit" aspectratio="f"/>
                <v:rect id="矩形 13" o:spid="_x0000_s1026" o:spt="1" style="position:absolute;left:4551;top:52615;height:1175;width:8546;v-text-anchor:middle;" fillcolor="#96DA9D" filled="t" stroked="f" coordsize="21600,21600" o:gfxdata="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MSAa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apIXib4AAADb&#10;AAAADwAAAGRycy9kb3ducmV2LnhtbEWPW4vCMBSE3xf8D+EIvq2pPnSXahQRxAsssloR3w7NsSk2&#10;J6WJl91fbxYWfBxm5htmPH3YWtyo9ZVjBYN+AoK4cLriUkG+X7x/gvABWWPtmBT8kIfppPM2xky7&#10;O3/TbRdKESHsM1RgQmgyKX1hyKLvu4Y4emfXWgxRtqXULd4j3NZymCSptFhxXDDY0NxQcdldrYJt&#10;bk5L3NDRfm0uh3xWYfq7TpXqdQfJCESgR3iF/9srreAjhb8v8QfIy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IXi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年度公务接待共</w:t>
      </w:r>
      <w:r>
        <w:rPr>
          <w:rFonts w:hint="eastAsia" w:ascii="仿宋_GB2312" w:eastAsia="仿宋_GB2312" w:cs="DengXian-Regular"/>
          <w:sz w:val="32"/>
          <w:szCs w:val="32"/>
          <w:lang w:val="en-US" w:eastAsia="zh-CN"/>
        </w:rPr>
        <w:t>1</w:t>
      </w:r>
      <w:r>
        <w:rPr>
          <w:rFonts w:hint="eastAsia" w:ascii="仿宋_GB2312" w:eastAsia="仿宋_GB2312" w:cs="DengXian-Regular"/>
          <w:sz w:val="32"/>
          <w:szCs w:val="32"/>
        </w:rPr>
        <w:t>批次、</w:t>
      </w:r>
      <w:r>
        <w:rPr>
          <w:rFonts w:hint="eastAsia" w:ascii="仿宋_GB2312" w:eastAsia="仿宋_GB2312" w:cs="DengXian-Regular"/>
          <w:sz w:val="32"/>
          <w:szCs w:val="32"/>
          <w:lang w:val="en-US" w:eastAsia="zh-CN"/>
        </w:rPr>
        <w:t>3</w:t>
      </w:r>
      <w:r>
        <w:rPr>
          <w:rFonts w:hint="eastAsia" w:ascii="仿宋_GB2312" w:eastAsia="仿宋_GB2312" w:cs="DengXian-Regular"/>
          <w:sz w:val="32"/>
          <w:szCs w:val="32"/>
        </w:rPr>
        <w:t>人次。公务接待费支出较年初预算减少</w:t>
      </w:r>
      <w:r>
        <w:rPr>
          <w:rFonts w:hint="eastAsia" w:ascii="仿宋_GB2312" w:eastAsia="仿宋_GB2312" w:cs="DengXian-Regular"/>
          <w:sz w:val="32"/>
          <w:szCs w:val="32"/>
          <w:lang w:val="en-US" w:eastAsia="zh-CN"/>
        </w:rPr>
        <w:t>2.62</w:t>
      </w:r>
      <w:r>
        <w:rPr>
          <w:rFonts w:hint="eastAsia" w:ascii="仿宋_GB2312" w:eastAsia="仿宋_GB2312" w:cs="DengXian-Regular"/>
          <w:sz w:val="32"/>
          <w:szCs w:val="32"/>
        </w:rPr>
        <w:t>万元，降低</w:t>
      </w:r>
      <w:r>
        <w:rPr>
          <w:rFonts w:hint="eastAsia" w:ascii="仿宋_GB2312" w:eastAsia="仿宋_GB2312" w:cs="DengXian-Regular"/>
          <w:sz w:val="32"/>
          <w:szCs w:val="32"/>
          <w:lang w:val="en-US" w:eastAsia="zh-CN"/>
        </w:rPr>
        <w:t>98.50</w:t>
      </w:r>
      <w:r>
        <w:rPr>
          <w:rFonts w:ascii="仿宋_GB2312" w:eastAsia="仿宋_GB2312" w:cs="DengXian-Regular"/>
          <w:sz w:val="32"/>
          <w:szCs w:val="32"/>
        </w:rPr>
        <w:t>%,</w:t>
      </w:r>
      <w:r>
        <w:rPr>
          <w:rFonts w:hint="eastAsia" w:ascii="仿宋_GB2312" w:eastAsia="仿宋_GB2312" w:cs="DengXian-Regular"/>
          <w:sz w:val="32"/>
          <w:szCs w:val="32"/>
        </w:rPr>
        <w:t>主要是认真贯彻落实中央</w:t>
      </w:r>
      <w:r>
        <w:rPr>
          <w:rFonts w:hint="eastAsia" w:ascii="仿宋_GB2312" w:eastAsia="仿宋_GB2312" w:cs="DengXian-Regular"/>
          <w:sz w:val="32"/>
          <w:szCs w:val="32"/>
          <w:lang w:eastAsia="zh-CN"/>
        </w:rPr>
        <w:t>八项规定</w:t>
      </w:r>
      <w:r>
        <w:rPr>
          <w:rFonts w:hint="eastAsia" w:ascii="仿宋_GB2312" w:eastAsia="仿宋_GB2312" w:cs="DengXian-Regular"/>
          <w:sz w:val="32"/>
          <w:szCs w:val="32"/>
        </w:rPr>
        <w:t>精神和厉行节约要求，从严控制“三公”经费开支，全年实际支出比预算有所节约</w:t>
      </w:r>
      <w:r>
        <w:rPr>
          <w:rFonts w:hint="eastAsia" w:ascii="仿宋_GB2312" w:eastAsia="仿宋_GB2312" w:cs="DengXian-Regular"/>
          <w:sz w:val="32"/>
          <w:szCs w:val="32"/>
          <w:lang w:eastAsia="zh-CN"/>
        </w:rPr>
        <w:t>。</w:t>
      </w:r>
    </w:p>
    <w:p>
      <w:pPr>
        <w:adjustRightInd w:val="0"/>
        <w:snapToGrid w:val="0"/>
        <w:spacing w:after="0" w:line="580" w:lineRule="exact"/>
        <w:ind w:firstLine="640" w:firstLineChars="200"/>
        <w:rPr>
          <w:rFonts w:ascii="黑体" w:eastAsia="黑体"/>
          <w:sz w:val="32"/>
          <w:szCs w:val="40"/>
        </w:rPr>
      </w:pPr>
      <w:r>
        <w:rPr>
          <w:rFonts w:hint="eastAsia" w:ascii="黑体" w:eastAsia="黑体"/>
          <w:sz w:val="32"/>
          <w:szCs w:val="40"/>
        </w:rPr>
        <w:t>六、预算绩效情况说明</w:t>
      </w:r>
    </w:p>
    <w:p>
      <w:pPr>
        <w:adjustRightInd w:val="0"/>
        <w:snapToGrid w:val="0"/>
        <w:spacing w:after="0" w:line="580" w:lineRule="exact"/>
        <w:ind w:firstLine="640" w:firstLineChars="200"/>
        <w:rPr>
          <w:rFonts w:hint="eastAsia" w:ascii="仿宋_GB2312" w:eastAsia="仿宋_GB2312" w:cs="DengXian-Regular"/>
          <w:sz w:val="32"/>
          <w:szCs w:val="32"/>
        </w:rPr>
      </w:pPr>
      <w:r>
        <w:rPr>
          <w:rFonts w:hint="eastAsia" w:ascii="仿宋_GB2312" w:eastAsia="仿宋_GB2312" w:cs="DengXian-Regular"/>
          <w:sz w:val="32"/>
          <w:szCs w:val="32"/>
        </w:rPr>
        <w:t>（一）预算绩效管理工作开展情况。</w:t>
      </w:r>
    </w:p>
    <w:p>
      <w:pPr>
        <w:numPr>
          <w:ilvl w:val="0"/>
          <w:numId w:val="0"/>
        </w:numPr>
        <w:adjustRightInd w:val="0"/>
        <w:snapToGrid w:val="0"/>
        <w:spacing w:after="0" w:line="580" w:lineRule="exact"/>
        <w:ind w:leftChars="200"/>
        <w:rPr>
          <w:rFonts w:hint="eastAsia" w:ascii="仿宋_GB2312" w:eastAsia="仿宋_GB2312" w:cs="DengXian-Regular"/>
          <w:sz w:val="32"/>
          <w:szCs w:val="32"/>
        </w:rPr>
      </w:pPr>
      <w:r>
        <w:rPr>
          <w:rFonts w:hint="eastAsia" w:ascii="仿宋_GB2312" w:eastAsia="仿宋_GB2312" w:cs="DengXian-Regular"/>
          <w:sz w:val="32"/>
          <w:szCs w:val="32"/>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p>
    <w:p>
      <w:pPr>
        <w:numPr>
          <w:ilvl w:val="0"/>
          <w:numId w:val="0"/>
        </w:numPr>
        <w:adjustRightInd w:val="0"/>
        <w:snapToGrid w:val="0"/>
        <w:spacing w:after="0" w:line="580" w:lineRule="exact"/>
        <w:ind w:leftChars="200"/>
        <w:rPr>
          <w:rFonts w:hint="eastAsia" w:ascii="仿宋_GB2312" w:eastAsia="仿宋_GB2312" w:cs="DengXian-Regular"/>
          <w:sz w:val="32"/>
          <w:szCs w:val="32"/>
        </w:rPr>
      </w:pPr>
      <w:r>
        <w:rPr>
          <w:rFonts w:hint="eastAsia" w:ascii="仿宋_GB2312" w:eastAsia="仿宋_GB2312" w:cs="DengXian-Regular"/>
          <w:sz w:val="32"/>
          <w:szCs w:val="32"/>
        </w:rPr>
        <w:t>（</w:t>
      </w:r>
      <w:r>
        <w:rPr>
          <w:rFonts w:hint="eastAsia" w:ascii="仿宋_GB2312" w:eastAsia="仿宋_GB2312" w:cs="DengXian-Regular"/>
          <w:sz w:val="32"/>
          <w:szCs w:val="32"/>
          <w:lang w:val="en-US" w:eastAsia="zh-CN"/>
        </w:rPr>
        <w:t>二</w:t>
      </w:r>
      <w:r>
        <w:rPr>
          <w:rFonts w:hint="eastAsia" w:ascii="仿宋_GB2312" w:eastAsia="仿宋_GB2312" w:cs="DengXian-Regular"/>
          <w:sz w:val="32"/>
          <w:szCs w:val="32"/>
        </w:rPr>
        <w:t>）项目绩效自评结果。</w:t>
      </w:r>
    </w:p>
    <w:p>
      <w:pPr>
        <w:numPr>
          <w:ilvl w:val="0"/>
          <w:numId w:val="0"/>
        </w:numPr>
        <w:adjustRightInd w:val="0"/>
        <w:snapToGrid w:val="0"/>
        <w:spacing w:after="0" w:line="580" w:lineRule="exact"/>
        <w:ind w:leftChars="200"/>
        <w:rPr>
          <w:rFonts w:hint="eastAsia" w:ascii="仿宋_GB2312" w:eastAsia="仿宋_GB2312" w:cs="DengXian-Regular"/>
          <w:sz w:val="32"/>
          <w:szCs w:val="32"/>
        </w:rPr>
      </w:pPr>
      <w:r>
        <w:rPr>
          <w:rFonts w:hint="eastAsia" w:ascii="仿宋_GB2312" w:eastAsia="仿宋_GB2312" w:cs="DengXian-Regular"/>
          <w:sz w:val="32"/>
          <w:szCs w:val="32"/>
        </w:rPr>
        <w:t>我单位根据单位实际和工作需要，确定部门预算项目和预算额度，清晰描述预算项目开支范围和内容，确定预算项目的绩效目标。在预算执行过程中，按时间和进度的绩效管理目标要求，合理安排资金的使用，保证了各项工作的顺利进行，较好的实现了预算项目绩效目标</w:t>
      </w:r>
      <w:r>
        <w:rPr>
          <w:rFonts w:hint="eastAsia" w:ascii="仿宋_GB2312" w:eastAsia="仿宋_GB2312" w:cs="DengXian-Regular"/>
          <w:sz w:val="32"/>
          <w:szCs w:val="32"/>
          <w:lang w:eastAsia="zh-CN"/>
        </w:rPr>
        <w:t>，</w:t>
      </w:r>
      <w:r>
        <w:rPr>
          <w:rFonts w:hint="eastAsia" w:ascii="仿宋_GB2312" w:eastAsia="仿宋_GB2312" w:cs="DengXian-Regular"/>
          <w:sz w:val="32"/>
          <w:szCs w:val="32"/>
        </w:rPr>
        <w:t>依法对刑罚执行、刑事强制措施执行、强制医疗执行等刑事执行活动，维护刑事执行公平公正，维护刑事执行场所监管秩序稳定、维护刑事被执行人合法权益、维护社会和谐稳定，保障国家法律、法规统一正确实施。紧紧围绕全区中心工作和区委重要部署，坚持以人为本、以维护司法公正、公平为原则，依法审判法律规定由区级人民法院管辖的刑事、民事、行政等一审案件，依法办理发生法律效力判决，其他法律文书的执行，做好审判管理工作。保障人民群众根本利益，适应新形势、新任务、新要求，更要维护国家安全和社会稳定，严惩各类严重刑事舞弊，积极推进平安的满城区建设，营造良好的法制环境。</w:t>
      </w:r>
    </w:p>
    <w:p>
      <w:pPr>
        <w:numPr>
          <w:ilvl w:val="0"/>
          <w:numId w:val="3"/>
        </w:numPr>
        <w:ind w:firstLine="562"/>
        <w:rPr>
          <w:rFonts w:hint="default" w:ascii="仿宋_GB2312" w:eastAsia="仿宋_GB2312" w:cs="DengXian-Regular"/>
          <w:sz w:val="32"/>
          <w:szCs w:val="32"/>
          <w:lang w:val="en-US" w:eastAsia="zh-CN"/>
        </w:rPr>
      </w:pPr>
      <w:r>
        <w:rPr>
          <w:rFonts w:hint="eastAsia" w:ascii="仿宋_GB2312" w:eastAsia="仿宋_GB2312" w:cs="DengXian-Regular"/>
          <w:sz w:val="32"/>
          <w:szCs w:val="32"/>
        </w:rPr>
        <w:t>重点项目绩效评价结果</w:t>
      </w:r>
      <w:r>
        <w:rPr>
          <w:rFonts w:hint="eastAsia" w:ascii="仿宋_GB2312" w:eastAsia="仿宋_GB2312" w:cs="DengXian-Regular"/>
          <w:sz w:val="32"/>
          <w:szCs w:val="32"/>
          <w:lang w:eastAsia="zh-CN"/>
        </w:rPr>
        <w:t>：</w:t>
      </w:r>
      <w:r>
        <w:rPr>
          <w:rFonts w:hint="eastAsia" w:ascii="仿宋_GB2312" w:eastAsia="仿宋_GB2312" w:cs="DengXian-Regular"/>
          <w:sz w:val="32"/>
          <w:szCs w:val="32"/>
          <w:lang w:val="en-US" w:eastAsia="zh-CN"/>
        </w:rPr>
        <w:t>无。</w:t>
      </w:r>
    </w:p>
    <w:p>
      <w:pPr>
        <w:pStyle w:val="3"/>
        <w:spacing w:before="0" w:after="0" w:line="580" w:lineRule="exact"/>
        <w:ind w:firstLine="640" w:firstLineChars="200"/>
        <w:rPr>
          <w:rFonts w:ascii="黑体" w:eastAsia="黑体"/>
          <w:b w:val="0"/>
          <w:bCs w:val="0"/>
        </w:rPr>
      </w:pPr>
      <w:r>
        <w:rPr>
          <w:rFonts w:hint="eastAsia" w:ascii="黑体" w:eastAsia="黑体"/>
          <w:b w:val="0"/>
          <w:bCs w:val="0"/>
        </w:rPr>
        <w:t>七、其他重要事项的说明</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（一）机关运行经费情况</w:t>
      </w:r>
    </w:p>
    <w:p>
      <w:pPr>
        <w:adjustRightInd w:val="0"/>
        <w:snapToGrid w:val="0"/>
        <w:spacing w:after="0" w:line="580" w:lineRule="exact"/>
        <w:ind w:firstLine="640" w:firstLineChars="200"/>
        <w:rPr>
          <w:rFonts w:ascii="仿宋_GB2312" w:eastAsia="仿宋_GB2312" w:cs="DengXian-Regular"/>
          <w:sz w:val="32"/>
          <w:szCs w:val="32"/>
        </w:rPr>
      </w:pPr>
      <w:r>
        <w:rPr>
          <w:rFonts w:hint="eastAsia" w:ascii="仿宋_GB2312" w:eastAsia="仿宋_GB2312" w:cs="DengXian-Regular"/>
          <w:sz w:val="32"/>
          <w:szCs w:val="32"/>
        </w:rPr>
        <w:t>本部门</w:t>
      </w:r>
      <w:r>
        <w:rPr>
          <w:rFonts w:ascii="仿宋_GB2312" w:eastAsia="仿宋_GB2312" w:cs="DengXian-Regular"/>
          <w:sz w:val="32"/>
          <w:szCs w:val="32"/>
        </w:rPr>
        <w:t>2018</w:t>
      </w:r>
      <w:r>
        <w:rPr>
          <w:rFonts w:hint="eastAsia" w:ascii="仿宋_GB2312" w:eastAsia="仿宋_GB2312" w:cs="DengXian-Regular"/>
          <w:sz w:val="32"/>
          <w:szCs w:val="32"/>
        </w:rPr>
        <w:t>年度机关运行经费支出</w:t>
      </w:r>
      <w:r>
        <w:rPr>
          <w:rFonts w:hint="eastAsia" w:ascii="仿宋_GB2312" w:eastAsia="仿宋_GB2312" w:cs="DengXian-Regular"/>
          <w:sz w:val="32"/>
          <w:szCs w:val="32"/>
          <w:lang w:val="en-US" w:eastAsia="zh-CN"/>
        </w:rPr>
        <w:t>741.40</w:t>
      </w:r>
      <w:r>
        <w:rPr>
          <w:rFonts w:hint="eastAsia" w:ascii="仿宋_GB2312" w:eastAsia="仿宋_GB2312" w:cs="DengXian-Regular"/>
          <w:sz w:val="32"/>
          <w:szCs w:val="32"/>
        </w:rPr>
        <w:t>万元，比年初预算数增加</w:t>
      </w:r>
      <w:r>
        <w:rPr>
          <w:rFonts w:hint="eastAsia" w:ascii="仿宋_GB2312" w:eastAsia="仿宋_GB2312" w:cs="DengXian-Regular"/>
          <w:sz w:val="32"/>
          <w:szCs w:val="32"/>
          <w:lang w:val="en-US" w:eastAsia="zh-CN"/>
        </w:rPr>
        <w:t>307.31</w:t>
      </w:r>
      <w:r>
        <w:rPr>
          <w:rFonts w:hint="eastAsia" w:ascii="仿宋_GB2312" w:eastAsia="仿宋_GB2312" w:cs="DengXian-Regular"/>
          <w:sz w:val="32"/>
          <w:szCs w:val="32"/>
        </w:rPr>
        <w:t>万元，增长</w:t>
      </w:r>
      <w:r>
        <w:rPr>
          <w:rFonts w:hint="eastAsia" w:ascii="仿宋_GB2312" w:eastAsia="仿宋_GB2312" w:cs="DengXian-Regular"/>
          <w:sz w:val="32"/>
          <w:szCs w:val="32"/>
          <w:lang w:val="en-US" w:eastAsia="zh-CN"/>
        </w:rPr>
        <w:t>70.8</w:t>
      </w:r>
      <w:r>
        <w:rPr>
          <w:rFonts w:ascii="仿宋_GB2312" w:eastAsia="仿宋_GB2312" w:cs="DengXian-Regular"/>
          <w:sz w:val="32"/>
          <w:szCs w:val="32"/>
        </w:rPr>
        <w:t>%</w:t>
      </w:r>
      <w:r>
        <w:rPr>
          <w:rFonts w:hint="eastAsia" w:ascii="仿宋_GB2312" w:eastAsia="仿宋_GB2312" w:cs="DengXian-Regular"/>
          <w:sz w:val="32"/>
          <w:szCs w:val="32"/>
        </w:rPr>
        <w:t>。</w:t>
      </w:r>
      <w:bookmarkStart w:id="0" w:name="_GoBack"/>
      <w:bookmarkEnd w:id="0"/>
      <w:r>
        <w:rPr>
          <w:rFonts w:hint="eastAsia" w:ascii="仿宋_GB2312" w:eastAsia="仿宋_GB2312" w:cs="DengXian-Regular"/>
          <w:sz w:val="32"/>
          <w:szCs w:val="32"/>
        </w:rPr>
        <w:t>主要原因是</w:t>
      </w:r>
      <w:r>
        <w:rPr>
          <w:rFonts w:hint="eastAsia" w:ascii="仿宋_GB2312" w:eastAsia="仿宋_GB2312" w:cs="DengXian-Regular"/>
          <w:sz w:val="32"/>
          <w:szCs w:val="32"/>
          <w:lang w:val="en-US" w:eastAsia="zh-CN"/>
        </w:rPr>
        <w:t>2018年人员增加较多，案件增加较多。</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（二）政府采购情况</w:t>
      </w:r>
    </w:p>
    <w:p>
      <w:pPr>
        <w:pStyle w:val="4"/>
        <w:spacing w:before="0" w:after="0" w:line="580" w:lineRule="exact"/>
        <w:ind w:firstLine="640" w:firstLineChars="200"/>
        <w:rPr>
          <w:rFonts w:hint="eastAsia" w:ascii="仿宋_GB2312" w:hAnsi="仿宋_GB2312" w:eastAsia="仿宋_GB2312" w:cs="仿宋_GB2312"/>
          <w:b w:val="0"/>
          <w:bCs w:val="0"/>
          <w:color w:val="auto"/>
          <w:kern w:val="0"/>
          <w:sz w:val="32"/>
          <w:szCs w:val="32"/>
          <w:highlight w:val="none"/>
        </w:rPr>
      </w:pPr>
      <w:r>
        <w:rPr>
          <w:rFonts w:hint="eastAsia" w:ascii="仿宋_GB2312" w:hAnsi="Times New Roman" w:eastAsia="仿宋_GB2312" w:cs="DengXian-Regular"/>
          <w:b w:val="0"/>
          <w:bCs w:val="0"/>
          <w:color w:val="auto"/>
          <w:sz w:val="32"/>
          <w:szCs w:val="32"/>
          <w:highlight w:val="none"/>
        </w:rPr>
        <w:t>本部门</w:t>
      </w:r>
      <w:r>
        <w:rPr>
          <w:rFonts w:ascii="仿宋_GB2312" w:hAnsi="Times New Roman" w:eastAsia="仿宋_GB2312" w:cs="DengXian-Regular"/>
          <w:b w:val="0"/>
          <w:bCs w:val="0"/>
          <w:color w:val="auto"/>
          <w:sz w:val="32"/>
          <w:szCs w:val="32"/>
          <w:highlight w:val="none"/>
        </w:rPr>
        <w:t>2019</w:t>
      </w:r>
      <w:r>
        <w:rPr>
          <w:rFonts w:hint="eastAsia" w:ascii="仿宋_GB2312" w:hAnsi="Times New Roman" w:eastAsia="仿宋_GB2312" w:cs="DengXian-Regular"/>
          <w:b w:val="0"/>
          <w:bCs w:val="0"/>
          <w:color w:val="auto"/>
          <w:sz w:val="32"/>
          <w:szCs w:val="32"/>
          <w:highlight w:val="none"/>
        </w:rPr>
        <w:t>年度政府采购支出总额</w:t>
      </w:r>
      <w:r>
        <w:rPr>
          <w:rStyle w:val="33"/>
          <w:rFonts w:hint="eastAsia" w:ascii="仿宋" w:hAnsi="仿宋" w:eastAsia="仿宋"/>
          <w:b w:val="0"/>
          <w:bCs w:val="0"/>
          <w:color w:val="auto"/>
          <w:kern w:val="2"/>
          <w:sz w:val="32"/>
          <w:szCs w:val="32"/>
          <w:highlight w:val="none"/>
          <w:lang w:val="en-US" w:eastAsia="zh-CN" w:bidi="ar-SA"/>
        </w:rPr>
        <w:t>0</w:t>
      </w:r>
      <w:r>
        <w:rPr>
          <w:rFonts w:hint="eastAsia" w:ascii="仿宋_GB2312" w:hAnsi="Times New Roman" w:eastAsia="仿宋_GB2312" w:cs="DengXian-Regular"/>
          <w:b w:val="0"/>
          <w:bCs w:val="0"/>
          <w:color w:val="auto"/>
          <w:sz w:val="32"/>
          <w:szCs w:val="32"/>
          <w:highlight w:val="none"/>
        </w:rPr>
        <w:t>万元，从采购类型来看，</w:t>
      </w:r>
      <w:r>
        <w:rPr>
          <w:rFonts w:hint="eastAsia" w:ascii="仿宋_GB2312" w:hAnsi="仿宋_GB2312" w:eastAsia="仿宋_GB2312" w:cs="仿宋_GB2312"/>
          <w:b w:val="0"/>
          <w:bCs w:val="0"/>
          <w:color w:val="auto"/>
          <w:kern w:val="0"/>
          <w:sz w:val="32"/>
          <w:szCs w:val="32"/>
          <w:highlight w:val="none"/>
        </w:rPr>
        <w:t>政府采购货物支出</w:t>
      </w:r>
      <w:r>
        <w:rPr>
          <w:rFonts w:hint="eastAsia" w:ascii="仿宋_GB2312" w:hAnsi="仿宋_GB2312" w:eastAsia="仿宋_GB2312" w:cs="仿宋_GB2312"/>
          <w:b w:val="0"/>
          <w:bCs w:val="0"/>
          <w:color w:val="auto"/>
          <w:kern w:val="0"/>
          <w:sz w:val="32"/>
          <w:szCs w:val="32"/>
          <w:highlight w:val="none"/>
          <w:lang w:val="en-US" w:eastAsia="zh-CN"/>
        </w:rPr>
        <w:t>0</w:t>
      </w:r>
      <w:r>
        <w:rPr>
          <w:rFonts w:hint="eastAsia" w:ascii="仿宋_GB2312" w:hAnsi="仿宋_GB2312" w:eastAsia="仿宋_GB2312" w:cs="仿宋_GB2312"/>
          <w:b w:val="0"/>
          <w:bCs w:val="0"/>
          <w:color w:val="auto"/>
          <w:kern w:val="0"/>
          <w:sz w:val="32"/>
          <w:szCs w:val="32"/>
          <w:highlight w:val="none"/>
        </w:rPr>
        <w:t>万元、政府采购工程支出</w:t>
      </w:r>
      <w:r>
        <w:rPr>
          <w:rFonts w:hint="eastAsia" w:ascii="仿宋_GB2312" w:hAnsi="仿宋_GB2312" w:eastAsia="仿宋_GB2312" w:cs="仿宋_GB2312"/>
          <w:b w:val="0"/>
          <w:bCs w:val="0"/>
          <w:color w:val="auto"/>
          <w:kern w:val="0"/>
          <w:sz w:val="32"/>
          <w:szCs w:val="32"/>
          <w:highlight w:val="none"/>
          <w:lang w:val="en-US" w:eastAsia="zh-CN"/>
        </w:rPr>
        <w:t>0</w:t>
      </w:r>
      <w:r>
        <w:rPr>
          <w:rFonts w:hint="eastAsia" w:ascii="仿宋_GB2312" w:hAnsi="仿宋_GB2312" w:eastAsia="仿宋_GB2312" w:cs="仿宋_GB2312"/>
          <w:b w:val="0"/>
          <w:bCs w:val="0"/>
          <w:color w:val="auto"/>
          <w:kern w:val="0"/>
          <w:sz w:val="32"/>
          <w:szCs w:val="32"/>
          <w:highlight w:val="none"/>
        </w:rPr>
        <w:t>万元、政府采购服务支出</w:t>
      </w:r>
      <w:r>
        <w:rPr>
          <w:rFonts w:hint="eastAsia" w:ascii="仿宋_GB2312" w:hAnsi="仿宋_GB2312" w:eastAsia="仿宋_GB2312" w:cs="仿宋_GB2312"/>
          <w:b w:val="0"/>
          <w:bCs w:val="0"/>
          <w:color w:val="auto"/>
          <w:kern w:val="0"/>
          <w:sz w:val="32"/>
          <w:szCs w:val="32"/>
          <w:highlight w:val="none"/>
          <w:lang w:val="en-US" w:eastAsia="zh-CN"/>
        </w:rPr>
        <w:t>0</w:t>
      </w:r>
      <w:r>
        <w:rPr>
          <w:rFonts w:hint="eastAsia" w:ascii="仿宋_GB2312" w:hAnsi="仿宋_GB2312" w:eastAsia="仿宋_GB2312" w:cs="仿宋_GB2312"/>
          <w:b w:val="0"/>
          <w:bCs w:val="0"/>
          <w:color w:val="auto"/>
          <w:kern w:val="0"/>
          <w:sz w:val="32"/>
          <w:szCs w:val="32"/>
          <w:highlight w:val="none"/>
        </w:rPr>
        <w:t>万元。授予中小企业合同金</w:t>
      </w:r>
      <w:r>
        <w:rPr>
          <w:rFonts w:hint="eastAsia" w:ascii="仿宋_GB2312" w:hAnsi="仿宋_GB2312" w:eastAsia="仿宋_GB2312" w:cs="仿宋_GB2312"/>
          <w:b w:val="0"/>
          <w:bCs w:val="0"/>
          <w:color w:val="auto"/>
          <w:kern w:val="0"/>
          <w:sz w:val="32"/>
          <w:szCs w:val="32"/>
          <w:highlight w:val="none"/>
          <w:lang w:val="en-US" w:eastAsia="zh-CN"/>
        </w:rPr>
        <w:t>0</w:t>
      </w:r>
      <w:r>
        <w:rPr>
          <w:rFonts w:hint="eastAsia" w:ascii="仿宋_GB2312" w:hAnsi="仿宋_GB2312" w:eastAsia="仿宋_GB2312" w:cs="仿宋_GB2312"/>
          <w:b w:val="0"/>
          <w:bCs w:val="0"/>
          <w:color w:val="auto"/>
          <w:kern w:val="0"/>
          <w:sz w:val="32"/>
          <w:szCs w:val="32"/>
          <w:highlight w:val="none"/>
        </w:rPr>
        <w:t>万元，占政府采购支出总额的</w:t>
      </w:r>
      <w:r>
        <w:rPr>
          <w:rFonts w:hint="eastAsia" w:ascii="仿宋_GB2312" w:hAnsi="仿宋_GB2312" w:eastAsia="仿宋_GB2312" w:cs="仿宋_GB2312"/>
          <w:b w:val="0"/>
          <w:bCs w:val="0"/>
          <w:color w:val="auto"/>
          <w:kern w:val="0"/>
          <w:sz w:val="32"/>
          <w:szCs w:val="32"/>
          <w:highlight w:val="none"/>
          <w:lang w:val="en-US" w:eastAsia="zh-CN"/>
        </w:rPr>
        <w:t>0</w:t>
      </w:r>
      <w:r>
        <w:rPr>
          <w:rFonts w:ascii="仿宋_GB2312" w:hAnsi="仿宋_GB2312" w:eastAsia="仿宋_GB2312" w:cs="仿宋_GB2312"/>
          <w:b w:val="0"/>
          <w:bCs w:val="0"/>
          <w:color w:val="auto"/>
          <w:kern w:val="0"/>
          <w:sz w:val="32"/>
          <w:szCs w:val="32"/>
          <w:highlight w:val="none"/>
        </w:rPr>
        <w:t>%</w:t>
      </w:r>
      <w:r>
        <w:rPr>
          <w:rFonts w:hint="eastAsia" w:ascii="仿宋_GB2312" w:hAnsi="仿宋_GB2312" w:eastAsia="仿宋_GB2312" w:cs="仿宋_GB2312"/>
          <w:b w:val="0"/>
          <w:bCs w:val="0"/>
          <w:color w:val="auto"/>
          <w:kern w:val="0"/>
          <w:sz w:val="32"/>
          <w:szCs w:val="32"/>
          <w:highlight w:val="none"/>
        </w:rPr>
        <w:t>，其中授予小微企业合同金额</w:t>
      </w:r>
      <w:r>
        <w:rPr>
          <w:rFonts w:hint="eastAsia" w:ascii="仿宋_GB2312" w:hAnsi="仿宋_GB2312" w:eastAsia="仿宋_GB2312" w:cs="仿宋_GB2312"/>
          <w:b w:val="0"/>
          <w:bCs w:val="0"/>
          <w:color w:val="auto"/>
          <w:kern w:val="0"/>
          <w:sz w:val="32"/>
          <w:szCs w:val="32"/>
          <w:highlight w:val="none"/>
          <w:lang w:val="en-US" w:eastAsia="zh-CN"/>
        </w:rPr>
        <w:t>0</w:t>
      </w:r>
      <w:r>
        <w:rPr>
          <w:rFonts w:hint="eastAsia" w:ascii="仿宋_GB2312" w:hAnsi="仿宋_GB2312" w:eastAsia="仿宋_GB2312" w:cs="仿宋_GB2312"/>
          <w:b w:val="0"/>
          <w:bCs w:val="0"/>
          <w:color w:val="auto"/>
          <w:kern w:val="0"/>
          <w:sz w:val="32"/>
          <w:szCs w:val="32"/>
          <w:highlight w:val="none"/>
        </w:rPr>
        <w:t>万元，占政府采购支出总额的</w:t>
      </w:r>
      <w:r>
        <w:rPr>
          <w:rFonts w:hint="eastAsia" w:ascii="仿宋_GB2312" w:hAnsi="仿宋_GB2312" w:eastAsia="仿宋_GB2312" w:cs="仿宋_GB2312"/>
          <w:b w:val="0"/>
          <w:bCs w:val="0"/>
          <w:color w:val="auto"/>
          <w:kern w:val="0"/>
          <w:sz w:val="32"/>
          <w:szCs w:val="32"/>
          <w:highlight w:val="none"/>
          <w:lang w:val="en-US" w:eastAsia="zh-CN"/>
        </w:rPr>
        <w:t>0</w:t>
      </w:r>
      <w:r>
        <w:rPr>
          <w:rFonts w:ascii="仿宋_GB2312" w:hAnsi="仿宋_GB2312" w:eastAsia="仿宋_GB2312" w:cs="仿宋_GB2312"/>
          <w:b w:val="0"/>
          <w:bCs w:val="0"/>
          <w:color w:val="auto"/>
          <w:kern w:val="0"/>
          <w:sz w:val="32"/>
          <w:szCs w:val="32"/>
          <w:highlight w:val="none"/>
        </w:rPr>
        <w:t>%</w:t>
      </w:r>
      <w:r>
        <w:rPr>
          <w:rFonts w:hint="eastAsia" w:ascii="仿宋_GB2312" w:hAnsi="仿宋_GB2312" w:eastAsia="仿宋_GB2312" w:cs="仿宋_GB2312"/>
          <w:b w:val="0"/>
          <w:bCs w:val="0"/>
          <w:color w:val="auto"/>
          <w:kern w:val="0"/>
          <w:sz w:val="32"/>
          <w:szCs w:val="32"/>
          <w:highlight w:val="none"/>
        </w:rPr>
        <w:t>。</w:t>
      </w: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（三）国有资产占用情况</w:t>
      </w:r>
    </w:p>
    <w:p>
      <w:pPr>
        <w:adjustRightInd w:val="0"/>
        <w:snapToGrid w:val="0"/>
        <w:spacing w:line="580" w:lineRule="exact"/>
        <w:ind w:firstLine="640" w:firstLineChars="200"/>
        <w:rPr>
          <w:rFonts w:ascii="楷体_GB2312" w:hAnsi="Times New Roman" w:eastAsia="楷体_GB2312" w:cs="DengXian-Bold"/>
          <w:b/>
          <w:bCs/>
          <w:sz w:val="32"/>
          <w:szCs w:val="32"/>
        </w:rPr>
      </w:pPr>
      <w:r>
        <w:rPr>
          <w:rFonts w:hint="eastAsia" w:ascii="仿宋_GB2312" w:eastAsia="仿宋_GB2312" w:cs="DengXian-Regular"/>
          <w:sz w:val="32"/>
          <w:szCs w:val="32"/>
        </w:rPr>
        <w:t>截至</w:t>
      </w:r>
      <w:r>
        <w:rPr>
          <w:rFonts w:ascii="仿宋_GB2312" w:eastAsia="仿宋_GB2312" w:cs="DengXian-Regular"/>
          <w:sz w:val="32"/>
          <w:szCs w:val="32"/>
        </w:rPr>
        <w:t>2018</w:t>
      </w:r>
      <w:r>
        <w:rPr>
          <w:rFonts w:hint="eastAsia" w:ascii="仿宋_GB2312" w:eastAsia="仿宋_GB2312" w:cs="DengXian-Regular"/>
          <w:sz w:val="32"/>
          <w:szCs w:val="32"/>
        </w:rPr>
        <w:t>年</w:t>
      </w:r>
      <w:r>
        <w:rPr>
          <w:rFonts w:ascii="仿宋_GB2312" w:eastAsia="仿宋_GB2312" w:cs="DengXian-Regular"/>
          <w:sz w:val="32"/>
          <w:szCs w:val="32"/>
        </w:rPr>
        <w:t>12</w:t>
      </w:r>
      <w:r>
        <w:rPr>
          <w:rFonts w:hint="eastAsia" w:ascii="仿宋_GB2312" w:eastAsia="仿宋_GB2312" w:cs="DengXian-Regular"/>
          <w:sz w:val="32"/>
          <w:szCs w:val="32"/>
        </w:rPr>
        <w:t>月</w:t>
      </w:r>
      <w:r>
        <w:rPr>
          <w:rFonts w:ascii="仿宋_GB2312" w:eastAsia="仿宋_GB2312" w:cs="DengXian-Regular"/>
          <w:sz w:val="32"/>
          <w:szCs w:val="32"/>
        </w:rPr>
        <w:t>31</w:t>
      </w:r>
      <w:r>
        <w:rPr>
          <w:rFonts w:hint="eastAsia" w:ascii="仿宋_GB2312" w:eastAsia="仿宋_GB2312" w:cs="DengXian-Regular"/>
          <w:sz w:val="32"/>
          <w:szCs w:val="32"/>
        </w:rPr>
        <w:t>日，本部门共有车辆</w:t>
      </w:r>
      <w:r>
        <w:rPr>
          <w:rFonts w:hint="eastAsia" w:ascii="仿宋_GB2312" w:eastAsia="仿宋_GB2312" w:cs="DengXian-Regular"/>
          <w:sz w:val="32"/>
          <w:szCs w:val="32"/>
          <w:lang w:val="en-US" w:eastAsia="zh-CN"/>
        </w:rPr>
        <w:t>28</w:t>
      </w:r>
      <w:r>
        <w:rPr>
          <w:rFonts w:hint="eastAsia" w:ascii="仿宋_GB2312" w:eastAsia="仿宋_GB2312" w:cs="DengXian-Regular"/>
          <w:sz w:val="32"/>
          <w:szCs w:val="32"/>
        </w:rPr>
        <w:t>辆，比上年增加（减少）</w:t>
      </w:r>
      <w:r>
        <w:rPr>
          <w:rFonts w:hint="eastAsia" w:ascii="仿宋_GB2312" w:eastAsia="仿宋_GB2312" w:cs="DengXian-Regular"/>
          <w:sz w:val="32"/>
          <w:szCs w:val="32"/>
          <w:lang w:val="en-US" w:eastAsia="zh-CN"/>
        </w:rPr>
        <w:t>0</w:t>
      </w:r>
      <w:r>
        <w:rPr>
          <w:rFonts w:hint="eastAsia" w:ascii="仿宋_GB2312" w:eastAsia="仿宋_GB2312" w:cs="DengXian-Regular"/>
          <w:sz w:val="32"/>
          <w:szCs w:val="32"/>
        </w:rPr>
        <w:t>辆。其中，</w:t>
      </w:r>
      <w:r>
        <w:rPr>
          <w:rFonts w:hint="eastAsia" w:ascii="仿宋_GB2312" w:eastAsia="仿宋_GB2312" w:cs="DengXian-Regular"/>
          <w:sz w:val="32"/>
          <w:szCs w:val="32"/>
          <w:lang w:val="en-US" w:eastAsia="zh-CN"/>
        </w:rPr>
        <w:t>执法执勤车辆28辆。</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50</w:t>
      </w:r>
      <w:r>
        <w:rPr>
          <w:rFonts w:hint="eastAsia" w:ascii="仿宋_GB2312" w:hAnsi="Times New Roman" w:eastAsia="仿宋_GB2312" w:cs="DengXian-Regular"/>
          <w:sz w:val="32"/>
          <w:szCs w:val="32"/>
        </w:rPr>
        <w:t>万元以上通用设备0台（套），比上年增加0套，主要是</w:t>
      </w:r>
      <w:r>
        <w:rPr>
          <w:rFonts w:hint="eastAsia" w:ascii="仿宋_GB2312" w:eastAsia="仿宋_GB2312" w:cs="DengXian-Regular"/>
          <w:sz w:val="32"/>
          <w:szCs w:val="32"/>
        </w:rPr>
        <w:t>厉行节约，压减开支</w:t>
      </w:r>
      <w:r>
        <w:rPr>
          <w:rFonts w:ascii="仿宋_GB2312" w:hAnsi="Times New Roman" w:eastAsia="仿宋_GB2312" w:cs="DengXian-Regular"/>
          <w:sz w:val="32"/>
          <w:szCs w:val="32"/>
        </w:rPr>
        <w:t xml:space="preserve"> </w:t>
      </w:r>
      <w:r>
        <w:rPr>
          <w:rFonts w:hint="eastAsia" w:ascii="仿宋_GB2312" w:hAnsi="Times New Roman" w:eastAsia="仿宋_GB2312" w:cs="DengXian-Regular"/>
          <w:sz w:val="32"/>
          <w:szCs w:val="32"/>
        </w:rPr>
        <w:t>，单位价值</w:t>
      </w:r>
      <w:r>
        <w:rPr>
          <w:rFonts w:ascii="仿宋_GB2312" w:hAnsi="TimesNewRomanPSMT" w:eastAsia="仿宋_GB2312" w:cs="TimesNewRomanPSMT"/>
          <w:sz w:val="32"/>
          <w:szCs w:val="32"/>
        </w:rPr>
        <w:t>100</w:t>
      </w:r>
      <w:r>
        <w:rPr>
          <w:rFonts w:hint="eastAsia" w:ascii="仿宋_GB2312" w:hAnsi="Times New Roman" w:eastAsia="仿宋_GB2312" w:cs="DengXian-Regular"/>
          <w:sz w:val="32"/>
          <w:szCs w:val="32"/>
        </w:rPr>
        <w:t>万元以上专用设备0台（套），比上年增加0套，主要是</w:t>
      </w:r>
      <w:r>
        <w:rPr>
          <w:rFonts w:hint="eastAsia" w:ascii="仿宋_GB2312" w:eastAsia="仿宋_GB2312" w:cs="DengXian-Regular"/>
          <w:sz w:val="32"/>
          <w:szCs w:val="32"/>
        </w:rPr>
        <w:t>厉行节约，压减开支</w:t>
      </w:r>
      <w:r>
        <w:rPr>
          <w:rFonts w:hint="eastAsia" w:ascii="仿宋_GB2312" w:hAnsi="Times New Roman" w:eastAsia="仿宋_GB2312" w:cs="DengXian-Regular"/>
          <w:sz w:val="32"/>
          <w:szCs w:val="32"/>
        </w:rPr>
        <w:t>。</w:t>
      </w:r>
    </w:p>
    <w:p>
      <w:pPr>
        <w:adjustRightInd w:val="0"/>
        <w:snapToGrid w:val="0"/>
        <w:spacing w:after="0" w:line="580" w:lineRule="exact"/>
        <w:ind w:firstLine="640" w:firstLineChars="200"/>
        <w:rPr>
          <w:rFonts w:ascii="仿宋_GB2312" w:eastAsia="仿宋_GB2312" w:cs="DengXian-Regular"/>
          <w:sz w:val="32"/>
          <w:szCs w:val="32"/>
        </w:rPr>
      </w:pPr>
    </w:p>
    <w:p>
      <w:pPr>
        <w:pStyle w:val="4"/>
        <w:spacing w:before="0" w:after="0" w:line="580" w:lineRule="exact"/>
        <w:ind w:firstLine="643" w:firstLineChars="200"/>
        <w:rPr>
          <w:rFonts w:ascii="楷体_GB2312" w:eastAsia="楷体_GB2312" w:cs="DengXian-Bold"/>
        </w:rPr>
      </w:pPr>
      <w:r>
        <w:rPr>
          <w:rFonts w:hint="eastAsia" w:ascii="楷体_GB2312" w:eastAsia="楷体_GB2312" w:cs="DengXian-Bold"/>
        </w:rPr>
        <w:t>（四）其他需要说明的情况</w:t>
      </w:r>
    </w:p>
    <w:p>
      <w:pPr>
        <w:adjustRightInd w:val="0"/>
        <w:snapToGrid w:val="0"/>
        <w:spacing w:after="0" w:line="580" w:lineRule="exact"/>
        <w:ind w:firstLine="640" w:firstLineChars="200"/>
        <w:rPr>
          <w:rFonts w:hint="eastAsia" w:ascii="仿宋_GB2312" w:eastAsia="仿宋_GB2312" w:cs="DengXian-Regular"/>
          <w:sz w:val="32"/>
          <w:szCs w:val="32"/>
        </w:rPr>
      </w:pPr>
      <w:r>
        <w:rPr>
          <w:rFonts w:ascii="仿宋_GB2312" w:eastAsia="仿宋_GB2312" w:cs="DengXian-Regular"/>
          <w:sz w:val="32"/>
          <w:szCs w:val="32"/>
        </w:rPr>
        <w:t>1</w:t>
      </w:r>
      <w:r>
        <w:rPr>
          <w:rFonts w:hint="eastAsia" w:ascii="仿宋_GB2312" w:eastAsia="仿宋_GB2312" w:cs="DengXian-Regular"/>
          <w:sz w:val="32"/>
          <w:szCs w:val="32"/>
          <w:lang w:eastAsia="zh-CN"/>
        </w:rPr>
        <w:t>、</w:t>
      </w:r>
      <w:r>
        <w:rPr>
          <w:rFonts w:hint="eastAsia" w:ascii="仿宋_GB2312" w:eastAsia="仿宋_GB2312" w:cs="DengXian-Regular"/>
          <w:sz w:val="32"/>
          <w:szCs w:val="32"/>
        </w:rPr>
        <w:t>本部门2018年度</w:t>
      </w:r>
      <w:r>
        <w:rPr>
          <w:rFonts w:hint="eastAsia" w:ascii="仿宋_GB2312" w:eastAsia="仿宋_GB2312" w:cs="DengXian-Regular"/>
          <w:sz w:val="32"/>
          <w:szCs w:val="32"/>
          <w:lang w:eastAsia="zh-CN"/>
        </w:rPr>
        <w:t>无</w:t>
      </w:r>
      <w:r>
        <w:rPr>
          <w:rFonts w:hint="eastAsia" w:ascii="仿宋_GB2312" w:eastAsia="仿宋_GB2312" w:cs="DengXian-Regular"/>
          <w:sz w:val="32"/>
          <w:szCs w:val="32"/>
          <w:lang w:val="en-US" w:eastAsia="zh-CN"/>
        </w:rPr>
        <w:t>政府采购情况、</w:t>
      </w:r>
      <w:r>
        <w:rPr>
          <w:rFonts w:hint="eastAsia" w:ascii="仿宋_GB2312" w:eastAsia="仿宋_GB2312" w:cs="DengXian-Regular"/>
          <w:sz w:val="32"/>
          <w:szCs w:val="32"/>
        </w:rPr>
        <w:t>政府性基金预算及国有资本经营预算，故</w:t>
      </w:r>
      <w:r>
        <w:rPr>
          <w:rFonts w:hint="eastAsia" w:ascii="仿宋_GB2312" w:eastAsia="仿宋_GB2312" w:cs="DengXian-Regular"/>
          <w:sz w:val="32"/>
          <w:szCs w:val="32"/>
          <w:lang w:val="en-US" w:eastAsia="zh-CN"/>
        </w:rPr>
        <w:t>政府采购情况、</w:t>
      </w:r>
      <w:r>
        <w:rPr>
          <w:rFonts w:hint="eastAsia" w:ascii="仿宋_GB2312" w:eastAsia="仿宋_GB2312" w:cs="DengXian-Regular"/>
          <w:sz w:val="32"/>
          <w:szCs w:val="32"/>
        </w:rPr>
        <w:t>政府性基金预算及国有资本经营预算表以空表列示。</w:t>
      </w:r>
    </w:p>
    <w:p>
      <w:pPr>
        <w:adjustRightInd w:val="0"/>
        <w:snapToGrid w:val="0"/>
        <w:spacing w:after="0" w:line="580" w:lineRule="exact"/>
        <w:ind w:firstLine="640" w:firstLineChars="200"/>
        <w:rPr>
          <w:rFonts w:ascii="仿宋_GB2312" w:eastAsia="仿宋_GB2312" w:cs="DengXian-Regular"/>
          <w:sz w:val="32"/>
          <w:szCs w:val="32"/>
        </w:rPr>
      </w:pPr>
      <w:r>
        <w:rPr>
          <w:rFonts w:ascii="仿宋_GB2312" w:eastAsia="仿宋_GB2312" w:cs="DengXian-Regular"/>
          <w:sz w:val="32"/>
          <w:szCs w:val="32"/>
        </w:rPr>
        <w:t>2</w:t>
      </w:r>
      <w:r>
        <w:rPr>
          <w:rFonts w:hint="eastAsia" w:ascii="仿宋_GB2312" w:eastAsia="仿宋_GB2312" w:cs="DengXian-Regular"/>
          <w:sz w:val="32"/>
          <w:szCs w:val="32"/>
        </w:rPr>
        <w:t>、由于决算公开表格中金额数值应当保留两位小数，公开数据为四舍五入计算结</w:t>
      </w:r>
      <w:r>
        <mc:AlternateContent>
          <mc:Choice Requires="wpg">
            <w:drawing>
              <wp:anchor distT="0" distB="0" distL="114300" distR="114300" simplePos="0" relativeHeight="251693056" behindDoc="0" locked="1" layoutInCell="1" allowOverlap="1">
                <wp:simplePos x="0" y="0"/>
                <wp:positionH relativeFrom="column">
                  <wp:posOffset>-1009650</wp:posOffset>
                </wp:positionH>
                <wp:positionV relativeFrom="page">
                  <wp:posOffset>372110</wp:posOffset>
                </wp:positionV>
                <wp:extent cx="3833495" cy="558165"/>
                <wp:effectExtent l="1270" t="0" r="13335" b="13335"/>
                <wp:wrapNone/>
                <wp:docPr id="114" name="组合 114"/>
                <wp:cNvGraphicFramePr/>
                <a:graphic xmlns:a="http://schemas.openxmlformats.org/drawingml/2006/main">
                  <a:graphicData uri="http://schemas.microsoft.com/office/word/2010/wordprocessingGroup">
                    <wpg:wgp>
                      <wpg:cNvGrpSpPr/>
                      <wpg:grpSpPr>
                        <a:xfrm>
                          <a:off x="0" y="0"/>
                          <a:ext cx="3833495" cy="558165"/>
                          <a:chOff x="4551" y="52615"/>
                          <a:chExt cx="8546" cy="1398"/>
                        </a:xfrm>
                      </wpg:grpSpPr>
                      <wps:wsp>
                        <wps:cNvPr id="112" name="矩形 112"/>
                        <wps:cNvSpPr/>
                        <wps:spPr>
                          <a:xfrm>
                            <a:off x="4551" y="52615"/>
                            <a:ext cx="8546" cy="1175"/>
                          </a:xfrm>
                          <a:prstGeom prst="rect">
                            <a:avLst/>
                          </a:prstGeom>
                          <a:solidFill>
                            <a:srgbClr val="96DA9D"/>
                          </a:solidFill>
                          <a:ln w="25400">
                            <a:noFill/>
                          </a:ln>
                        </wps:spPr>
                        <wps:bodyPr anchor="ctr" anchorCtr="0" upright="1"/>
                      </wps:wsp>
                      <wps:wsp>
                        <wps:cNvPr id="113" name="矩形 113"/>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wps:txbx>
                        <wps:bodyPr anchor="ctr" anchorCtr="0" upright="1"/>
                      </wps:wsp>
                    </wpg:wgp>
                  </a:graphicData>
                </a:graphic>
              </wp:anchor>
            </w:drawing>
          </mc:Choice>
          <mc:Fallback>
            <w:pict>
              <v:group id="_x0000_s1026" o:spid="_x0000_s1026" o:spt="203" style="position:absolute;left:0pt;margin-left:-79.5pt;margin-top:29.3pt;height:43.95pt;width:301.85pt;mso-position-vertical-relative:page;z-index:251693056;mso-width-relative:page;mso-height-relative:page;" coordorigin="4551,52615" coordsize="8546,1398" o:gfxdata="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">
                <o:lock v:ext="edit" aspectratio="f"/>
                <v:rect id="_x0000_s1026" o:spid="_x0000_s1026" o:spt="1" style="position:absolute;left:4551;top:52615;height:1175;width:8546;v-text-anchor:middle;" fillcolor="#96DA9D" filled="t" stroked="f" coordsize="21600,21600" o:gfxdata="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lDEmq5AAAA3AAA&#10;AA8AAAAAAAAAAQAgAAAAIgAAAGRycy9kb3ducmV2LnhtbFBLAQIUABQAAAAIAIdO4kAzLwWeOwAA&#10;ADkAAAAQAAAAAAAAAAEAIAAAAAgBAABkcnMvc2hhcGV4bWwueG1sUEsFBgAAAAAGAAYAWwEAALID&#10;AAAAAA==&#10;">
                  <v:fill on="t" focussize="0,0"/>
                  <v:stroke on="f" weight="2pt"/>
                  <v:imagedata o:title=""/>
                  <o:lock v:ext="edit" aspectratio="f"/>
                </v:rect>
                <v:rect id="_x0000_s1026" o:spid="_x0000_s1026" o:spt="1" style="position:absolute;left:4577;top:52890;height:1123;width:8324;v-text-anchor:middle;" fillcolor="#AD002D" filled="t" stroked="t" coordsize="21600,21600" o:gfxdata="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Y+t28AAAA&#10;3A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部门决算情况说明</w:t>
                        </w:r>
                      </w:p>
                      <w:p>
                        <w:pPr>
                          <w:jc w:val="center"/>
                        </w:pPr>
                      </w:p>
                    </w:txbxContent>
                  </v:textbox>
                </v:rect>
                <w10:anchorlock/>
              </v:group>
            </w:pict>
          </mc:Fallback>
        </mc:AlternateContent>
      </w:r>
      <w:r>
        <w:rPr>
          <w:rFonts w:hint="eastAsia" w:ascii="仿宋_GB2312" w:eastAsia="仿宋_GB2312" w:cs="DengXian-Regular"/>
          <w:sz w:val="32"/>
          <w:szCs w:val="32"/>
        </w:rPr>
        <w:t>果，个别数据合计项与分项之和存在小数点后差额，特此说明。</w:t>
      </w:r>
    </w:p>
    <w:p>
      <w:pPr>
        <w:widowControl/>
        <w:spacing w:after="0" w:line="580" w:lineRule="exact"/>
        <w:ind w:firstLine="883" w:firstLineChars="200"/>
        <w:jc w:val="left"/>
        <w:rPr>
          <w:rFonts w:ascii="宋体" w:cs="MS-UIGothic,Bold"/>
          <w:b/>
          <w:bCs/>
          <w:kern w:val="0"/>
          <w:sz w:val="44"/>
          <w:szCs w:val="44"/>
        </w:rPr>
        <w:sectPr>
          <w:pgSz w:w="11906" w:h="16838"/>
          <w:pgMar w:top="2098" w:right="1474" w:bottom="1984" w:left="1588" w:header="851" w:footer="992" w:gutter="0"/>
          <w:cols w:space="0" w:num="1"/>
          <w:docGrid w:type="lines" w:linePitch="312" w:charSpace="0"/>
        </w:sectPr>
      </w:pPr>
    </w:p>
    <w:p>
      <w:pPr>
        <w:rPr>
          <w:rFonts w:ascii="宋体" w:cs="ArialUnicodeMS"/>
          <w:color w:val="000000"/>
          <w:kern w:val="0"/>
        </w:rPr>
        <w:sectPr>
          <w:pgSz w:w="11906" w:h="16838"/>
          <w:pgMar w:top="2098" w:right="1474" w:bottom="1984" w:left="1588" w:header="851" w:footer="992" w:gutter="0"/>
          <w:cols w:space="0" w:num="1"/>
          <w:docGrid w:type="lines" w:linePitch="312" w:charSpace="0"/>
        </w:sectPr>
      </w:pPr>
      <w:r>
        <w:drawing>
          <wp:anchor distT="0" distB="0" distL="114300" distR="114300" simplePos="0" relativeHeight="251668480" behindDoc="1" locked="0" layoutInCell="1" allowOverlap="1">
            <wp:simplePos x="0" y="0"/>
            <wp:positionH relativeFrom="column">
              <wp:posOffset>-1009015</wp:posOffset>
            </wp:positionH>
            <wp:positionV relativeFrom="paragraph">
              <wp:posOffset>-1337945</wp:posOffset>
            </wp:positionV>
            <wp:extent cx="7550150" cy="10680065"/>
            <wp:effectExtent l="0" t="0" r="12700" b="6985"/>
            <wp:wrapNone/>
            <wp:docPr id="12" name="图片 2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1" descr="2"/>
                    <pic:cNvPicPr>
                      <a:picLocks noChangeAspect="1"/>
                    </pic:cNvPicPr>
                  </pic:nvPicPr>
                  <pic:blipFill>
                    <a:blip r:embed="rId7"/>
                    <a:stretch>
                      <a:fillRect/>
                    </a:stretch>
                  </pic:blipFill>
                  <pic:spPr>
                    <a:xfrm>
                      <a:off x="0" y="0"/>
                      <a:ext cx="7550150" cy="10680065"/>
                    </a:xfrm>
                    <a:prstGeom prst="rect">
                      <a:avLst/>
                    </a:prstGeom>
                    <a:noFill/>
                    <a:ln>
                      <a:noFill/>
                    </a:ln>
                  </pic:spPr>
                </pic:pic>
              </a:graphicData>
            </a:graphic>
          </wp:anchor>
        </w:drawing>
      </w:r>
      <w:r>
        <mc:AlternateContent>
          <mc:Choice Requires="wps">
            <w:drawing>
              <wp:anchor distT="0" distB="0" distL="114300" distR="114300" simplePos="0" relativeHeight="251667456" behindDoc="0" locked="0" layoutInCell="1" allowOverlap="1">
                <wp:simplePos x="0" y="0"/>
                <wp:positionH relativeFrom="column">
                  <wp:posOffset>-999490</wp:posOffset>
                </wp:positionH>
                <wp:positionV relativeFrom="paragraph">
                  <wp:posOffset>2956560</wp:posOffset>
                </wp:positionV>
                <wp:extent cx="7571740" cy="2020570"/>
                <wp:effectExtent l="0" t="0" r="0" b="0"/>
                <wp:wrapNone/>
                <wp:docPr id="11" name="文本框 22"/>
                <wp:cNvGraphicFramePr/>
                <a:graphic xmlns:a="http://schemas.openxmlformats.org/drawingml/2006/main">
                  <a:graphicData uri="http://schemas.microsoft.com/office/word/2010/wordprocessingShape">
                    <wps:wsp>
                      <wps:cNvSpPr txBox="1"/>
                      <wps:spPr>
                        <a:xfrm>
                          <a:off x="0" y="0"/>
                          <a:ext cx="7571740" cy="2020570"/>
                        </a:xfrm>
                        <a:prstGeom prst="rect">
                          <a:avLst/>
                        </a:prstGeom>
                        <a:noFill/>
                        <a:ln w="6350">
                          <a:noFill/>
                        </a:ln>
                      </wps:spPr>
                      <wps:txb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wps:txbx>
                      <wps:bodyPr upright="1"/>
                    </wps:wsp>
                  </a:graphicData>
                </a:graphic>
              </wp:anchor>
            </w:drawing>
          </mc:Choice>
          <mc:Fallback>
            <w:pict>
              <v:shape id="文本框 22" o:spid="_x0000_s1026" o:spt="202" type="#_x0000_t202" style="position:absolute;left:0pt;margin-left:-78.7pt;margin-top:232.8pt;height:159.1pt;width:596.2pt;z-index:251667456;mso-width-relative:page;mso-height-relative:page;" filled="f" stroked="f" coordsize="21600,21600" o:gfxdata="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NlmnozeAAAADQEAAA8AAAAAAAAAAQAgAAAAIgAAAGRycy9kb3ducmV2LnhtbFBL&#10;AQIUABQAAAAIAIdO4kDlQJcStwEAAFoDAAAOAAAAAAAAAAEAIAAAAC0BAABkcnMvZTJvRG9jLnht&#10;bFBLBQYAAAAABgAGAFkBAABWBQAAAAA=&#10;">
                <v:fill on="f" focussize="0,0"/>
                <v:stroke on="f" weight="0.5pt"/>
                <v:imagedata o:title=""/>
                <o:lock v:ext="edit" aspectratio="f"/>
                <v:textbox>
                  <w:txbxContent>
                    <w:p>
                      <w:pPr>
                        <w:widowControl/>
                        <w:spacing w:line="1200" w:lineRule="exact"/>
                        <w:jc w:val="center"/>
                        <w:rPr>
                          <w:rFonts w:ascii="黑体" w:hAnsi="宋体" w:eastAsia="黑体"/>
                          <w:color w:val="FDEFBE"/>
                          <w:sz w:val="96"/>
                          <w:szCs w:val="96"/>
                        </w:rPr>
                      </w:pPr>
                      <w:r>
                        <w:rPr>
                          <w:rFonts w:hint="eastAsia" w:ascii="黑体" w:hAnsi="宋体" w:eastAsia="黑体"/>
                          <w:color w:val="FDEFBE"/>
                          <w:sz w:val="96"/>
                          <w:szCs w:val="96"/>
                        </w:rPr>
                        <w:t>第四部分</w:t>
                      </w:r>
                    </w:p>
                    <w:p>
                      <w:pPr>
                        <w:widowControl/>
                        <w:spacing w:line="1200" w:lineRule="exact"/>
                        <w:jc w:val="center"/>
                        <w:rPr>
                          <w:color w:val="FDEFBE"/>
                          <w:sz w:val="96"/>
                          <w:szCs w:val="96"/>
                        </w:rPr>
                      </w:pPr>
                      <w:r>
                        <w:rPr>
                          <w:rFonts w:hint="eastAsia" w:ascii="黑体" w:hAnsi="宋体" w:eastAsia="黑体"/>
                          <w:color w:val="FDEFBE"/>
                          <w:sz w:val="96"/>
                          <w:szCs w:val="96"/>
                        </w:rPr>
                        <w:t>名词解释</w:t>
                      </w:r>
                    </w:p>
                  </w:txbxContent>
                </v:textbox>
              </v:shape>
            </w:pict>
          </mc:Fallback>
        </mc:AlternateConten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（一）财政拨款收入：</w:t>
      </w:r>
      <w:r>
        <w:rPr>
          <w:rFonts w:hint="eastAsia" w:ascii="仿宋_GB2312" w:hAnsi="宋体" w:eastAsia="仿宋_GB2312"/>
          <w:color w:val="000000"/>
          <w:kern w:val="0"/>
          <w:sz w:val="32"/>
          <w:szCs w:val="32"/>
        </w:rPr>
        <w:t>本年度从本级财政部门取得的财政拨款，包括一般公共预算财政拨款和政府性基金预算财政拨款。</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（二）事业收入：</w:t>
      </w:r>
      <w:r>
        <w:rPr>
          <w:rFonts w:hint="eastAsia" w:ascii="仿宋_GB2312" w:hAnsi="宋体" w:eastAsia="仿宋_GB2312"/>
          <w:color w:val="000000"/>
          <w:kern w:val="0"/>
          <w:sz w:val="32"/>
          <w:szCs w:val="32"/>
        </w:rPr>
        <w:t>指事业单位开展专业业务活动及辅助活动所取得的收入。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（三）其他收入：</w:t>
      </w:r>
      <w:r>
        <w:rPr>
          <w:rFonts w:hint="eastAsia" w:ascii="仿宋_GB2312" w:hAnsi="宋体" w:eastAsia="仿宋_GB2312"/>
          <w:color w:val="000000"/>
          <w:kern w:val="0"/>
          <w:sz w:val="32"/>
          <w:szCs w:val="32"/>
        </w:rPr>
        <w:t>指除上述“财政拨款收入”“事业收入”“经营收入”等以外的收入。</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（四）用事业基金弥补收支差额：</w:t>
      </w:r>
      <w:r>
        <w:rPr>
          <w:rFonts w:hint="eastAsia" w:ascii="仿宋_GB2312" w:hAnsi="宋体" w:eastAsia="仿宋_GB2312"/>
          <w:color w:val="000000"/>
          <w:kern w:val="0"/>
          <w:sz w:val="32"/>
          <w:szCs w:val="32"/>
        </w:rPr>
        <w:t>指事业单位在用当年的“财政拨款收入”“财政拨款结转和结余资金”“事业收入”“经营收入”“其他收入”不足以安排当年支出的情况下，使用以前年度积累的事业基金（事业单位当年收支相抵后按国家规定提取、用于弥补以后年度收支差额的基金）弥补本年度收支缺口的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（五）年初结转和结余：</w:t>
      </w:r>
      <w:r>
        <w:rPr>
          <w:rFonts w:hint="eastAsia" w:ascii="仿宋_GB2312" w:hAnsi="宋体" w:eastAsia="仿宋_GB2312"/>
          <w:color w:val="000000"/>
          <w:kern w:val="0"/>
          <w:sz w:val="32"/>
          <w:szCs w:val="32"/>
        </w:rPr>
        <w:t>指以前年度尚未完成、结转到本年仍按原规定用途继续使用的资金，或项目已完成等产生的结余资金。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（六）结余分配：</w:t>
      </w:r>
      <w:r>
        <w:rPr>
          <w:rFonts w:hint="eastAsia" w:ascii="仿宋_GB2312" w:hAnsi="宋体" w:eastAsia="仿宋_GB2312"/>
          <w:color w:val="000000"/>
          <w:kern w:val="0"/>
          <w:sz w:val="32"/>
          <w:szCs w:val="32"/>
        </w:rPr>
        <w:t>指事业单位按照事业单位会计制度的规定从非财政补助结余中分配的事业基金和职工福利基金等。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（七）年末结转和结</w:t>
      </w:r>
      <w:r>
        <mc:AlternateContent>
          <mc:Choice Requires="wpg">
            <w:drawing>
              <wp:anchor distT="0" distB="0" distL="114300" distR="114300" simplePos="0" relativeHeight="251671552"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23" name="组合 149"/>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21" name="矩形 13"/>
                        <wps:cNvSpPr/>
                        <wps:spPr>
                          <a:xfrm>
                            <a:off x="4551" y="52615"/>
                            <a:ext cx="8546" cy="1175"/>
                          </a:xfrm>
                          <a:prstGeom prst="rect">
                            <a:avLst/>
                          </a:prstGeom>
                          <a:solidFill>
                            <a:srgbClr val="96DA9D"/>
                          </a:solidFill>
                          <a:ln w="25400">
                            <a:noFill/>
                          </a:ln>
                        </wps:spPr>
                        <wps:bodyPr anchor="ctr" anchorCtr="0" upright="1"/>
                      </wps:wsp>
                      <wps:wsp>
                        <wps:cNvPr id="22"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149" o:spid="_x0000_s1026" o:spt="203" style="position:absolute;left:0pt;margin-left:-81.05pt;margin-top:39.65pt;height:43.95pt;width:264.85pt;mso-position-vertical-relative:page;z-index:251671552;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3j5uTcMC&#10;AAAn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SEypdLoAAADb&#10;AAAADwAAAGRycy9kb3ducmV2LnhtbEWPQWsCMRSE70L/Q3iF3urLChVZjR4KhZ4KtXrw9tg8N4ub&#10;lyWJ6/bfN0LB4zAz3zCb3eR7NXJMXRAD1VyDYmmC7aQ1cPj5eF2BSpnEUh+EDfxygt32abah2oab&#10;fPO4z60qEEk1GXA5DzViahx7SvMwsBTvHKKnXGRs0Ua6FbjvcaH1Ej11UhYcDfzuuLnsr94ARo7o&#10;4nSOpzResfrSx7fmYszLc6XXoDJP+RH+b39aA4sK7l/KD8Dt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ITKl0ugAAANsA&#10;AAAPAAAAAAAAAAEAIAAAACIAAABkcnMvZG93bnJldi54bWxQSwECFAAUAAAACACHTuJAMy8FnjsA&#10;AAA5AAAAEAAAAAAAAAABACAAAAAJAQAAZHJzL3NoYXBleG1sLnhtbFBLBQYAAAAABgAGAFsBAACz&#10;Aw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Bho+l74AAADb&#10;AAAADwAAAGRycy9kb3ducmV2LnhtbEWPT2vCQBTE74V+h+UJvdWNOQRJXYMIUhWk1EbE2yP7zIZk&#10;34bs1j/99G6h0OMwM79hZsXNduJCg28cK5iMExDEldMN1wrKr9XrFIQPyBo7x6TgTh6K+fPTDHPt&#10;rvxJl32oRYSwz1GBCaHPpfSVIYt+7Hri6J3dYDFEOdRSD3iNcNvJNEkyabHhuGCwp6Whqt1/WwUf&#10;pTm945aOdrdtD+Wiwexnkyn1MpokbyAC3cJ/+K+91grSFH6/xB8g5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ho+l7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余：</w:t>
      </w:r>
      <w:r>
        <w:rPr>
          <w:rFonts w:hint="eastAsia" w:ascii="仿宋_GB2312" w:hAnsi="宋体" w:eastAsia="仿宋_GB2312"/>
          <w:color w:val="000000"/>
          <w:kern w:val="0"/>
          <w:sz w:val="32"/>
          <w:szCs w:val="32"/>
        </w:rPr>
        <w:t>指单位按有关规定结转到下年或以后年度继续使用的资金，或项目已完成等产生的结余资金。</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（八）基本支出：</w:t>
      </w:r>
      <w:r>
        <w:rPr>
          <w:rFonts w:hint="eastAsia" w:ascii="仿宋_GB2312" w:hAnsi="宋体" w:eastAsia="仿宋_GB2312"/>
          <w:color w:val="000000"/>
          <w:kern w:val="0"/>
          <w:sz w:val="32"/>
          <w:szCs w:val="32"/>
        </w:rPr>
        <w:t>填列单位为保障机构正常运转、完成日常工作任务而发生的各项支出。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（九）项目支出：</w:t>
      </w:r>
      <w:r>
        <w:rPr>
          <w:rFonts w:hint="eastAsia" w:ascii="仿宋_GB2312" w:hAnsi="宋体" w:eastAsia="仿宋_GB2312"/>
          <w:color w:val="000000"/>
          <w:kern w:val="0"/>
          <w:sz w:val="32"/>
          <w:szCs w:val="32"/>
        </w:rPr>
        <w:t>填列单位为完成特定的行政工作任务或事业发展目标，在基本支出之外发生的各项支出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（十）资本性支出（基本建设）：</w:t>
      </w:r>
      <w:r>
        <w:rPr>
          <w:rFonts w:hint="eastAsia" w:ascii="仿宋_GB2312" w:hAnsi="宋体" w:eastAsia="仿宋_GB2312"/>
          <w:color w:val="000000"/>
          <w:kern w:val="0"/>
          <w:sz w:val="32"/>
          <w:szCs w:val="32"/>
        </w:rPr>
        <w:t>填列切块由发展改革部门安排的基本建设支出，对企业补助支出不在此科目反映。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（十一）资本性支出：</w:t>
      </w:r>
      <w:r>
        <w:rPr>
          <w:rFonts w:hint="eastAsia" w:ascii="仿宋_GB2312" w:hAnsi="宋体" w:eastAsia="仿宋_GB2312"/>
          <w:color w:val="000000"/>
          <w:kern w:val="0"/>
          <w:sz w:val="32"/>
          <w:szCs w:val="32"/>
        </w:rPr>
        <w:t>填列各单位安排的资本性支出。切块由发展改革部门安排的基本建设支出不在此科目反映。</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（十二）“三公”经费：</w:t>
      </w:r>
      <w:r>
        <w:rPr>
          <w:rFonts w:hint="eastAsia" w:ascii="仿宋_GB2312" w:hAnsi="宋体" w:eastAsia="仿宋_GB2312"/>
          <w:color w:val="000000"/>
          <w:kern w:val="0"/>
          <w:sz w:val="32"/>
          <w:szCs w:val="32"/>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及租用费、燃料费、维修费、过路过桥费、保险费、安全奖励费用等支出；公务接</w:t>
      </w:r>
      <w:r>
        <mc:AlternateContent>
          <mc:Choice Requires="wpg">
            <w:drawing>
              <wp:anchor distT="0" distB="0" distL="114300" distR="114300" simplePos="0" relativeHeight="251688960"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6" name="组合 94"/>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4" name="矩形 13"/>
                        <wps:cNvSpPr/>
                        <wps:spPr>
                          <a:xfrm>
                            <a:off x="4551" y="52615"/>
                            <a:ext cx="8546" cy="1175"/>
                          </a:xfrm>
                          <a:prstGeom prst="rect">
                            <a:avLst/>
                          </a:prstGeom>
                          <a:solidFill>
                            <a:srgbClr val="96DA9D"/>
                          </a:solidFill>
                          <a:ln w="25400">
                            <a:noFill/>
                          </a:ln>
                        </wps:spPr>
                        <wps:bodyPr anchor="ctr" anchorCtr="0" upright="1"/>
                      </wps:wsp>
                      <wps:wsp>
                        <wps:cNvPr id="85"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4" o:spid="_x0000_s1026" o:spt="203" style="position:absolute;left:0pt;margin-left:-81.05pt;margin-top:39.65pt;height:43.95pt;width:264.85pt;mso-position-vertical-relative:page;z-index:251688960;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">
                <o:lock v:ext="edit" aspectratio="f"/>
                <v:rect id="矩形 13" o:spid="_x0000_s1026" o:spt="1" style="position:absolute;left:4551;top:52615;height:1175;width:8546;v-text-anchor:middle;" fillcolor="#96DA9D" filled="t" stroked="f" coordsize="21600,21600" o:gfxdata="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l1V1r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r5X52b4AAADb&#10;AAAADwAAAGRycy9kb3ducmV2LnhtbEWP3WrCQBSE74W+w3IK3pmNBYOkrlIKpVWQokaKd4fsMRvM&#10;ng3Z9ffp3YLg5TAz3zCT2cU24kSdrx0rGCYpCOLS6ZorBcXmazAG4QOyxsYxKbiSh9n0pTfBXLsz&#10;r+i0DpWIEPY5KjAhtLmUvjRk0SeuJY7e3nUWQ5RdJXWH5wi3jXxL00xarDkuGGzp01B5WB+tgt/C&#10;7L5xQX92uThsi48as9s8U6r/OkzfQQS6hGf40f7RCsYj+P8Sf4Cc3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5X52b4A&#10;AADbAAAADwAAAAAAAAABACAAAAAiAAAAZHJzL2Rvd25yZXYueG1sUEsBAhQAFAAAAAgAh07iQDMv&#10;BZ47AAAAOQAAABAAAAAAAAAAAQAgAAAADQEAAGRycy9zaGFwZXhtbC54bWxQSwUGAAAAAAYABgBb&#10;AQAAtwM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color w:val="000000"/>
          <w:kern w:val="0"/>
          <w:sz w:val="32"/>
          <w:szCs w:val="32"/>
        </w:rPr>
        <w:t>待费反映单位按规定开支的各类公务接待（含外宾接待）支出。</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（十三）其</w:t>
      </w:r>
      <w:r>
        <mc:AlternateContent>
          <mc:Choice Requires="wpg">
            <w:drawing>
              <wp:anchor distT="0" distB="0" distL="114300" distR="114300" simplePos="0" relativeHeight="251689984" behindDoc="0" locked="1" layoutInCell="1" allowOverlap="1">
                <wp:simplePos x="0" y="0"/>
                <wp:positionH relativeFrom="column">
                  <wp:posOffset>-1029335</wp:posOffset>
                </wp:positionH>
                <wp:positionV relativeFrom="page">
                  <wp:posOffset>503555</wp:posOffset>
                </wp:positionV>
                <wp:extent cx="3363595" cy="558165"/>
                <wp:effectExtent l="2540" t="0" r="5715" b="13335"/>
                <wp:wrapNone/>
                <wp:docPr id="89" name="组合 97"/>
                <wp:cNvGraphicFramePr/>
                <a:graphic xmlns:a="http://schemas.openxmlformats.org/drawingml/2006/main">
                  <a:graphicData uri="http://schemas.microsoft.com/office/word/2010/wordprocessingGroup">
                    <wpg:wgp>
                      <wpg:cNvGrpSpPr/>
                      <wpg:grpSpPr>
                        <a:xfrm>
                          <a:off x="0" y="0"/>
                          <a:ext cx="3363595" cy="558165"/>
                          <a:chOff x="4551" y="52615"/>
                          <a:chExt cx="8546" cy="1398"/>
                        </a:xfrm>
                      </wpg:grpSpPr>
                      <wps:wsp>
                        <wps:cNvPr id="87" name="矩形 13"/>
                        <wps:cNvSpPr/>
                        <wps:spPr>
                          <a:xfrm>
                            <a:off x="4551" y="52615"/>
                            <a:ext cx="8546" cy="1175"/>
                          </a:xfrm>
                          <a:prstGeom prst="rect">
                            <a:avLst/>
                          </a:prstGeom>
                          <a:solidFill>
                            <a:srgbClr val="96DA9D"/>
                          </a:solidFill>
                          <a:ln w="25400">
                            <a:noFill/>
                          </a:ln>
                        </wps:spPr>
                        <wps:bodyPr anchor="ctr" anchorCtr="0" upright="1"/>
                      </wps:wsp>
                      <wps:wsp>
                        <wps:cNvPr id="88" name="矩形 14"/>
                        <wps:cNvSpPr/>
                        <wps:spPr>
                          <a:xfrm>
                            <a:off x="4577" y="52890"/>
                            <a:ext cx="8324" cy="1123"/>
                          </a:xfrm>
                          <a:prstGeom prst="rect">
                            <a:avLst/>
                          </a:prstGeom>
                          <a:solidFill>
                            <a:srgbClr val="AD002D"/>
                          </a:solidFill>
                          <a:ln w="25400" cap="flat" cmpd="sng">
                            <a:solidFill>
                              <a:srgbClr val="845209"/>
                            </a:solidFill>
                            <a:prstDash val="solid"/>
                            <a:miter/>
                            <a:headEnd type="none" w="med" len="med"/>
                            <a:tailEnd type="none" w="med" len="med"/>
                          </a:ln>
                        </wps:spPr>
                        <wps:txb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wps:txbx>
                        <wps:bodyPr anchor="ctr" anchorCtr="0" upright="1"/>
                      </wps:wsp>
                    </wpg:wgp>
                  </a:graphicData>
                </a:graphic>
              </wp:anchor>
            </w:drawing>
          </mc:Choice>
          <mc:Fallback>
            <w:pict>
              <v:group id="组合 97" o:spid="_x0000_s1026" o:spt="203" style="position:absolute;left:0pt;margin-left:-81.05pt;margin-top:39.65pt;height:43.95pt;width:264.85pt;mso-position-vertical-relative:page;z-index:251689984;mso-width-relative:page;mso-height-relative:page;" coordorigin="4551,52615" coordsize="8546,1398" o:gfxdata="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">
                <o:lock v:ext="edit" aspectratio="f"/>
                <v:rect id="矩形 13" o:spid="_x0000_s1026" o:spt="1" style="position:absolute;left:4551;top:52615;height:1175;width:8546;v-text-anchor:middle;" fillcolor="#96DA9D" filled="t" stroked="f" coordsize="21600,21600" o:gfxdata="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o/LobsAAADb&#10;AAAADwAAAAAAAAABACAAAAAiAAAAZHJzL2Rvd25yZXYueG1sUEsBAhQAFAAAAAgAh07iQDMvBZ47&#10;AAAAOQAAABAAAAAAAAAAAQAgAAAACgEAAGRycy9zaGFwZXhtbC54bWxQSwUGAAAAAAYABgBbAQAA&#10;tAMAAAAA&#10;">
                  <v:fill on="t" focussize="0,0"/>
                  <v:stroke on="f" weight="2pt"/>
                  <v:imagedata o:title=""/>
                  <o:lock v:ext="edit" aspectratio="f"/>
                </v:rect>
                <v:rect id="矩形 14" o:spid="_x0000_s1026" o:spt="1" style="position:absolute;left:4577;top:52890;height:1123;width:8324;v-text-anchor:middle;" fillcolor="#AD002D" filled="t" stroked="t" coordsize="21600,21600" o:gfxdata="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GUVke8AAAA&#10;2wAAAA8AAAAAAAAAAQAgAAAAIgAAAGRycy9kb3ducmV2LnhtbFBLAQIUABQAAAAIAIdO4kAzLwWe&#10;OwAAADkAAAAQAAAAAAAAAAEAIAAAAAsBAABkcnMvc2hhcGV4bWwueG1sUEsFBgAAAAAGAAYAWwEA&#10;ALUDAAAAAA==&#10;">
                  <v:fill on="t" focussize="0,0"/>
                  <v:stroke weight="2pt" color="#845209" joinstyle="miter"/>
                  <v:imagedata o:title=""/>
                  <o:lock v:ext="edit" aspectratio="f"/>
                  <v:textbox>
                    <w:txbxContent>
                      <w:p>
                        <w:pPr>
                          <w:widowControl/>
                          <w:jc w:val="left"/>
                          <w:rPr>
                            <w:rFonts w:ascii="楷体" w:hAnsi="楷体" w:eastAsia="楷体" w:cs="楷体"/>
                            <w:b/>
                            <w:bCs/>
                            <w:color w:val="FDEFBE"/>
                            <w:sz w:val="32"/>
                            <w:szCs w:val="32"/>
                          </w:rPr>
                        </w:pPr>
                        <w:r>
                          <w:rPr>
                            <w:rFonts w:ascii="楷体" w:hAnsi="楷体" w:eastAsia="楷体" w:cs="楷体"/>
                            <w:b/>
                            <w:bCs/>
                            <w:color w:val="FDEFBE"/>
                            <w:kern w:val="0"/>
                            <w:sz w:val="32"/>
                            <w:szCs w:val="32"/>
                          </w:rPr>
                          <w:t>2018</w:t>
                        </w:r>
                        <w:r>
                          <w:rPr>
                            <w:rFonts w:hint="eastAsia" w:ascii="楷体" w:hAnsi="楷体" w:eastAsia="楷体" w:cs="楷体"/>
                            <w:b/>
                            <w:bCs/>
                            <w:color w:val="FDEFBE"/>
                            <w:kern w:val="0"/>
                            <w:sz w:val="32"/>
                            <w:szCs w:val="32"/>
                          </w:rPr>
                          <w:t>年度部门决算</w:t>
                        </w:r>
                        <w:r>
                          <w:rPr>
                            <w:rFonts w:hint="eastAsia" w:ascii="MS Gothic" w:hAnsi="MS Gothic" w:eastAsia="MS Gothic" w:cs="MS Gothic"/>
                            <w:b/>
                            <w:bCs/>
                            <w:color w:val="FDEFBE"/>
                            <w:kern w:val="0"/>
                            <w:sz w:val="32"/>
                            <w:szCs w:val="32"/>
                          </w:rPr>
                          <w:t>☞</w:t>
                        </w:r>
                        <w:r>
                          <w:rPr>
                            <w:rFonts w:hint="eastAsia" w:ascii="楷体" w:hAnsi="楷体" w:eastAsia="楷体" w:cs="楷体"/>
                            <w:b/>
                            <w:bCs/>
                            <w:color w:val="FDEFBE"/>
                            <w:kern w:val="0"/>
                            <w:sz w:val="32"/>
                            <w:szCs w:val="32"/>
                          </w:rPr>
                          <w:t>名词解释</w:t>
                        </w:r>
                      </w:p>
                      <w:p>
                        <w:pPr>
                          <w:jc w:val="center"/>
                        </w:pPr>
                      </w:p>
                    </w:txbxContent>
                  </v:textbox>
                </v:rect>
                <w10:anchorlock/>
              </v:group>
            </w:pict>
          </mc:Fallback>
        </mc:AlternateContent>
      </w:r>
      <w:r>
        <w:rPr>
          <w:rFonts w:hint="eastAsia" w:ascii="仿宋_GB2312" w:hAnsi="宋体" w:eastAsia="仿宋_GB2312"/>
          <w:b/>
          <w:bCs/>
          <w:color w:val="000000"/>
          <w:kern w:val="0"/>
          <w:sz w:val="32"/>
          <w:szCs w:val="32"/>
        </w:rPr>
        <w:t>他交通费用：</w:t>
      </w:r>
      <w:r>
        <w:rPr>
          <w:rFonts w:hint="eastAsia" w:ascii="仿宋_GB2312" w:hAnsi="宋体" w:eastAsia="仿宋_GB2312"/>
          <w:color w:val="000000"/>
          <w:kern w:val="0"/>
          <w:sz w:val="32"/>
          <w:szCs w:val="32"/>
        </w:rPr>
        <w:t>填列单位除公务用车运行维护费以外的其他交通费用。如公务交通补贴、租车费用、出租车费用、飞机、船舶等的燃料费、维修费、保险费等。</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（十四）公务用车购置：</w:t>
      </w:r>
      <w:r>
        <w:rPr>
          <w:rFonts w:hint="eastAsia" w:ascii="仿宋_GB2312" w:hAnsi="宋体" w:eastAsia="仿宋_GB2312"/>
          <w:color w:val="000000"/>
          <w:kern w:val="0"/>
          <w:sz w:val="32"/>
          <w:szCs w:val="32"/>
        </w:rPr>
        <w:t>填列单位公务用车购置支出（含车辆购置税、牌照费）。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（十五）其他交通工具购置：</w:t>
      </w:r>
      <w:r>
        <w:rPr>
          <w:rFonts w:hint="eastAsia" w:ascii="仿宋_GB2312" w:hAnsi="宋体" w:eastAsia="仿宋_GB2312"/>
          <w:color w:val="000000"/>
          <w:kern w:val="0"/>
          <w:sz w:val="32"/>
          <w:szCs w:val="32"/>
        </w:rPr>
        <w:t>填列单位除公务用车外的其他各类交通工具（如船舶、飞机）购置支出（含车辆购置税、牌照费）。</w:t>
      </w:r>
    </w:p>
    <w:p>
      <w:pPr>
        <w:widowControl/>
        <w:spacing w:after="0" w:line="560" w:lineRule="exact"/>
        <w:ind w:firstLine="643" w:firstLineChars="200"/>
        <w:rPr>
          <w:rFonts w:ascii="仿宋_GB2312" w:hAnsi="宋体" w:eastAsia="仿宋_GB2312"/>
          <w:color w:val="000000"/>
          <w:kern w:val="0"/>
          <w:sz w:val="32"/>
          <w:szCs w:val="32"/>
        </w:rPr>
      </w:pPr>
      <w:r>
        <w:rPr>
          <w:rFonts w:hint="eastAsia" w:ascii="仿宋_GB2312" w:hAnsi="宋体" w:eastAsia="仿宋_GB2312"/>
          <w:b/>
          <w:bCs/>
          <w:color w:val="000000"/>
          <w:kern w:val="0"/>
          <w:sz w:val="32"/>
          <w:szCs w:val="32"/>
        </w:rPr>
        <w:t>（十六）机关运行经费：</w:t>
      </w:r>
      <w:r>
        <w:rPr>
          <w:rFonts w:hint="eastAsia" w:ascii="仿宋_GB2312" w:hAnsi="宋体" w:eastAsia="仿宋_GB2312"/>
          <w:color w:val="000000"/>
          <w:kern w:val="0"/>
          <w:sz w:val="32"/>
          <w:szCs w:val="32"/>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p>
      <w:pPr>
        <w:widowControl/>
        <w:spacing w:after="0" w:line="560" w:lineRule="exact"/>
        <w:ind w:firstLine="643" w:firstLineChars="200"/>
        <w:rPr>
          <w:rFonts w:ascii="仿宋_GB2312" w:hAnsi="Cambria" w:eastAsia="仿宋_GB2312" w:cs="ArialUnicodeMS"/>
          <w:kern w:val="0"/>
          <w:sz w:val="32"/>
          <w:szCs w:val="32"/>
        </w:rPr>
        <w:sectPr>
          <w:pgSz w:w="11906" w:h="16838"/>
          <w:pgMar w:top="2098" w:right="1474" w:bottom="1985" w:left="1588" w:header="851" w:footer="992" w:gutter="0"/>
          <w:cols w:space="425" w:num="1"/>
          <w:docGrid w:type="lines" w:linePitch="312" w:charSpace="0"/>
        </w:sectPr>
      </w:pPr>
      <w:r>
        <w:rPr>
          <w:rFonts w:hint="eastAsia" w:ascii="仿宋_GB2312" w:hAnsi="宋体" w:eastAsia="仿宋_GB2312"/>
          <w:b/>
          <w:bCs/>
          <w:color w:val="000000"/>
          <w:kern w:val="0"/>
          <w:sz w:val="32"/>
          <w:szCs w:val="32"/>
        </w:rPr>
        <w:t>（十七）经费形式</w:t>
      </w:r>
      <w:r>
        <w:rPr>
          <w:rFonts w:ascii="仿宋_GB2312" w:hAnsi="宋体" w:eastAsia="仿宋_GB2312"/>
          <w:b/>
          <w:bCs/>
          <w:color w:val="000000"/>
          <w:kern w:val="0"/>
          <w:sz w:val="32"/>
          <w:szCs w:val="32"/>
        </w:rPr>
        <w:t>:</w:t>
      </w:r>
      <w:r>
        <w:rPr>
          <w:rFonts w:hint="eastAsia" w:ascii="仿宋_GB2312" w:hAnsi="宋体" w:eastAsia="仿宋_GB2312"/>
          <w:color w:val="000000"/>
          <w:kern w:val="0"/>
          <w:sz w:val="32"/>
          <w:szCs w:val="32"/>
        </w:rPr>
        <w:t>按照经费来源，</w:t>
      </w:r>
      <w:r>
        <w:rPr>
          <w:rFonts w:hint="eastAsia" w:ascii="仿宋_GB2312" w:hAnsi="Cambria" w:eastAsia="仿宋_GB2312" w:cs="ArialUnicodeMS"/>
          <w:kern w:val="0"/>
          <w:sz w:val="32"/>
          <w:szCs w:val="32"/>
        </w:rPr>
        <w:t>可分为财政拨款、财政性资金基本保证、财政性资金定额或定项补助、财政性资金零补助四类。</w:t>
      </w:r>
    </w:p>
    <w:p>
      <w:pPr>
        <w:widowControl/>
        <w:spacing w:after="0" w:line="560" w:lineRule="exact"/>
        <w:ind w:firstLine="420" w:firstLineChars="200"/>
        <w:rPr>
          <w:rFonts w:ascii="仿宋_GB2312" w:hAnsi="Cambria" w:eastAsia="仿宋_GB2312" w:cs="ArialUnicodeMS"/>
          <w:kern w:val="0"/>
          <w:sz w:val="32"/>
          <w:szCs w:val="32"/>
        </w:rPr>
      </w:pPr>
      <w:r>
        <w:drawing>
          <wp:anchor distT="0" distB="0" distL="114300" distR="114300" simplePos="0" relativeHeight="251669504" behindDoc="1" locked="0" layoutInCell="1" allowOverlap="1">
            <wp:simplePos x="0" y="0"/>
            <wp:positionH relativeFrom="column">
              <wp:posOffset>-990600</wp:posOffset>
            </wp:positionH>
            <wp:positionV relativeFrom="paragraph">
              <wp:posOffset>-1355090</wp:posOffset>
            </wp:positionV>
            <wp:extent cx="7590155" cy="10735945"/>
            <wp:effectExtent l="0" t="0" r="10795" b="8255"/>
            <wp:wrapNone/>
            <wp:docPr id="19" name="图片 10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01" descr="3"/>
                    <pic:cNvPicPr>
                      <a:picLocks noChangeAspect="1"/>
                    </pic:cNvPicPr>
                  </pic:nvPicPr>
                  <pic:blipFill>
                    <a:blip r:embed="rId8"/>
                    <a:stretch>
                      <a:fillRect/>
                    </a:stretch>
                  </pic:blipFill>
                  <pic:spPr>
                    <a:xfrm>
                      <a:off x="0" y="0"/>
                      <a:ext cx="7590155" cy="10735945"/>
                    </a:xfrm>
                    <a:prstGeom prst="rect">
                      <a:avLst/>
                    </a:prstGeom>
                    <a:noFill/>
                    <a:ln>
                      <a:noFill/>
                    </a:ln>
                  </pic:spPr>
                </pic:pic>
              </a:graphicData>
            </a:graphic>
          </wp:anchor>
        </w:drawing>
      </w:r>
    </w:p>
    <w:sectPr>
      <w:pgSz w:w="11906" w:h="16838"/>
      <w:pgMar w:top="2098" w:right="1474" w:bottom="1985" w:left="1588"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055A6336-43CF-4267-A0B9-459B0AFBECFF}"/>
  </w:font>
  <w:font w:name="Arial">
    <w:panose1 w:val="020B0604020202020204"/>
    <w:charset w:val="01"/>
    <w:family w:val="swiss"/>
    <w:pitch w:val="default"/>
    <w:sig w:usb0="E0002EFF" w:usb1="C000785B" w:usb2="00000009" w:usb3="00000000" w:csb0="400001FF" w:csb1="FFFF0000"/>
    <w:embedRegular r:id="rId2" w:fontKey="{411777A2-4B26-417E-A796-B325424A9E4E}"/>
  </w:font>
  <w:font w:name="黑体">
    <w:panose1 w:val="02010609060101010101"/>
    <w:charset w:val="86"/>
    <w:family w:val="auto"/>
    <w:pitch w:val="default"/>
    <w:sig w:usb0="800002BF" w:usb1="38CF7CFA" w:usb2="00000016" w:usb3="00000000" w:csb0="00040001" w:csb1="00000000"/>
    <w:embedRegular r:id="rId3" w:fontKey="{4FC11AFA-1C16-499E-8147-1C852ED72490}"/>
  </w:font>
  <w:font w:name="Courier New">
    <w:panose1 w:val="02070309020205020404"/>
    <w:charset w:val="01"/>
    <w:family w:val="modern"/>
    <w:pitch w:val="default"/>
    <w:sig w:usb0="E0002EFF" w:usb1="C0007843" w:usb2="00000009" w:usb3="00000000" w:csb0="400001FF" w:csb1="FFFF0000"/>
    <w:embedRegular r:id="rId4" w:fontKey="{950F4987-12DA-48D9-9584-AE7571E52F24}"/>
  </w:font>
  <w:font w:name="Symbol">
    <w:panose1 w:val="05050102010706020507"/>
    <w:charset w:val="02"/>
    <w:family w:val="roman"/>
    <w:pitch w:val="default"/>
    <w:sig w:usb0="00000000" w:usb1="00000000" w:usb2="00000000" w:usb3="00000000" w:csb0="80000000" w:csb1="00000000"/>
    <w:embedRegular r:id="rId5" w:fontKey="{36B9493D-83B0-45F3-8F91-92795FB13280}"/>
  </w:font>
  <w:font w:name="Calibri">
    <w:panose1 w:val="020F0502020204030204"/>
    <w:charset w:val="00"/>
    <w:family w:val="swiss"/>
    <w:pitch w:val="default"/>
    <w:sig w:usb0="E4002EFF" w:usb1="C000247B" w:usb2="00000009" w:usb3="00000000" w:csb0="200001FF" w:csb1="00000000"/>
    <w:embedRegular r:id="rId6" w:fontKey="{AC4D08AE-A9E4-4D52-A8C9-E2E3BF4468DB}"/>
  </w:font>
  <w:font w:name="Cambria">
    <w:panose1 w:val="02040503050406030204"/>
    <w:charset w:val="00"/>
    <w:family w:val="roman"/>
    <w:pitch w:val="default"/>
    <w:sig w:usb0="E00006FF" w:usb1="420024FF" w:usb2="02000000" w:usb3="00000000" w:csb0="2000019F" w:csb1="00000000"/>
    <w:embedRegular r:id="rId7" w:fontKey="{4DC2D02B-4CC5-40C5-8187-C664014FE704}"/>
  </w:font>
  <w:font w:name="楷体">
    <w:panose1 w:val="02010609060101010101"/>
    <w:charset w:val="86"/>
    <w:family w:val="modern"/>
    <w:pitch w:val="default"/>
    <w:sig w:usb0="800002BF" w:usb1="38CF7CFA" w:usb2="00000016" w:usb3="00000000" w:csb0="00040001" w:csb1="00000000"/>
    <w:embedRegular r:id="rId8" w:fontKey="{98D26DB5-A8DD-4A52-A4DA-536FB58FB9C7}"/>
  </w:font>
  <w:font w:name="MS Gothic">
    <w:panose1 w:val="020B0609070205080204"/>
    <w:charset w:val="80"/>
    <w:family w:val="modern"/>
    <w:pitch w:val="default"/>
    <w:sig w:usb0="E00002FF" w:usb1="6AC7FDFB" w:usb2="08000012" w:usb3="00000000" w:csb0="4002009F" w:csb1="DFD70000"/>
    <w:embedRegular r:id="rId9" w:fontKey="{95612CD0-ACAB-4600-9CB7-5962D63AF3F4}"/>
  </w:font>
  <w:font w:name="仿宋_GB2312">
    <w:panose1 w:val="02010609030101010101"/>
    <w:charset w:val="86"/>
    <w:family w:val="modern"/>
    <w:pitch w:val="default"/>
    <w:sig w:usb0="00000001" w:usb1="080E0000" w:usb2="00000000" w:usb3="00000000" w:csb0="00040000" w:csb1="00000000"/>
    <w:embedRegular r:id="rId10" w:fontKey="{31F65747-E109-48A0-839F-E275BF93526E}"/>
  </w:font>
  <w:font w:name="仿宋">
    <w:panose1 w:val="02010609060101010101"/>
    <w:charset w:val="86"/>
    <w:family w:val="auto"/>
    <w:pitch w:val="default"/>
    <w:sig w:usb0="800002BF" w:usb1="38CF7CFA" w:usb2="00000016" w:usb3="00000000" w:csb0="00040001" w:csb1="00000000"/>
    <w:embedRegular r:id="rId11" w:fontKey="{A114E51A-CE76-489E-BF0F-0C3C8E19A84D}"/>
  </w:font>
  <w:font w:name="ArialUnicodeMS">
    <w:altName w:val="Malgun Gothic"/>
    <w:panose1 w:val="00000000000000000000"/>
    <w:charset w:val="81"/>
    <w:family w:val="auto"/>
    <w:pitch w:val="default"/>
    <w:sig w:usb0="00000000" w:usb1="00000000" w:usb2="00000010" w:usb3="00000000" w:csb0="00080000" w:csb1="00000000"/>
    <w:embedRegular r:id="rId12" w:fontKey="{82652F15-87DC-430A-8BE4-B800F122A352}"/>
  </w:font>
  <w:font w:name="Malgun Gothic">
    <w:panose1 w:val="020B0503020000020004"/>
    <w:charset w:val="81"/>
    <w:family w:val="auto"/>
    <w:pitch w:val="default"/>
    <w:sig w:usb0="9000002F" w:usb1="29D77CFB" w:usb2="00000012" w:usb3="00000000" w:csb0="00080001" w:csb1="00000000"/>
  </w:font>
  <w:font w:name="MS-UIGothic,Bold">
    <w:altName w:val="Malgun Gothic"/>
    <w:panose1 w:val="00000000000000000000"/>
    <w:charset w:val="81"/>
    <w:family w:val="auto"/>
    <w:pitch w:val="default"/>
    <w:sig w:usb0="00000000" w:usb1="00000000" w:usb2="00000010" w:usb3="00000000" w:csb0="00080000" w:csb1="00000000"/>
    <w:embedRegular r:id="rId13" w:fontKey="{35052763-9126-431F-8485-40F991C35640}"/>
  </w:font>
  <w:font w:name="DengXian-Regular">
    <w:altName w:val="宋体"/>
    <w:panose1 w:val="00000000000000000000"/>
    <w:charset w:val="86"/>
    <w:family w:val="auto"/>
    <w:pitch w:val="default"/>
    <w:sig w:usb0="00000000" w:usb1="00000000" w:usb2="00000010" w:usb3="00000000" w:csb0="00040000" w:csb1="00000000"/>
    <w:embedRegular r:id="rId14" w:fontKey="{4FC4E312-E716-4557-A682-D8196F258635}"/>
  </w:font>
  <w:font w:name="楷体_GB2312">
    <w:altName w:val="楷体"/>
    <w:panose1 w:val="00000000000000000000"/>
    <w:charset w:val="86"/>
    <w:family w:val="modern"/>
    <w:pitch w:val="default"/>
    <w:sig w:usb0="00000000" w:usb1="00000000" w:usb2="00000010" w:usb3="00000000" w:csb0="00040000" w:csb1="00000000"/>
    <w:embedRegular r:id="rId15" w:fontKey="{BF75090A-AC12-4E92-982B-8ED79A4E9070}"/>
  </w:font>
  <w:font w:name="DengXian-Bold">
    <w:altName w:val="宋体"/>
    <w:panose1 w:val="00000000000000000000"/>
    <w:charset w:val="86"/>
    <w:family w:val="auto"/>
    <w:pitch w:val="default"/>
    <w:sig w:usb0="00000000" w:usb1="00000000" w:usb2="00000010" w:usb3="00000000" w:csb0="00040000" w:csb1="00000000"/>
    <w:embedRegular r:id="rId16" w:fontKey="{148063C0-038C-4120-AF83-EED51197D0D7}"/>
  </w:font>
  <w:font w:name="TimesNewRomanPSMT">
    <w:altName w:val="Arial"/>
    <w:panose1 w:val="00000000000000000000"/>
    <w:charset w:val="00"/>
    <w:family w:val="swiss"/>
    <w:pitch w:val="default"/>
    <w:sig w:usb0="00000000"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480" w:lineRule="auto"/>
      </w:pPr>
      <w:r>
        <w:separator/>
      </w:r>
    </w:p>
  </w:footnote>
  <w:footnote w:type="continuationSeparator" w:id="1">
    <w:p>
      <w:pPr>
        <w:spacing w:before="0" w:after="0" w:line="48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12EC73C"/>
    <w:multiLevelType w:val="singleLevel"/>
    <w:tmpl w:val="F12EC73C"/>
    <w:lvl w:ilvl="0" w:tentative="0">
      <w:start w:val="1"/>
      <w:numFmt w:val="chineseCounting"/>
      <w:suff w:val="nothing"/>
      <w:lvlText w:val="%1、"/>
      <w:lvlJc w:val="left"/>
      <w:rPr>
        <w:rFonts w:hint="eastAsia"/>
      </w:rPr>
    </w:lvl>
  </w:abstractNum>
  <w:abstractNum w:abstractNumId="1">
    <w:nsid w:val="45DB9A87"/>
    <w:multiLevelType w:val="singleLevel"/>
    <w:tmpl w:val="45DB9A87"/>
    <w:lvl w:ilvl="0" w:tentative="0">
      <w:start w:val="3"/>
      <w:numFmt w:val="chineseCounting"/>
      <w:suff w:val="nothing"/>
      <w:lvlText w:val="（%1）"/>
      <w:lvlJc w:val="left"/>
      <w:rPr>
        <w:rFonts w:hint="eastAsia" w:cs="Times New Roman"/>
      </w:rPr>
    </w:lvl>
  </w:abstractNum>
  <w:abstractNum w:abstractNumId="2">
    <w:nsid w:val="53F2A174"/>
    <w:multiLevelType w:val="singleLevel"/>
    <w:tmpl w:val="53F2A174"/>
    <w:lvl w:ilvl="0" w:tentative="0">
      <w:start w:val="3"/>
      <w:numFmt w:val="chineseCounting"/>
      <w:suff w:val="nothing"/>
      <w:lvlText w:val="（%1）"/>
      <w:lvlJc w:val="left"/>
      <w:rPr>
        <w:rFonts w:hint="eastAsia"/>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gt;?]}¢¨°·ˇˉ―‖’”…‰′″›℃∶、。〃〉》」』】〕〗〞︶︺︾﹀﹄﹚﹜﹞！＂％＇），．：；？］｀｜｝～￠"/>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underlineTabInNumLis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1413"/>
    <w:rsid w:val="00024E7F"/>
    <w:rsid w:val="000475A0"/>
    <w:rsid w:val="000838C3"/>
    <w:rsid w:val="000B2446"/>
    <w:rsid w:val="000D7C65"/>
    <w:rsid w:val="000E2F81"/>
    <w:rsid w:val="00117946"/>
    <w:rsid w:val="00117E2C"/>
    <w:rsid w:val="00146C47"/>
    <w:rsid w:val="00152FB8"/>
    <w:rsid w:val="00176658"/>
    <w:rsid w:val="0018239E"/>
    <w:rsid w:val="001A29BD"/>
    <w:rsid w:val="001B3410"/>
    <w:rsid w:val="001C030D"/>
    <w:rsid w:val="001C4A84"/>
    <w:rsid w:val="001E5902"/>
    <w:rsid w:val="00233705"/>
    <w:rsid w:val="002455AB"/>
    <w:rsid w:val="00275CA2"/>
    <w:rsid w:val="002A65A5"/>
    <w:rsid w:val="002C04C4"/>
    <w:rsid w:val="002D08B0"/>
    <w:rsid w:val="002D1AE3"/>
    <w:rsid w:val="002F2ECE"/>
    <w:rsid w:val="00341C8F"/>
    <w:rsid w:val="0035463A"/>
    <w:rsid w:val="00391D9D"/>
    <w:rsid w:val="003B6C51"/>
    <w:rsid w:val="003C1413"/>
    <w:rsid w:val="003C549F"/>
    <w:rsid w:val="003D5A16"/>
    <w:rsid w:val="003E7DB3"/>
    <w:rsid w:val="00431175"/>
    <w:rsid w:val="004B6E37"/>
    <w:rsid w:val="004C32BA"/>
    <w:rsid w:val="00575922"/>
    <w:rsid w:val="005A6C90"/>
    <w:rsid w:val="005E3FB0"/>
    <w:rsid w:val="005F4B66"/>
    <w:rsid w:val="005F5208"/>
    <w:rsid w:val="00623803"/>
    <w:rsid w:val="00641318"/>
    <w:rsid w:val="0064405D"/>
    <w:rsid w:val="00695557"/>
    <w:rsid w:val="006D4EA7"/>
    <w:rsid w:val="0070012A"/>
    <w:rsid w:val="0070664B"/>
    <w:rsid w:val="007071B8"/>
    <w:rsid w:val="007414DE"/>
    <w:rsid w:val="007905A9"/>
    <w:rsid w:val="007B0E8E"/>
    <w:rsid w:val="007E5500"/>
    <w:rsid w:val="007F055B"/>
    <w:rsid w:val="00811C2F"/>
    <w:rsid w:val="00833D46"/>
    <w:rsid w:val="00840A97"/>
    <w:rsid w:val="008C0149"/>
    <w:rsid w:val="008D5DED"/>
    <w:rsid w:val="008E25CA"/>
    <w:rsid w:val="008F34FC"/>
    <w:rsid w:val="00922643"/>
    <w:rsid w:val="00944CD7"/>
    <w:rsid w:val="009831B2"/>
    <w:rsid w:val="009A1ABE"/>
    <w:rsid w:val="009E21A4"/>
    <w:rsid w:val="009F22C6"/>
    <w:rsid w:val="00A07E50"/>
    <w:rsid w:val="00A15397"/>
    <w:rsid w:val="00A35CE0"/>
    <w:rsid w:val="00A4462E"/>
    <w:rsid w:val="00A44AA4"/>
    <w:rsid w:val="00A61623"/>
    <w:rsid w:val="00A84687"/>
    <w:rsid w:val="00AB0A0E"/>
    <w:rsid w:val="00AD3B6E"/>
    <w:rsid w:val="00B1751F"/>
    <w:rsid w:val="00B3300C"/>
    <w:rsid w:val="00B56722"/>
    <w:rsid w:val="00B74D39"/>
    <w:rsid w:val="00B91DA4"/>
    <w:rsid w:val="00C12630"/>
    <w:rsid w:val="00C34562"/>
    <w:rsid w:val="00C3774E"/>
    <w:rsid w:val="00C57456"/>
    <w:rsid w:val="00C65387"/>
    <w:rsid w:val="00C87FAB"/>
    <w:rsid w:val="00C91FF7"/>
    <w:rsid w:val="00C94E53"/>
    <w:rsid w:val="00CC46BD"/>
    <w:rsid w:val="00D0048E"/>
    <w:rsid w:val="00D23E7A"/>
    <w:rsid w:val="00D61063"/>
    <w:rsid w:val="00DB35AF"/>
    <w:rsid w:val="00DD72D7"/>
    <w:rsid w:val="00DF5B88"/>
    <w:rsid w:val="00E0589E"/>
    <w:rsid w:val="00E241FA"/>
    <w:rsid w:val="00E2595E"/>
    <w:rsid w:val="00E35374"/>
    <w:rsid w:val="00E50C19"/>
    <w:rsid w:val="00E64655"/>
    <w:rsid w:val="00E73081"/>
    <w:rsid w:val="00E856C9"/>
    <w:rsid w:val="00EB6A8B"/>
    <w:rsid w:val="00EF38C6"/>
    <w:rsid w:val="00F679C7"/>
    <w:rsid w:val="00F7711A"/>
    <w:rsid w:val="00FA0D58"/>
    <w:rsid w:val="00FA56F4"/>
    <w:rsid w:val="00FB4EDA"/>
    <w:rsid w:val="00FC4766"/>
    <w:rsid w:val="00FD3BD5"/>
    <w:rsid w:val="00FE3DC8"/>
    <w:rsid w:val="023F5328"/>
    <w:rsid w:val="03961D04"/>
    <w:rsid w:val="04073F84"/>
    <w:rsid w:val="05711A7E"/>
    <w:rsid w:val="06375505"/>
    <w:rsid w:val="06AC29F3"/>
    <w:rsid w:val="0B60750A"/>
    <w:rsid w:val="10686488"/>
    <w:rsid w:val="10DF728A"/>
    <w:rsid w:val="1264200E"/>
    <w:rsid w:val="141C5B77"/>
    <w:rsid w:val="18D8339D"/>
    <w:rsid w:val="1A21388F"/>
    <w:rsid w:val="1A570D2F"/>
    <w:rsid w:val="1A5B39AB"/>
    <w:rsid w:val="1B955EEA"/>
    <w:rsid w:val="1E3A5248"/>
    <w:rsid w:val="269F643C"/>
    <w:rsid w:val="28FB0B8D"/>
    <w:rsid w:val="2D2B7942"/>
    <w:rsid w:val="2D46481D"/>
    <w:rsid w:val="2E733B28"/>
    <w:rsid w:val="31852B5A"/>
    <w:rsid w:val="32D01238"/>
    <w:rsid w:val="347E1090"/>
    <w:rsid w:val="39264C6F"/>
    <w:rsid w:val="3A402870"/>
    <w:rsid w:val="3C090947"/>
    <w:rsid w:val="3C3728F6"/>
    <w:rsid w:val="3DFC59A8"/>
    <w:rsid w:val="3EBE6C44"/>
    <w:rsid w:val="3ECF245E"/>
    <w:rsid w:val="3FB96314"/>
    <w:rsid w:val="42125DD2"/>
    <w:rsid w:val="43C653E3"/>
    <w:rsid w:val="442305FE"/>
    <w:rsid w:val="4E9F49FB"/>
    <w:rsid w:val="51FD7514"/>
    <w:rsid w:val="522A223B"/>
    <w:rsid w:val="53A44FAF"/>
    <w:rsid w:val="53B7254D"/>
    <w:rsid w:val="56224116"/>
    <w:rsid w:val="577B08C9"/>
    <w:rsid w:val="594329EC"/>
    <w:rsid w:val="5BEE1540"/>
    <w:rsid w:val="5DE61A5D"/>
    <w:rsid w:val="5E0C383C"/>
    <w:rsid w:val="63C04243"/>
    <w:rsid w:val="63D43E55"/>
    <w:rsid w:val="649C01C7"/>
    <w:rsid w:val="64B066A0"/>
    <w:rsid w:val="699A3F60"/>
    <w:rsid w:val="6B8A2607"/>
    <w:rsid w:val="6BFE4E79"/>
    <w:rsid w:val="6FE24D63"/>
    <w:rsid w:val="728563ED"/>
    <w:rsid w:val="72902E62"/>
    <w:rsid w:val="73B40813"/>
    <w:rsid w:val="73C61104"/>
    <w:rsid w:val="74AA5515"/>
    <w:rsid w:val="760700A3"/>
    <w:rsid w:val="776452EA"/>
    <w:rsid w:val="798076A7"/>
    <w:rsid w:val="7A2142C3"/>
    <w:rsid w:val="7AA34FCC"/>
    <w:rsid w:val="7DC663B9"/>
    <w:rsid w:val="7E8A3CAB"/>
    <w:rsid w:val="7EC90FEE"/>
    <w:rsid w:val="7F054847"/>
    <w:rsid w:val="7FD21032"/>
  </w:rsids>
  <m:mathPr>
    <m:mathFont m:val="Cambria Math"/>
    <m:brkBin m:val="before"/>
    <m:brkBinSub m:val="--"/>
    <m:smallFrac m:val="0"/>
    <m:dispDef/>
    <m:lMargin m:val="0"/>
    <m:rMargin m:val="0"/>
    <m:defJc m:val="centerGroup"/>
    <m:wrapIndent m:val="1440"/>
    <m:intLim m:val="subSup"/>
    <m:naryLim m:val="undOvr"/>
  </m:mathPr>
  <w:doNotAutoCompressPictures/>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99" w:name="Normal Indent"/>
    <w:lsdException w:uiPriority="99"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0" w:name="caption" w:locked="1"/>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nhideWhenUsed="0" w:uiPriority="99"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99" w:semiHidden="0" w:name="Subtitle"/>
    <w:lsdException w:uiPriority="99" w:name="Salutation"/>
    <w:lsdException w:qFormat="1" w:unhideWhenUsed="0"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ocked="1"/>
    <w:lsdException w:qFormat="1" w:unhideWhenUsed="0" w:uiPriority="0" w:semiHidden="0" w:name="Emphasis" w:locked="1"/>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99" w:name="Balloon Text"/>
    <w:lsdException w:qFormat="1" w:unhideWhenUsed="0" w:uiPriority="99" w:semiHidden="0" w:name="Table Grid"/>
    <w:lsdException w:uiPriority="99"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33"/>
    <w:qFormat/>
    <w:uiPriority w:val="0"/>
    <w:pPr>
      <w:widowControl w:val="0"/>
      <w:spacing w:after="160" w:line="480"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5"/>
    <w:qFormat/>
    <w:uiPriority w:val="99"/>
    <w:pPr>
      <w:keepNext/>
      <w:keepLines/>
      <w:spacing w:before="340" w:after="330" w:line="578" w:lineRule="auto"/>
      <w:outlineLvl w:val="0"/>
    </w:pPr>
    <w:rPr>
      <w:b/>
      <w:bCs/>
      <w:kern w:val="44"/>
      <w:sz w:val="44"/>
      <w:szCs w:val="44"/>
    </w:rPr>
  </w:style>
  <w:style w:type="paragraph" w:styleId="3">
    <w:name w:val="heading 2"/>
    <w:basedOn w:val="1"/>
    <w:next w:val="1"/>
    <w:link w:val="16"/>
    <w:qFormat/>
    <w:uiPriority w:val="99"/>
    <w:pPr>
      <w:keepNext/>
      <w:keepLines/>
      <w:spacing w:before="260" w:after="260" w:line="416" w:lineRule="auto"/>
      <w:outlineLvl w:val="1"/>
    </w:pPr>
    <w:rPr>
      <w:rFonts w:ascii="Calibri" w:hAnsi="Calibri"/>
      <w:b/>
      <w:bCs/>
      <w:sz w:val="32"/>
      <w:szCs w:val="32"/>
    </w:rPr>
  </w:style>
  <w:style w:type="paragraph" w:styleId="4">
    <w:name w:val="heading 3"/>
    <w:basedOn w:val="1"/>
    <w:next w:val="1"/>
    <w:link w:val="17"/>
    <w:qFormat/>
    <w:uiPriority w:val="99"/>
    <w:pPr>
      <w:keepNext/>
      <w:keepLines/>
      <w:spacing w:before="260" w:after="260" w:line="416" w:lineRule="auto"/>
      <w:outlineLvl w:val="2"/>
    </w:pPr>
    <w:rPr>
      <w:b/>
      <w:bCs/>
      <w:sz w:val="32"/>
      <w:szCs w:val="32"/>
    </w:rPr>
  </w:style>
  <w:style w:type="paragraph" w:styleId="5">
    <w:name w:val="heading 4"/>
    <w:basedOn w:val="1"/>
    <w:next w:val="1"/>
    <w:link w:val="18"/>
    <w:qFormat/>
    <w:uiPriority w:val="99"/>
    <w:pPr>
      <w:keepNext/>
      <w:keepLines/>
      <w:spacing w:before="280" w:after="290" w:line="376" w:lineRule="auto"/>
      <w:outlineLvl w:val="3"/>
    </w:pPr>
    <w:rPr>
      <w:rFonts w:ascii="Calibri" w:hAnsi="Calibri"/>
      <w:b/>
      <w:bCs/>
      <w:sz w:val="28"/>
      <w:szCs w:val="28"/>
    </w:rPr>
  </w:style>
  <w:style w:type="character" w:default="1" w:styleId="14">
    <w:name w:val="Default Paragraph Font"/>
    <w:semiHidden/>
    <w:qFormat/>
    <w:uiPriority w:val="99"/>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6">
    <w:name w:val="Date"/>
    <w:basedOn w:val="1"/>
    <w:next w:val="1"/>
    <w:link w:val="19"/>
    <w:semiHidden/>
    <w:qFormat/>
    <w:uiPriority w:val="99"/>
    <w:pPr>
      <w:ind w:left="100" w:leftChars="2500"/>
    </w:pPr>
  </w:style>
  <w:style w:type="paragraph" w:styleId="7">
    <w:name w:val="Balloon Text"/>
    <w:basedOn w:val="1"/>
    <w:link w:val="20"/>
    <w:semiHidden/>
    <w:qFormat/>
    <w:uiPriority w:val="99"/>
    <w:rPr>
      <w:sz w:val="18"/>
      <w:szCs w:val="18"/>
    </w:rPr>
  </w:style>
  <w:style w:type="paragraph" w:styleId="8">
    <w:name w:val="footer"/>
    <w:basedOn w:val="1"/>
    <w:link w:val="21"/>
    <w:qFormat/>
    <w:uiPriority w:val="99"/>
    <w:pPr>
      <w:tabs>
        <w:tab w:val="center" w:pos="4153"/>
        <w:tab w:val="right" w:pos="8306"/>
      </w:tabs>
      <w:snapToGrid w:val="0"/>
      <w:jc w:val="left"/>
    </w:pPr>
    <w:rPr>
      <w:rFonts w:ascii="Cambria" w:hAnsi="Cambria" w:eastAsia="黑体"/>
      <w:sz w:val="18"/>
      <w:szCs w:val="18"/>
    </w:rPr>
  </w:style>
  <w:style w:type="paragraph" w:styleId="9">
    <w:name w:val="header"/>
    <w:basedOn w:val="1"/>
    <w:link w:val="22"/>
    <w:qFormat/>
    <w:uiPriority w:val="99"/>
    <w:pPr>
      <w:pBdr>
        <w:bottom w:val="single" w:color="auto" w:sz="6" w:space="1"/>
      </w:pBdr>
      <w:tabs>
        <w:tab w:val="center" w:pos="4153"/>
        <w:tab w:val="right" w:pos="8306"/>
      </w:tabs>
      <w:snapToGrid w:val="0"/>
      <w:jc w:val="center"/>
    </w:pPr>
    <w:rPr>
      <w:rFonts w:ascii="Cambria" w:hAnsi="Cambria" w:eastAsia="黑体"/>
      <w:sz w:val="18"/>
      <w:szCs w:val="18"/>
    </w:rPr>
  </w:style>
  <w:style w:type="paragraph" w:styleId="10">
    <w:name w:val="Subtitle"/>
    <w:basedOn w:val="1"/>
    <w:next w:val="1"/>
    <w:link w:val="23"/>
    <w:qFormat/>
    <w:uiPriority w:val="99"/>
    <w:pPr>
      <w:widowControl/>
      <w:spacing w:after="200" w:line="276" w:lineRule="auto"/>
      <w:jc w:val="left"/>
    </w:pPr>
    <w:rPr>
      <w:rFonts w:ascii="Calibri" w:hAnsi="Calibri"/>
      <w:i/>
      <w:iCs/>
      <w:color w:val="F0A22E"/>
      <w:spacing w:val="15"/>
      <w:kern w:val="0"/>
      <w:sz w:val="24"/>
    </w:rPr>
  </w:style>
  <w:style w:type="paragraph" w:styleId="11">
    <w:name w:val="Title"/>
    <w:basedOn w:val="1"/>
    <w:next w:val="1"/>
    <w:link w:val="24"/>
    <w:qFormat/>
    <w:uiPriority w:val="99"/>
    <w:pPr>
      <w:widowControl/>
      <w:pBdr>
        <w:bottom w:val="single" w:color="F0A22E" w:sz="8" w:space="4"/>
      </w:pBdr>
      <w:spacing w:after="300"/>
      <w:contextualSpacing/>
      <w:jc w:val="left"/>
    </w:pPr>
    <w:rPr>
      <w:rFonts w:ascii="Calibri" w:hAnsi="Calibri"/>
      <w:color w:val="3A2C24"/>
      <w:spacing w:val="5"/>
      <w:kern w:val="28"/>
      <w:sz w:val="52"/>
      <w:szCs w:val="52"/>
    </w:rPr>
  </w:style>
  <w:style w:type="table" w:styleId="13">
    <w:name w:val="Table Grid"/>
    <w:basedOn w:val="12"/>
    <w:qFormat/>
    <w:uiPriority w:val="99"/>
    <w:rPr>
      <w:kern w:val="0"/>
      <w:sz w:val="22"/>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customStyle="1" w:styleId="15">
    <w:name w:val="Heading 1 Char"/>
    <w:basedOn w:val="14"/>
    <w:link w:val="2"/>
    <w:qFormat/>
    <w:locked/>
    <w:uiPriority w:val="99"/>
    <w:rPr>
      <w:rFonts w:ascii="Times New Roman" w:hAnsi="Times New Roman" w:eastAsia="宋体" w:cs="Times New Roman"/>
      <w:b/>
      <w:bCs/>
      <w:kern w:val="44"/>
      <w:sz w:val="44"/>
      <w:szCs w:val="44"/>
    </w:rPr>
  </w:style>
  <w:style w:type="character" w:customStyle="1" w:styleId="16">
    <w:name w:val="Heading 2 Char"/>
    <w:basedOn w:val="14"/>
    <w:link w:val="3"/>
    <w:qFormat/>
    <w:locked/>
    <w:uiPriority w:val="99"/>
    <w:rPr>
      <w:rFonts w:ascii="Calibri" w:hAnsi="Calibri" w:eastAsia="宋体" w:cs="Times New Roman"/>
      <w:b/>
      <w:bCs/>
      <w:sz w:val="32"/>
      <w:szCs w:val="32"/>
    </w:rPr>
  </w:style>
  <w:style w:type="character" w:customStyle="1" w:styleId="17">
    <w:name w:val="Heading 3 Char"/>
    <w:basedOn w:val="14"/>
    <w:link w:val="4"/>
    <w:qFormat/>
    <w:locked/>
    <w:uiPriority w:val="99"/>
    <w:rPr>
      <w:rFonts w:ascii="Times New Roman" w:hAnsi="Times New Roman" w:eastAsia="宋体" w:cs="Times New Roman"/>
      <w:b/>
      <w:bCs/>
      <w:sz w:val="32"/>
      <w:szCs w:val="32"/>
    </w:rPr>
  </w:style>
  <w:style w:type="character" w:customStyle="1" w:styleId="18">
    <w:name w:val="Heading 4 Char"/>
    <w:basedOn w:val="14"/>
    <w:link w:val="5"/>
    <w:qFormat/>
    <w:locked/>
    <w:uiPriority w:val="99"/>
    <w:rPr>
      <w:rFonts w:ascii="Calibri" w:hAnsi="Calibri" w:eastAsia="宋体" w:cs="Times New Roman"/>
      <w:b/>
      <w:bCs/>
      <w:sz w:val="28"/>
      <w:szCs w:val="28"/>
    </w:rPr>
  </w:style>
  <w:style w:type="character" w:customStyle="1" w:styleId="19">
    <w:name w:val="Date Char"/>
    <w:basedOn w:val="14"/>
    <w:link w:val="6"/>
    <w:semiHidden/>
    <w:qFormat/>
    <w:locked/>
    <w:uiPriority w:val="99"/>
    <w:rPr>
      <w:rFonts w:ascii="Times New Roman" w:hAnsi="Times New Roman" w:eastAsia="宋体" w:cs="Times New Roman"/>
      <w:sz w:val="24"/>
      <w:szCs w:val="24"/>
    </w:rPr>
  </w:style>
  <w:style w:type="character" w:customStyle="1" w:styleId="20">
    <w:name w:val="Balloon Text Char"/>
    <w:basedOn w:val="14"/>
    <w:link w:val="7"/>
    <w:semiHidden/>
    <w:qFormat/>
    <w:locked/>
    <w:uiPriority w:val="99"/>
    <w:rPr>
      <w:rFonts w:ascii="Times New Roman" w:hAnsi="Times New Roman" w:eastAsia="宋体" w:cs="Times New Roman"/>
      <w:sz w:val="18"/>
      <w:szCs w:val="18"/>
    </w:rPr>
  </w:style>
  <w:style w:type="character" w:customStyle="1" w:styleId="21">
    <w:name w:val="Footer Char"/>
    <w:basedOn w:val="14"/>
    <w:link w:val="8"/>
    <w:qFormat/>
    <w:locked/>
    <w:uiPriority w:val="99"/>
    <w:rPr>
      <w:rFonts w:cs="Times New Roman"/>
      <w:sz w:val="18"/>
      <w:szCs w:val="18"/>
    </w:rPr>
  </w:style>
  <w:style w:type="character" w:customStyle="1" w:styleId="22">
    <w:name w:val="Header Char"/>
    <w:basedOn w:val="14"/>
    <w:link w:val="9"/>
    <w:qFormat/>
    <w:locked/>
    <w:uiPriority w:val="99"/>
    <w:rPr>
      <w:rFonts w:cs="Times New Roman"/>
      <w:sz w:val="18"/>
      <w:szCs w:val="18"/>
    </w:rPr>
  </w:style>
  <w:style w:type="character" w:customStyle="1" w:styleId="23">
    <w:name w:val="Subtitle Char"/>
    <w:basedOn w:val="14"/>
    <w:link w:val="10"/>
    <w:qFormat/>
    <w:locked/>
    <w:uiPriority w:val="99"/>
    <w:rPr>
      <w:rFonts w:ascii="Calibri" w:hAnsi="Calibri" w:eastAsia="宋体" w:cs="Times New Roman"/>
      <w:i/>
      <w:iCs/>
      <w:color w:val="F0A22E"/>
      <w:spacing w:val="15"/>
      <w:kern w:val="0"/>
      <w:sz w:val="24"/>
      <w:szCs w:val="24"/>
    </w:rPr>
  </w:style>
  <w:style w:type="character" w:customStyle="1" w:styleId="24">
    <w:name w:val="Title Char"/>
    <w:basedOn w:val="14"/>
    <w:link w:val="11"/>
    <w:qFormat/>
    <w:locked/>
    <w:uiPriority w:val="99"/>
    <w:rPr>
      <w:rFonts w:ascii="Calibri" w:hAnsi="Calibri" w:eastAsia="宋体" w:cs="Times New Roman"/>
      <w:color w:val="3A2C24"/>
      <w:spacing w:val="5"/>
      <w:kern w:val="28"/>
      <w:sz w:val="52"/>
      <w:szCs w:val="52"/>
    </w:rPr>
  </w:style>
  <w:style w:type="paragraph" w:styleId="25">
    <w:name w:val="No Spacing"/>
    <w:link w:val="26"/>
    <w:qFormat/>
    <w:uiPriority w:val="99"/>
    <w:pPr>
      <w:spacing w:after="160" w:line="480" w:lineRule="auto"/>
    </w:pPr>
    <w:rPr>
      <w:rFonts w:ascii="Cambria" w:hAnsi="Cambria" w:eastAsia="黑体" w:cs="Times New Roman"/>
      <w:kern w:val="0"/>
      <w:sz w:val="22"/>
      <w:szCs w:val="22"/>
      <w:lang w:val="en-US" w:eastAsia="zh-CN" w:bidi="ar-SA"/>
    </w:rPr>
  </w:style>
  <w:style w:type="character" w:customStyle="1" w:styleId="26">
    <w:name w:val="No Spacing Char"/>
    <w:basedOn w:val="14"/>
    <w:link w:val="25"/>
    <w:qFormat/>
    <w:locked/>
    <w:uiPriority w:val="99"/>
    <w:rPr>
      <w:rFonts w:cs="Times New Roman"/>
      <w:sz w:val="22"/>
      <w:szCs w:val="22"/>
      <w:lang w:val="en-US" w:eastAsia="zh-CN" w:bidi="ar-SA"/>
    </w:rPr>
  </w:style>
  <w:style w:type="character" w:customStyle="1" w:styleId="27">
    <w:name w:val="Style1"/>
    <w:basedOn w:val="14"/>
    <w:qFormat/>
    <w:uiPriority w:val="99"/>
    <w:rPr>
      <w:rFonts w:ascii="Cambria" w:hAnsi="黑体" w:eastAsia="黑体" w:cs="Times New Roman"/>
      <w:sz w:val="22"/>
      <w:szCs w:val="22"/>
      <w:lang w:eastAsia="zh-CN"/>
    </w:rPr>
  </w:style>
  <w:style w:type="character" w:customStyle="1" w:styleId="28">
    <w:name w:val="Style2"/>
    <w:basedOn w:val="14"/>
    <w:qFormat/>
    <w:uiPriority w:val="99"/>
    <w:rPr>
      <w:rFonts w:ascii="Cambria" w:hAnsi="黑体" w:eastAsia="黑体" w:cs="Times New Roman"/>
      <w:sz w:val="22"/>
      <w:szCs w:val="22"/>
      <w:lang w:eastAsia="zh-CN"/>
    </w:rPr>
  </w:style>
  <w:style w:type="character" w:customStyle="1" w:styleId="29">
    <w:name w:val="Style3"/>
    <w:basedOn w:val="14"/>
    <w:qFormat/>
    <w:uiPriority w:val="99"/>
    <w:rPr>
      <w:rFonts w:ascii="Cambria" w:hAnsi="黑体" w:eastAsia="黑体" w:cs="Times New Roman"/>
      <w:sz w:val="22"/>
      <w:szCs w:val="22"/>
      <w:lang w:eastAsia="zh-CN"/>
    </w:rPr>
  </w:style>
  <w:style w:type="character" w:customStyle="1" w:styleId="30">
    <w:name w:val="Style4"/>
    <w:basedOn w:val="14"/>
    <w:qFormat/>
    <w:uiPriority w:val="99"/>
    <w:rPr>
      <w:rFonts w:ascii="Cambria" w:hAnsi="黑体" w:eastAsia="黑体" w:cs="Times New Roman"/>
      <w:sz w:val="22"/>
      <w:szCs w:val="22"/>
      <w:lang w:eastAsia="zh-CN"/>
    </w:rPr>
  </w:style>
  <w:style w:type="character" w:customStyle="1" w:styleId="31">
    <w:name w:val="Style5"/>
    <w:basedOn w:val="14"/>
    <w:qFormat/>
    <w:uiPriority w:val="99"/>
    <w:rPr>
      <w:rFonts w:ascii="Cambria" w:hAnsi="黑体" w:eastAsia="黑体" w:cs="Times New Roman"/>
      <w:sz w:val="22"/>
      <w:szCs w:val="22"/>
      <w:lang w:eastAsia="zh-CN"/>
    </w:rPr>
  </w:style>
  <w:style w:type="paragraph" w:styleId="32">
    <w:name w:val="List Paragraph"/>
    <w:basedOn w:val="1"/>
    <w:qFormat/>
    <w:uiPriority w:val="99"/>
    <w:pPr>
      <w:ind w:firstLine="420" w:firstLineChars="200"/>
    </w:pPr>
  </w:style>
  <w:style w:type="character" w:customStyle="1" w:styleId="33">
    <w:name w:val="NormalCharacter"/>
    <w:link w:val="1"/>
    <w:qFormat/>
    <w:uiPriority w:val="0"/>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Normal_Wordconv.dotm</Template>
  <Company>Microsoft</Company>
  <Pages>33</Pages>
  <Words>1623</Words>
  <Characters>9257</Characters>
  <Lines>0</Lines>
  <Paragraphs>0</Paragraphs>
  <TotalTime>2</TotalTime>
  <ScaleCrop>false</ScaleCrop>
  <LinksUpToDate>false</LinksUpToDate>
  <CharactersWithSpaces>0</CharactersWithSpaces>
  <Application>WPS Office_11.8.2.10972_F1E327BC-269C-435d-A152-05C5408002CA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2019-08-01T09:15:00Z</dcterms:created>
  <dc:creator>User</dc:creator>
  <cp:lastModifiedBy>lenovo</cp:lastModifiedBy>
  <cp:lastPrinted>2021-05-10T08:03:00Z</cp:lastPrinted>
  <dcterms:modified xsi:type="dcterms:W3CDTF">2023-11-08T03:00:34Z</dcterms:modified>
  <dc:subject>石家庄市xxx部门</dc:subject>
  <dc:title>2017年度部门决算</dc:title>
  <cp:revision>54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2052-11.8.2.10972</vt:lpwstr>
  </property>
  <property fmtid="{D5CDD505-2E9C-101B-9397-08002B2CF9AE}" pid="3" name="ICV">
    <vt:lpwstr>7471F90D11744320A222714CC4B6A2E4</vt:lpwstr>
  </property>
</Properties>
</file>