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1" locked="0" layoutInCell="1" allowOverlap="1">
            <wp:simplePos x="0" y="0"/>
            <wp:positionH relativeFrom="column">
              <wp:posOffset>-973455</wp:posOffset>
            </wp:positionH>
            <wp:positionV relativeFrom="page">
              <wp:posOffset>-55880</wp:posOffset>
            </wp:positionV>
            <wp:extent cx="8822055" cy="10686415"/>
            <wp:effectExtent l="0" t="0" r="1905" b="12065"/>
            <wp:wrapNone/>
            <wp:docPr id="5" name="图片 5" descr="d:\Users\Administrator\Desktop\c0cea9349047c71626217dc4733e79a.jpgc0cea9349047c71626217dc4733e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Users\Administrator\Desktop\c0cea9349047c71626217dc4733e79a.jpgc0cea9349047c71626217dc4733e79a"/>
                    <pic:cNvPicPr>
                      <a:picLocks noChangeAspect="1"/>
                    </pic:cNvPicPr>
                  </pic:nvPicPr>
                  <pic:blipFill>
                    <a:blip r:embed="rId13"/>
                    <a:srcRect/>
                    <a:stretch>
                      <a:fillRect/>
                    </a:stretch>
                  </pic:blipFill>
                  <pic:spPr>
                    <a:xfrm>
                      <a:off x="0" y="0"/>
                      <a:ext cx="8822055" cy="10686415"/>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jc w:val="center"/>
        <w:rPr>
          <w:rFonts w:hint="default" w:ascii="黑体" w:hAnsi="黑体" w:eastAsia="黑体" w:cs="黑体"/>
          <w:sz w:val="72"/>
          <w:szCs w:val="96"/>
          <w:highlight w:val="none"/>
          <w:lang w:val="en-US" w:eastAsia="zh-CN"/>
        </w:rPr>
      </w:pPr>
      <w:r>
        <w:rPr>
          <w:rFonts w:hint="eastAsia" w:ascii="黑体" w:hAnsi="黑体" w:eastAsia="黑体" w:cs="黑体"/>
          <w:sz w:val="72"/>
          <w:szCs w:val="96"/>
          <w:highlight w:val="none"/>
          <w:lang w:val="en-US" w:eastAsia="zh-CN"/>
        </w:rPr>
        <w:t>保定市满城区总工会</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0288;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根据《保定市满城区总工会职能配置、内设机构和人员编制方案》（</w:t>
      </w:r>
      <w:r>
        <w:rPr>
          <w:rFonts w:hint="eastAsia" w:ascii="仿宋_GB2312" w:hAnsi="仿宋" w:eastAsia="仿宋_GB2312" w:cs="仿宋_GB2312"/>
          <w:sz w:val="32"/>
          <w:szCs w:val="32"/>
        </w:rPr>
        <w:t>满政办</w:t>
      </w:r>
      <w:r>
        <w:rPr>
          <w:rFonts w:ascii="仿宋_GB2312" w:hAnsi="仿宋" w:eastAsia="仿宋_GB2312" w:cs="仿宋_GB2312"/>
          <w:sz w:val="32"/>
          <w:szCs w:val="32"/>
        </w:rPr>
        <w:t>[2002]84</w:t>
      </w:r>
      <w:r>
        <w:rPr>
          <w:rFonts w:hint="eastAsia" w:ascii="仿宋_GB2312" w:hAnsi="仿宋" w:eastAsia="仿宋_GB2312" w:cs="仿宋_GB2312"/>
          <w:sz w:val="32"/>
          <w:szCs w:val="32"/>
        </w:rPr>
        <w:t>号</w:t>
      </w:r>
      <w:r>
        <w:rPr>
          <w:rFonts w:hint="eastAsia" w:ascii="仿宋_GB2312" w:hAnsi="宋体" w:eastAsia="仿宋_GB2312"/>
          <w:sz w:val="32"/>
          <w:szCs w:val="32"/>
        </w:rPr>
        <w:t>）规定，保定市满城区总工会的主要职责是：</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lang w:val="en-US" w:eastAsia="zh-CN"/>
        </w:rPr>
        <w:t>1、</w:t>
      </w:r>
      <w:r>
        <w:rPr>
          <w:rFonts w:hint="eastAsia" w:ascii="仿宋_GB2312" w:hAnsi="宋体" w:eastAsia="仿宋_GB2312"/>
          <w:sz w:val="32"/>
          <w:szCs w:val="32"/>
        </w:rPr>
        <w:t>贯彻执行党的路线、方针和政策，根据区委、区政府、保定市总工会的中心工作和党的工运方针，研究制定每个时期工会工作的方针和任务，指导全区各级工会工作</w:t>
      </w:r>
      <w:r>
        <w:rPr>
          <w:rFonts w:ascii="仿宋_GB2312" w:hAnsi="宋体" w:eastAsia="仿宋_GB2312"/>
          <w:sz w:val="32"/>
          <w:szCs w:val="32"/>
        </w:rPr>
        <w:t>;</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负责工运理论政策的调研，组织对工会工作中重大问题的调查研究。向区委、区政府反映职工群众的情绪、呼声和要求，就有关涉及职工群众利益的改革进行调查研究，提出建议或方案。</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依照法律和工会章程，组织和指导各级工会认真履行工会的职能。贯彻执行区工会代表大会决议，开展工会的各项业务工作。根据区产业工会和基层工会的意见和要求，解决需要由区总工会与有关党政方面协商解决的问题</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r>
        <w:rPr>
          <w:rFonts w:hint="eastAsia" w:ascii="仿宋_GB2312" w:hAnsi="宋体" w:eastAsia="仿宋_GB2312"/>
          <w:sz w:val="32"/>
          <w:szCs w:val="32"/>
        </w:rPr>
        <w:t>负责全区工会的组织建设和制度建设，与区委有关部委协商推荐区产业工会和直属基层工会的主要领导人选。研究制定各级工会干部的管理制度和培训教育规划，并组织实施</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lang w:val="en-US" w:eastAsia="zh-CN"/>
        </w:rPr>
        <w:t>5、</w:t>
      </w:r>
      <w:r>
        <w:rPr>
          <w:rFonts w:hint="eastAsia" w:ascii="仿宋_GB2312" w:hAnsi="宋体" w:eastAsia="仿宋_GB2312"/>
          <w:sz w:val="32"/>
          <w:szCs w:val="32"/>
        </w:rPr>
        <w:t>协助区政府做好区级劳动模范的推荐工作，负责全国“五一劳动奖章</w:t>
      </w:r>
      <w:r>
        <w:rPr>
          <w:rFonts w:hint="eastAsia" w:ascii="仿宋_GB2312" w:hAnsi="宋体" w:eastAsia="仿宋_GB2312"/>
          <w:sz w:val="32"/>
          <w:szCs w:val="32"/>
          <w:lang w:eastAsia="zh-CN"/>
        </w:rPr>
        <w:t>”</w:t>
      </w:r>
      <w:bookmarkStart w:id="0" w:name="_GoBack"/>
      <w:bookmarkEnd w:id="0"/>
      <w:r>
        <w:rPr>
          <w:rFonts w:hint="eastAsia" w:ascii="仿宋_GB2312" w:hAnsi="宋体" w:eastAsia="仿宋_GB2312"/>
          <w:sz w:val="32"/>
          <w:szCs w:val="32"/>
        </w:rPr>
        <w:t>（状）的推荐和首都劳动奖章（状）的评选表彰”工作，负责全区劳动模范的各项管理工作</w:t>
      </w:r>
      <w:r>
        <w:rPr>
          <w:rFonts w:ascii="仿宋_GB2312" w:hAnsi="宋体" w:eastAsia="仿宋_GB2312"/>
          <w:sz w:val="32"/>
          <w:szCs w:val="32"/>
        </w:rPr>
        <w:t>;</w:t>
      </w:r>
    </w:p>
    <w:p>
      <w:pPr>
        <w:keepNext/>
        <w:keepLines/>
        <w:spacing w:line="580" w:lineRule="exact"/>
        <w:ind w:firstLine="640" w:firstLineChars="200"/>
        <w:jc w:val="left"/>
        <w:outlineLvl w:val="0"/>
      </w:pPr>
      <w:r>
        <w:rPr>
          <w:rFonts w:hint="eastAsia" w:ascii="仿宋_GB2312" w:hAnsi="宋体" w:eastAsia="仿宋_GB2312"/>
          <w:sz w:val="32"/>
          <w:szCs w:val="32"/>
          <w:lang w:val="en-US" w:eastAsia="zh-CN"/>
        </w:rPr>
        <w:t>6、</w:t>
      </w:r>
      <w:r>
        <w:rPr>
          <w:rFonts w:hint="eastAsia" w:ascii="仿宋_GB2312" w:hAnsi="宋体" w:eastAsia="仿宋_GB2312"/>
          <w:sz w:val="32"/>
          <w:szCs w:val="32"/>
        </w:rPr>
        <w:t>负责全区工会经费的收支核算，工会专项资金的筹措、使用、管理、审查和审计工作，负责全区工会事业的指导协调工作，做好工运理论研究。负责全区工会积极分子和职工的疗休养工作</w:t>
      </w:r>
      <w:r>
        <w:rPr>
          <w:rFonts w:hint="eastAsia" w:ascii="仿宋_GB2312" w:hAnsi="宋体" w:eastAsia="仿宋_GB2312"/>
          <w:sz w:val="32"/>
          <w:szCs w:val="32"/>
          <w:lang w:eastAsia="zh-CN"/>
        </w:rPr>
        <w:t>。</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hint="default" w:ascii="仿宋_GB2312" w:hAnsi="Calibri" w:eastAsia="仿宋_GB2312" w:cs="Arial Black"/>
                <w:kern w:val="0"/>
                <w:sz w:val="28"/>
                <w:szCs w:val="28"/>
                <w:lang w:val="en-US" w:eastAsia="zh-CN"/>
              </w:rPr>
            </w:pPr>
            <w:r>
              <w:rPr>
                <w:rFonts w:hint="eastAsia" w:ascii="仿宋_GB2312" w:hAnsi="Calibri" w:eastAsia="仿宋_GB2312" w:cs="Arial Black"/>
                <w:kern w:val="0"/>
                <w:sz w:val="28"/>
                <w:szCs w:val="28"/>
                <w:lang w:val="en-US" w:eastAsia="zh-CN"/>
              </w:rPr>
              <w:t>保定市满城区总工会</w:t>
            </w:r>
          </w:p>
        </w:tc>
        <w:tc>
          <w:tcPr>
            <w:tcW w:w="2404" w:type="dxa"/>
          </w:tcPr>
          <w:p>
            <w:pPr>
              <w:spacing w:line="560" w:lineRule="exact"/>
              <w:jc w:val="center"/>
              <w:rPr>
                <w:rFonts w:hint="default" w:ascii="仿宋_GB2312" w:hAnsi="Calibri" w:eastAsia="仿宋_GB2312" w:cs="Arial Black"/>
                <w:kern w:val="0"/>
                <w:sz w:val="28"/>
                <w:szCs w:val="28"/>
                <w:lang w:val="en-US" w:eastAsia="zh-CN"/>
              </w:rPr>
            </w:pPr>
            <w:r>
              <w:rPr>
                <w:rFonts w:hint="eastAsia" w:ascii="仿宋_GB2312" w:hAnsi="Calibri" w:eastAsia="仿宋_GB2312" w:cs="Arial Black"/>
                <w:kern w:val="0"/>
                <w:sz w:val="28"/>
                <w:szCs w:val="28"/>
                <w:lang w:val="en-US" w:eastAsia="zh-CN"/>
              </w:rPr>
              <w:t>行政单位</w:t>
            </w:r>
          </w:p>
        </w:tc>
        <w:tc>
          <w:tcPr>
            <w:tcW w:w="2622" w:type="dxa"/>
          </w:tcPr>
          <w:p>
            <w:pPr>
              <w:spacing w:line="560" w:lineRule="exact"/>
              <w:jc w:val="center"/>
              <w:rPr>
                <w:rFonts w:hint="eastAsia" w:ascii="仿宋_GB2312" w:hAnsi="Calibri" w:eastAsia="仿宋_GB2312" w:cs="Arial Black"/>
                <w:kern w:val="0"/>
                <w:sz w:val="28"/>
                <w:szCs w:val="28"/>
                <w:lang w:val="en-US" w:eastAsia="zh-CN"/>
              </w:rPr>
            </w:pPr>
            <w:r>
              <w:rPr>
                <w:rFonts w:hint="eastAsia" w:ascii="仿宋_GB2312" w:hAnsi="Calibri" w:eastAsia="仿宋_GB2312" w:cs="Arial Black"/>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3360;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万元。与2019年度决算相比，收支各增加</w:t>
      </w:r>
      <w:r>
        <w:rPr>
          <w:rFonts w:hint="eastAsia" w:ascii="仿宋_GB2312" w:hAnsi="Times New Roman" w:eastAsia="仿宋_GB2312" w:cs="Wingdings"/>
          <w:sz w:val="32"/>
          <w:szCs w:val="32"/>
          <w:lang w:val="en-US" w:eastAsia="zh-CN"/>
        </w:rPr>
        <w:t>0.19</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0.27</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val="en-US" w:eastAsia="zh-CN"/>
        </w:rPr>
        <w:t>养老保险工伤保险调基数</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rPr>
          <w:rFonts w:hint="eastAsia" w:ascii="黑体" w:hAnsi="Calibri" w:eastAsia="仿宋_GB2312" w:cs="Times New Roman"/>
          <w:sz w:val="32"/>
          <w:szCs w:val="32"/>
          <w:lang w:eastAsia="zh-CN"/>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58.81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84.05</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11.16</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15.95</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0.19</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0.27</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养老保险工伤保险调基数</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0.19</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0.27</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养老保险工伤保险调基数</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69.39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100.84</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0.58</w:t>
      </w:r>
      <w:r>
        <w:rPr>
          <w:rFonts w:hint="eastAsia" w:ascii="仿宋_GB2312" w:hAnsi="Times New Roman" w:eastAsia="仿宋_GB2312" w:cs="Wingdings"/>
          <w:sz w:val="32"/>
          <w:szCs w:val="32"/>
        </w:rPr>
        <w:t>万元，决算数大于预算数主要原因是</w:t>
      </w:r>
      <w:r>
        <w:rPr>
          <w:rFonts w:hint="eastAsia" w:ascii="仿宋_GB2312" w:hAnsi="Times New Roman" w:eastAsia="仿宋_GB2312" w:cs="Wingdings"/>
          <w:sz w:val="32"/>
          <w:szCs w:val="32"/>
          <w:lang w:val="en-US" w:eastAsia="zh-CN"/>
        </w:rPr>
        <w:t>养老保险工伤保险调基数</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100.84</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0.58</w:t>
      </w:r>
      <w:r>
        <w:rPr>
          <w:rFonts w:hint="eastAsia" w:ascii="仿宋_GB2312" w:hAnsi="Times New Roman" w:eastAsia="仿宋_GB2312" w:cs="Wingdings"/>
          <w:sz w:val="32"/>
          <w:szCs w:val="32"/>
        </w:rPr>
        <w:t>万元，决算数大于预算数主要原因是主要是</w:t>
      </w:r>
      <w:r>
        <w:rPr>
          <w:rFonts w:hint="eastAsia" w:ascii="仿宋_GB2312" w:hAnsi="Times New Roman" w:eastAsia="仿宋_GB2312" w:cs="Wingdings"/>
          <w:sz w:val="32"/>
          <w:szCs w:val="32"/>
          <w:lang w:val="en-US" w:eastAsia="zh-CN"/>
        </w:rPr>
        <w:t>养老保险工伤保险调基数</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69.97</w:t>
      </w:r>
      <w:r>
        <w:rPr>
          <w:rFonts w:hint="eastAsia" w:ascii="仿宋_GB2312" w:hAnsi="Times New Roman" w:eastAsia="仿宋_GB2312" w:cs="Wingdings"/>
          <w:sz w:val="32"/>
          <w:szCs w:val="32"/>
        </w:rPr>
        <w:t>万元，主要用于以下方面</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一般公共服务支出</w:t>
      </w:r>
      <w:r>
        <w:rPr>
          <w:rFonts w:hint="eastAsia" w:ascii="仿宋_GB2312" w:hAnsi="Times New Roman" w:eastAsia="仿宋_GB2312" w:cs="Wingdings"/>
          <w:sz w:val="32"/>
          <w:szCs w:val="32"/>
          <w:lang w:val="en-US" w:eastAsia="zh-CN"/>
        </w:rPr>
        <w:t>52.84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75.52</w:t>
      </w:r>
      <w:r>
        <w:rPr>
          <w:rFonts w:hint="eastAsia" w:ascii="仿宋_GB2312" w:hAnsi="Times New Roman" w:eastAsia="仿宋_GB2312" w:cs="Wingdings"/>
          <w:sz w:val="32"/>
          <w:szCs w:val="32"/>
        </w:rPr>
        <w:t xml:space="preserve">%，；社会保障和就业支出 </w:t>
      </w:r>
      <w:r>
        <w:rPr>
          <w:rFonts w:hint="eastAsia" w:ascii="仿宋_GB2312" w:hAnsi="Times New Roman" w:eastAsia="仿宋_GB2312" w:cs="Wingdings"/>
          <w:sz w:val="32"/>
          <w:szCs w:val="32"/>
          <w:lang w:val="en-US" w:eastAsia="zh-CN"/>
        </w:rPr>
        <w:t>12.14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17.35</w:t>
      </w:r>
      <w:r>
        <w:rPr>
          <w:rFonts w:hint="eastAsia" w:ascii="仿宋_GB2312" w:hAnsi="Times New Roman" w:eastAsia="仿宋_GB2312" w:cs="Wingdings"/>
          <w:sz w:val="32"/>
          <w:szCs w:val="32"/>
        </w:rPr>
        <w:t>%；住房保障支出</w:t>
      </w:r>
      <w:r>
        <w:rPr>
          <w:rFonts w:hint="eastAsia" w:ascii="仿宋_GB2312" w:hAnsi="Times New Roman" w:eastAsia="仿宋_GB2312" w:cs="Wingdings"/>
          <w:sz w:val="32"/>
          <w:szCs w:val="32"/>
          <w:lang w:val="en-US" w:eastAsia="zh-CN"/>
        </w:rPr>
        <w:t>2.94</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4.21</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卫生健康支出2.05万元，占2.93%</w:t>
      </w:r>
      <w:r>
        <w:rPr>
          <w:rFonts w:hint="eastAsia" w:ascii="仿宋_GB2312" w:hAnsi="Times New Roman" w:eastAsia="仿宋_GB2312" w:cs="Wingdings"/>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default"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58.81</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55.90</w:t>
      </w:r>
      <w:r>
        <w:rPr>
          <w:rFonts w:hint="eastAsia" w:ascii="仿宋_GB2312" w:hAnsi="Times New Roman" w:eastAsia="仿宋_GB2312" w:cs="Wingdings"/>
          <w:sz w:val="32"/>
          <w:szCs w:val="32"/>
        </w:rPr>
        <w:t>万元，主要包括基本工资、津贴补贴、奖金、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商品和服务支出</w:t>
      </w:r>
      <w:r>
        <w:rPr>
          <w:rFonts w:hint="eastAsia" w:ascii="仿宋_GB2312" w:hAnsi="Times New Roman" w:eastAsia="仿宋_GB2312" w:cs="Wingdings"/>
          <w:sz w:val="32"/>
          <w:szCs w:val="32"/>
          <w:lang w:val="en-US" w:eastAsia="zh-CN"/>
        </w:rPr>
        <w:t>2.91万元。</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5.00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2.67万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53.40</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2.33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46.60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；较2019年度减少</w:t>
      </w:r>
      <w:r>
        <w:rPr>
          <w:rFonts w:hint="eastAsia" w:ascii="仿宋_GB2312" w:hAnsi="Times New Roman" w:eastAsia="仿宋_GB2312" w:cs="Wingdings"/>
          <w:sz w:val="32"/>
          <w:szCs w:val="32"/>
          <w:lang w:val="en-US" w:eastAsia="zh-CN"/>
        </w:rPr>
        <w:t>1.07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40.07</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无因公出国费用</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无因公出国费用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2.67</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53.40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2.33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46.60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1.07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40.07</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color w:val="000000"/>
          <w:sz w:val="32"/>
          <w:szCs w:val="32"/>
          <w:highlight w:val="yellow"/>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本部门2020年度公务用车购置量0辆，未发生“公务用车购置”经费支出。</w:t>
      </w:r>
      <w:r>
        <w:rPr>
          <w:rFonts w:hint="eastAsia" w:ascii="仿宋_GB2312" w:hAnsi="Times New Roman" w:eastAsia="仿宋_GB2312" w:cs="Wingdings"/>
          <w:color w:val="000000"/>
          <w:sz w:val="32"/>
          <w:szCs w:val="32"/>
        </w:rPr>
        <w:t>与年初预算0元持平，与2019年度决算支出0元持平。</w:t>
      </w:r>
    </w:p>
    <w:p>
      <w:pPr>
        <w:adjustRightInd w:val="0"/>
        <w:snapToGrid w:val="0"/>
        <w:spacing w:line="600" w:lineRule="exact"/>
        <w:ind w:firstLine="643"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,发生运行维护费支出2.67万元，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2.33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46.60</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1.07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40.07</w:t>
      </w:r>
      <w:r>
        <w:rPr>
          <w:rFonts w:hint="eastAsia" w:ascii="仿宋_GB2312" w:hAnsi="Times New Roman" w:eastAsia="仿宋_GB2312" w:cs="Wingdings"/>
          <w:sz w:val="32"/>
          <w:szCs w:val="32"/>
        </w:rPr>
        <w:t>%，主要是</w:t>
      </w:r>
      <w:r>
        <w:rPr>
          <w:rFonts w:ascii="仿宋_GB2312" w:hAnsi="Times New Roman" w:eastAsia="仿宋_GB2312" w:cs="DengXian-Regular"/>
          <w:sz w:val="32"/>
          <w:szCs w:val="32"/>
        </w:rPr>
        <w:t>严格控制公</w:t>
      </w:r>
      <w:r>
        <w:rPr>
          <w:rFonts w:hint="eastAsia" w:ascii="仿宋_GB2312" w:hAnsi="Times New Roman" w:eastAsia="仿宋_GB2312" w:cs="DengXian-Regular"/>
          <w:sz w:val="32"/>
          <w:szCs w:val="32"/>
        </w:rPr>
        <w:t>务用</w:t>
      </w:r>
      <w:r>
        <w:rPr>
          <w:rFonts w:ascii="仿宋_GB2312" w:hAnsi="Times New Roman" w:eastAsia="仿宋_GB2312" w:cs="DengXian-Regular"/>
          <w:sz w:val="32"/>
          <w:szCs w:val="32"/>
        </w:rPr>
        <w:t>车</w:t>
      </w:r>
      <w:r>
        <w:rPr>
          <w:rFonts w:hint="eastAsia" w:ascii="仿宋_GB2312" w:hAnsi="Times New Roman" w:eastAsia="仿宋_GB2312" w:cs="DengXian-Regular"/>
          <w:sz w:val="32"/>
          <w:szCs w:val="32"/>
        </w:rPr>
        <w:t>运行</w:t>
      </w:r>
      <w:r>
        <w:rPr>
          <w:rFonts w:ascii="仿宋_GB2312" w:hAnsi="Times New Roman" w:eastAsia="仿宋_GB2312" w:cs="DengXian-Regular"/>
          <w:sz w:val="32"/>
          <w:szCs w:val="32"/>
        </w:rPr>
        <w:t>维护费</w:t>
      </w:r>
      <w:r>
        <w:rPr>
          <w:rFonts w:hint="eastAsia" w:ascii="仿宋_GB2312" w:hAnsi="Times New Roman" w:eastAsia="仿宋_GB2312" w:cs="DengXian-Regular"/>
          <w:sz w:val="32"/>
          <w:szCs w:val="32"/>
        </w:rPr>
        <w:t>用支出</w:t>
      </w:r>
      <w:r>
        <w:rPr>
          <w:rFonts w:hint="eastAsia" w:ascii="仿宋_GB2312" w:hAnsi="Times New Roman" w:eastAsia="仿宋_GB2312" w:cs="DengXian-Regular"/>
          <w:sz w:val="32"/>
          <w:szCs w:val="32"/>
          <w:lang w:eastAsia="zh-CN"/>
        </w:rPr>
        <w:t>。</w:t>
      </w:r>
    </w:p>
    <w:p>
      <w:pPr>
        <w:adjustRightInd w:val="0"/>
        <w:snapToGrid w:val="0"/>
        <w:spacing w:line="600" w:lineRule="exact"/>
        <w:ind w:firstLine="643" w:firstLineChars="200"/>
        <w:rPr>
          <w:rFonts w:ascii="仿宋_GB2312" w:hAnsi="Times New Roman" w:eastAsia="仿宋_GB2312" w:cs="Wingdings"/>
          <w:sz w:val="32"/>
          <w:szCs w:val="32"/>
          <w:highlight w:val="yellow"/>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sz w:val="32"/>
          <w:szCs w:val="32"/>
        </w:rPr>
        <w:t>本部门2020年公务接待费支出0万元，完成预算的0%。发生</w:t>
      </w:r>
      <w:r>
        <w:rPr>
          <w:rFonts w:hint="eastAsia" w:ascii="仿宋_GB2312" w:hAnsi="Times New Roman" w:eastAsia="仿宋_GB2312" w:cs="Wingdings"/>
          <w:sz w:val="32"/>
          <w:szCs w:val="32"/>
        </w:rPr>
        <w:t>公务接待共0批次、0人次。公务接待费支出较预算减少0万元，降低0%；较上年度减少0万元，降低0%,。</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11.16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p>
    <w:p>
      <w:pPr>
        <w:adjustRightInd w:val="0"/>
        <w:snapToGrid w:val="0"/>
        <w:spacing w:line="60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工会第一次代表大会会议费</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8.78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从评价来看，工会第一次代表大会会议费的使用，推进了工会工作的法制化，提升了工会干部的整体素质。</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工会第一次代表大会会议费</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val="en-US" w:eastAsia="zh-CN"/>
        </w:rPr>
        <w:t>困难职工补助</w:t>
      </w:r>
      <w:r>
        <w:rPr>
          <w:rFonts w:hint="eastAsia" w:ascii="仿宋_GB2312" w:hAnsi="仿宋_GB2312" w:eastAsia="仿宋_GB2312" w:cs="仿宋_GB2312"/>
          <w:sz w:val="32"/>
          <w:szCs w:val="32"/>
        </w:rPr>
        <w:t xml:space="preserve"> 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line="6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sz w:val="32"/>
          <w:szCs w:val="32"/>
          <w:lang w:val="en-US" w:eastAsia="zh-CN"/>
        </w:rPr>
        <w:t>工会第一次代表大会会议费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工会第一次代表大会会议费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8.78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color w:val="auto"/>
          <w:sz w:val="32"/>
          <w:szCs w:val="32"/>
          <w:shd w:val="clear" w:color="auto" w:fill="auto"/>
        </w:rPr>
        <w:t>一是预算全部执行；二是达到了满意的效果。</w:t>
      </w:r>
    </w:p>
    <w:p>
      <w:pPr>
        <w:numPr>
          <w:ilvl w:val="0"/>
          <w:numId w:val="3"/>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困难职工补助</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val="en-US" w:eastAsia="zh-CN"/>
        </w:rPr>
        <w:t>困难职工补助</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color w:val="auto"/>
          <w:sz w:val="32"/>
          <w:szCs w:val="32"/>
          <w:shd w:val="clear" w:color="auto" w:fill="auto"/>
        </w:rPr>
        <w:t>一是预算全部执行；二是达到了满意的效果。</w:t>
      </w:r>
    </w:p>
    <w:p>
      <w:pPr>
        <w:numPr>
          <w:ilvl w:val="0"/>
          <w:numId w:val="0"/>
        </w:numPr>
        <w:adjustRightInd w:val="0"/>
        <w:snapToGrid w:val="0"/>
        <w:spacing w:line="600" w:lineRule="exact"/>
        <w:ind w:left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财政评价项目绩效评价结果</w:t>
      </w:r>
    </w:p>
    <w:p>
      <w:pPr>
        <w:numPr>
          <w:ilvl w:val="0"/>
          <w:numId w:val="0"/>
        </w:numPr>
        <w:adjustRightInd w:val="0"/>
        <w:snapToGrid w:val="0"/>
        <w:spacing w:line="600" w:lineRule="exact"/>
        <w:ind w:leftChars="20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无</w:t>
      </w:r>
    </w:p>
    <w:p>
      <w:pPr>
        <w:keepNext/>
        <w:keepLines/>
        <w:snapToGrid w:val="0"/>
        <w:spacing w:line="600" w:lineRule="exact"/>
        <w:ind w:firstLine="640" w:firstLineChars="200"/>
        <w:outlineLvl w:val="1"/>
        <w:rPr>
          <w:rFonts w:ascii="仿宋_GB2312" w:hAnsi="仿宋_GB2312" w:eastAsia="仿宋_GB2312" w:cs="仿宋_GB2312"/>
          <w:sz w:val="32"/>
          <w:szCs w:val="32"/>
          <w:highlight w:val="yellow"/>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2.91</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6.18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67.99</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办公费、公务用车维护费减少</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 0万元。授予中小企业合同金0万元，其中授予小微企业合同金额0万元。</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Times New Roman" w:eastAsia="仿宋_GB2312" w:cs="DengXian-Regular"/>
          <w:sz w:val="32"/>
          <w:szCs w:val="32"/>
        </w:rPr>
        <w:t>与上年相同。其中，主要领导干部用车</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辆，其他用车</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仿宋_GB2312" w:hAnsi="仿宋_GB2312" w:eastAsia="仿宋_GB2312" w:cs="仿宋_GB2312"/>
          <w:b/>
          <w:bCs/>
          <w:sz w:val="32"/>
          <w:szCs w:val="32"/>
        </w:rPr>
      </w:pPr>
      <w:r>
        <w:rPr>
          <w:rFonts w:hint="eastAsia" w:ascii="仿宋_GB2312" w:hAnsi="Times New Roman" w:eastAsia="仿宋_GB2312" w:cs="DengXian-Regular"/>
          <w:sz w:val="32"/>
          <w:szCs w:val="32"/>
        </w:rPr>
        <w:t>单位无价值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与上年度持平。</w:t>
      </w:r>
      <w:r>
        <w:rPr>
          <w:rFonts w:hint="eastAsia" w:ascii="仿宋_GB2312" w:hAnsi="Times New Roman" w:eastAsia="仿宋_GB2312" w:cs="DengXian-Regular"/>
          <w:sz w:val="32"/>
          <w:szCs w:val="32"/>
        </w:rPr>
        <w:t>无价值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与上年度持平</w:t>
      </w:r>
      <w:r>
        <w:rPr>
          <w:rFonts w:hint="eastAsia" w:ascii="仿宋_GB2312" w:hAnsi="Times New Roman" w:eastAsia="仿宋_GB2312" w:cs="DengXian-Regular"/>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1. 本部门2020年度未发生政府性基金预算收支、国有资金经营预算收支及结转结余情况，故政府性基金预算财政拨款收入支出决算表、国有资金经营预算财政拨款支出决算表以空表列示。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1312"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1312;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MS UI Gothic"/>
          <w:bCs/>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3207"/>
        <w:gridCol w:w="724"/>
        <w:gridCol w:w="686"/>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保定市满城区总工会</w:t>
            </w:r>
          </w:p>
        </w:tc>
        <w:tc>
          <w:tcPr>
            <w:tcW w:w="72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69.97</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52.84</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185"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三、上级补助收入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四、事业收入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五、经营收入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六、附属单位上缴收入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七、其他收入</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12.14</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2.05</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2.94</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本年收入合计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69.97</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69.97</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使用非财政拨款结余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年初结转和结余</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320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7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69.97</w:t>
            </w:r>
            <w:r>
              <w:rPr>
                <w:rFonts w:hint="eastAsia" w:ascii="宋体" w:hAnsi="宋体" w:eastAsia="宋体" w:cs="宋体"/>
                <w:color w:val="000000"/>
                <w:kern w:val="0"/>
                <w:sz w:val="18"/>
                <w:szCs w:val="18"/>
                <w:lang w:bidi="ar"/>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69.97</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tbl>
      <w:tblPr>
        <w:tblStyle w:val="5"/>
        <w:tblW w:w="9681" w:type="dxa"/>
        <w:jc w:val="center"/>
        <w:tblLayout w:type="autofit"/>
        <w:tblCellMar>
          <w:top w:w="0" w:type="dxa"/>
          <w:left w:w="0" w:type="dxa"/>
          <w:bottom w:w="0" w:type="dxa"/>
          <w:right w:w="0" w:type="dxa"/>
        </w:tblCellMar>
      </w:tblPr>
      <w:tblGrid>
        <w:gridCol w:w="718"/>
        <w:gridCol w:w="41"/>
        <w:gridCol w:w="41"/>
        <w:gridCol w:w="3770"/>
        <w:gridCol w:w="999"/>
        <w:gridCol w:w="999"/>
        <w:gridCol w:w="622"/>
        <w:gridCol w:w="622"/>
        <w:gridCol w:w="622"/>
        <w:gridCol w:w="622"/>
        <w:gridCol w:w="625"/>
      </w:tblGrid>
      <w:tr>
        <w:tblPrEx>
          <w:tblCellMar>
            <w:top w:w="0" w:type="dxa"/>
            <w:left w:w="0" w:type="dxa"/>
            <w:bottom w:w="0" w:type="dxa"/>
            <w:right w:w="0" w:type="dxa"/>
          </w:tblCellMar>
        </w:tblPrEx>
        <w:trPr>
          <w:trHeight w:val="670" w:hRule="atLeast"/>
          <w:jc w:val="center"/>
        </w:trPr>
        <w:tc>
          <w:tcPr>
            <w:tcW w:w="9681"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28"/>
                <w:szCs w:val="28"/>
              </w:rPr>
            </w:pPr>
          </w:p>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7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4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71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val="en-US" w:eastAsia="zh-CN"/>
              </w:rPr>
            </w:pPr>
            <w:r>
              <w:rPr>
                <w:rFonts w:hint="eastAsia" w:ascii="宋体" w:hAnsi="宋体" w:eastAsia="宋体" w:cs="宋体"/>
                <w:color w:val="000000"/>
                <w:kern w:val="0"/>
                <w:sz w:val="18"/>
                <w:szCs w:val="18"/>
              </w:rPr>
              <w:t>保定市满城区</w:t>
            </w:r>
            <w:r>
              <w:rPr>
                <w:rFonts w:hint="eastAsia" w:ascii="宋体" w:hAnsi="宋体" w:eastAsia="宋体" w:cs="宋体"/>
                <w:color w:val="000000"/>
                <w:kern w:val="0"/>
                <w:sz w:val="18"/>
                <w:szCs w:val="18"/>
                <w:lang w:val="en-US" w:eastAsia="zh-CN"/>
              </w:rPr>
              <w:t>总工会</w:t>
            </w: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6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45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6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6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6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6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6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80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377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5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5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69.97</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69.97</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一般公共服务支出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52.84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52.84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rPr>
              <w:t>201</w:t>
            </w:r>
            <w:r>
              <w:rPr>
                <w:rFonts w:hint="eastAsia" w:ascii="宋体" w:hAnsi="宋体" w:eastAsia="宋体" w:cs="宋体"/>
                <w:color w:val="000000"/>
                <w:sz w:val="22"/>
                <w:lang w:val="en-US" w:eastAsia="zh-CN"/>
              </w:rPr>
              <w:t>29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Arial"/>
                <w:color w:val="000000"/>
                <w:sz w:val="22"/>
                <w:szCs w:val="22"/>
                <w:lang w:val="en-US" w:eastAsia="zh-CN"/>
              </w:rPr>
            </w:pPr>
            <w:r>
              <w:rPr>
                <w:rFonts w:hint="eastAsia" w:eastAsia="宋体" w:cs="Arial"/>
                <w:color w:val="000000"/>
                <w:sz w:val="22"/>
                <w:szCs w:val="22"/>
                <w:lang w:val="en-US" w:eastAsia="zh-CN"/>
              </w:rPr>
              <w:t>群众团体事务</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52.84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52.84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r>
              <w:rPr>
                <w:rFonts w:hint="eastAsia" w:ascii="宋体" w:hAnsi="宋体" w:eastAsia="宋体" w:cs="宋体"/>
                <w:color w:val="000000"/>
                <w:sz w:val="22"/>
                <w:lang w:val="en-US" w:eastAsia="zh-CN"/>
              </w:rPr>
              <w:t>29</w:t>
            </w:r>
            <w:r>
              <w:rPr>
                <w:rFonts w:hint="eastAsia" w:ascii="宋体" w:hAnsi="宋体" w:eastAsia="宋体" w:cs="宋体"/>
                <w:color w:val="000000"/>
                <w:sz w:val="22"/>
              </w:rPr>
              <w:t>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行政运行</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41.68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41.68</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r>
              <w:rPr>
                <w:rFonts w:hint="eastAsia" w:ascii="宋体" w:hAnsi="宋体" w:eastAsia="宋体" w:cs="宋体"/>
                <w:color w:val="000000"/>
                <w:sz w:val="22"/>
                <w:lang w:val="en-US" w:eastAsia="zh-CN"/>
              </w:rPr>
              <w:t>29</w:t>
            </w:r>
            <w:r>
              <w:rPr>
                <w:rFonts w:hint="eastAsia" w:ascii="宋体" w:hAnsi="宋体" w:eastAsia="宋体" w:cs="宋体"/>
                <w:color w:val="000000"/>
                <w:sz w:val="22"/>
              </w:rPr>
              <w:t>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cs="Arial"/>
                <w:color w:val="000000"/>
                <w:sz w:val="22"/>
                <w:szCs w:val="22"/>
              </w:rPr>
              <w:t xml:space="preserve">  一般行政管理事务</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2.38</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2012999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cs="Arial"/>
                <w:color w:val="000000"/>
                <w:sz w:val="22"/>
                <w:szCs w:val="22"/>
              </w:rPr>
            </w:pPr>
            <w:r>
              <w:rPr>
                <w:rFonts w:hint="eastAsia" w:cs="Arial"/>
                <w:color w:val="000000"/>
                <w:sz w:val="22"/>
                <w:szCs w:val="22"/>
              </w:rPr>
              <w:t>其他群众团体事务支出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8.78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8.78</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208</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社会保障和就业支出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r>
              <w:rPr>
                <w:rFonts w:ascii="宋体" w:hAnsi="宋体" w:eastAsia="宋体" w:cs="宋体"/>
                <w:color w:val="000000"/>
                <w:sz w:val="22"/>
              </w:rPr>
              <w:t>1</w:t>
            </w:r>
            <w:r>
              <w:rPr>
                <w:rFonts w:hint="eastAsia" w:ascii="宋体" w:hAnsi="宋体" w:eastAsia="宋体" w:cs="宋体"/>
                <w:color w:val="000000"/>
                <w:sz w:val="22"/>
                <w:lang w:val="en-US" w:eastAsia="zh-CN"/>
              </w:rPr>
              <w:t>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20805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行政事业单位离退休</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12.</w:t>
            </w:r>
            <w:r>
              <w:rPr>
                <w:rFonts w:ascii="宋体" w:hAnsi="宋体" w:eastAsia="宋体" w:cs="宋体"/>
                <w:color w:val="000000"/>
                <w:sz w:val="22"/>
              </w:rPr>
              <w:t>1</w:t>
            </w:r>
            <w:r>
              <w:rPr>
                <w:rFonts w:hint="eastAsia" w:ascii="宋体" w:hAnsi="宋体" w:eastAsia="宋体" w:cs="宋体"/>
                <w:color w:val="000000"/>
                <w:sz w:val="22"/>
                <w:lang w:val="en-US" w:eastAsia="zh-CN"/>
              </w:rPr>
              <w:t>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r>
              <w:rPr>
                <w:rFonts w:ascii="宋体" w:hAnsi="宋体" w:eastAsia="宋体" w:cs="宋体"/>
                <w:color w:val="000000"/>
                <w:sz w:val="22"/>
              </w:rPr>
              <w:t>1</w:t>
            </w:r>
            <w:r>
              <w:rPr>
                <w:rFonts w:hint="eastAsia" w:ascii="宋体" w:hAnsi="宋体" w:eastAsia="宋体" w:cs="宋体"/>
                <w:color w:val="000000"/>
                <w:sz w:val="22"/>
                <w:lang w:val="en-US" w:eastAsia="zh-CN"/>
              </w:rPr>
              <w:t>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2080501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归口管理的行政单位离退休</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4.</w:t>
            </w:r>
            <w:r>
              <w:rPr>
                <w:rFonts w:hint="eastAsia" w:ascii="宋体" w:hAnsi="宋体" w:eastAsia="宋体" w:cs="宋体"/>
                <w:color w:val="000000"/>
                <w:sz w:val="22"/>
                <w:lang w:val="en-US" w:eastAsia="zh-CN"/>
              </w:rPr>
              <w:t>31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4.31</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2080505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rPr>
              <w:t>机关事业单位基本养老保险缴费支出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6.15</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6.15</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2080506</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机关事业单位职业年金缴费支出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1.69</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w:t>
            </w:r>
            <w:r>
              <w:rPr>
                <w:rFonts w:hint="eastAsia" w:ascii="宋体" w:hAnsi="宋体" w:eastAsia="宋体" w:cs="宋体"/>
                <w:color w:val="000000"/>
                <w:sz w:val="22"/>
                <w:lang w:val="en-US" w:eastAsia="zh-CN"/>
              </w:rPr>
              <w:t>69</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210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卫生健康支出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ascii="宋体" w:hAnsi="宋体" w:eastAsia="宋体" w:cs="宋体"/>
                <w:color w:val="000000"/>
                <w:sz w:val="22"/>
              </w:rPr>
              <w:t>行政事业单位医疗</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22"/>
                <w:szCs w:val="22"/>
              </w:rPr>
            </w:pPr>
            <w:r>
              <w:rPr>
                <w:rFonts w:hint="eastAsia" w:ascii="宋体" w:hAnsi="宋体" w:eastAsia="宋体" w:cs="宋体"/>
                <w:color w:val="000000"/>
                <w:sz w:val="22"/>
              </w:rPr>
              <w:t>行政单位医疗</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221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住房保障支出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w:t>
            </w:r>
            <w:r>
              <w:rPr>
                <w:rFonts w:hint="eastAsia" w:ascii="宋体" w:hAnsi="宋体" w:eastAsia="宋体" w:cs="宋体"/>
                <w:color w:val="000000"/>
                <w:sz w:val="22"/>
                <w:lang w:val="en-US" w:eastAsia="zh-CN"/>
              </w:rPr>
              <w:t>94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22102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住房改革支出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w:t>
            </w:r>
            <w:r>
              <w:rPr>
                <w:rFonts w:hint="eastAsia" w:ascii="宋体" w:hAnsi="宋体" w:eastAsia="宋体" w:cs="宋体"/>
                <w:color w:val="000000"/>
                <w:sz w:val="22"/>
                <w:lang w:val="en-US" w:eastAsia="zh-CN"/>
              </w:rPr>
              <w:t>94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2210201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r>
              <w:rPr>
                <w:rFonts w:hint="eastAsia" w:ascii="宋体" w:cs="宋体"/>
                <w:color w:val="000000"/>
                <w:szCs w:val="21"/>
              </w:rPr>
              <w:t>住房公积金</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w:t>
            </w:r>
            <w:r>
              <w:rPr>
                <w:rFonts w:hint="eastAsia" w:ascii="宋体" w:hAnsi="宋体" w:eastAsia="宋体" w:cs="宋体"/>
                <w:color w:val="000000"/>
                <w:sz w:val="22"/>
                <w:lang w:val="en-US" w:eastAsia="zh-CN"/>
              </w:rPr>
              <w:t>94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left"/>
              <w:rPr>
                <w:rFonts w:ascii="宋体" w:hAnsi="宋体" w:eastAsia="宋体" w:cs="Arial"/>
                <w:color w:val="000000"/>
                <w:sz w:val="22"/>
                <w:szCs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681"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tbl>
      <w:tblPr>
        <w:tblStyle w:val="5"/>
        <w:tblW w:w="9680" w:type="dxa"/>
        <w:jc w:val="center"/>
        <w:tblLayout w:type="fixed"/>
        <w:tblCellMar>
          <w:top w:w="0" w:type="dxa"/>
          <w:left w:w="0" w:type="dxa"/>
          <w:bottom w:w="0" w:type="dxa"/>
          <w:right w:w="0" w:type="dxa"/>
        </w:tblCellMar>
      </w:tblPr>
      <w:tblGrid>
        <w:gridCol w:w="754"/>
        <w:gridCol w:w="240"/>
        <w:gridCol w:w="111"/>
        <w:gridCol w:w="2289"/>
        <w:gridCol w:w="852"/>
        <w:gridCol w:w="732"/>
        <w:gridCol w:w="969"/>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75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8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754"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8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保定市满城区总工会</w:t>
            </w:r>
          </w:p>
        </w:tc>
        <w:tc>
          <w:tcPr>
            <w:tcW w:w="8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39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5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73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96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28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39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6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39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ascii="宋体" w:hAnsi="宋体" w:eastAsia="宋体" w:cs="宋体"/>
                <w:b/>
                <w:color w:val="000000"/>
                <w:sz w:val="22"/>
              </w:rPr>
              <w:t>69.</w:t>
            </w:r>
            <w:r>
              <w:rPr>
                <w:rFonts w:hint="eastAsia" w:ascii="宋体" w:hAnsi="宋体" w:eastAsia="宋体" w:cs="宋体"/>
                <w:b/>
                <w:color w:val="000000"/>
                <w:sz w:val="22"/>
                <w:lang w:val="en-US" w:eastAsia="zh-CN"/>
              </w:rPr>
              <w:t>97</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69.</w:t>
            </w:r>
            <w:r>
              <w:rPr>
                <w:rFonts w:hint="eastAsia" w:ascii="宋体" w:hAnsi="宋体" w:eastAsia="宋体" w:cs="宋体"/>
                <w:b/>
                <w:color w:val="000000"/>
                <w:sz w:val="22"/>
                <w:lang w:val="en-US" w:eastAsia="zh-CN"/>
              </w:rPr>
              <w:t>9</w:t>
            </w:r>
            <w:r>
              <w:rPr>
                <w:rFonts w:ascii="宋体" w:hAnsi="宋体" w:eastAsia="宋体" w:cs="宋体"/>
                <w:b/>
                <w:color w:val="000000"/>
                <w:sz w:val="22"/>
              </w:rPr>
              <w:t>7</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ascii="宋体" w:hAnsi="宋体" w:eastAsia="宋体" w:cs="宋体"/>
                <w:color w:val="000000"/>
                <w:sz w:val="22"/>
              </w:rPr>
              <w:t>201</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cs="Arial"/>
                <w:color w:val="000000"/>
                <w:sz w:val="22"/>
                <w:szCs w:val="22"/>
              </w:rPr>
              <w:t>一般公共服务支出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52.84</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52.84</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ascii="宋体" w:hAnsi="宋体" w:eastAsia="宋体" w:cs="宋体"/>
                <w:color w:val="000000"/>
                <w:sz w:val="22"/>
              </w:rPr>
              <w:t>201</w:t>
            </w:r>
            <w:r>
              <w:rPr>
                <w:rFonts w:hint="eastAsia" w:ascii="宋体" w:hAnsi="宋体" w:eastAsia="宋体" w:cs="宋体"/>
                <w:color w:val="000000"/>
                <w:sz w:val="22"/>
                <w:lang w:val="en-US" w:eastAsia="zh-CN"/>
              </w:rPr>
              <w:t>29</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eastAsia="宋体" w:cs="Arial"/>
                <w:color w:val="000000"/>
                <w:sz w:val="22"/>
                <w:szCs w:val="22"/>
                <w:lang w:val="en-US" w:eastAsia="zh-CN"/>
              </w:rPr>
              <w:t>群众团体事务</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52.84</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52.84</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ascii="宋体" w:hAnsi="宋体" w:eastAsia="宋体" w:cs="宋体"/>
                <w:color w:val="000000"/>
                <w:sz w:val="22"/>
              </w:rPr>
              <w:t>201</w:t>
            </w:r>
            <w:r>
              <w:rPr>
                <w:rFonts w:hint="eastAsia" w:ascii="宋体" w:hAnsi="宋体" w:eastAsia="宋体" w:cs="宋体"/>
                <w:color w:val="000000"/>
                <w:sz w:val="22"/>
                <w:lang w:val="en-US" w:eastAsia="zh-CN"/>
              </w:rPr>
              <w:t>29</w:t>
            </w:r>
            <w:r>
              <w:rPr>
                <w:rFonts w:hint="eastAsia" w:ascii="宋体" w:hAnsi="宋体" w:eastAsia="宋体" w:cs="宋体"/>
                <w:color w:val="000000"/>
                <w:sz w:val="22"/>
              </w:rPr>
              <w:t>01</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cs="Arial"/>
                <w:color w:val="000000"/>
                <w:sz w:val="22"/>
                <w:szCs w:val="22"/>
              </w:rPr>
              <w:t xml:space="preserve">  行政运行</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41.68</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41.68</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ascii="宋体" w:hAnsi="宋体" w:eastAsia="宋体" w:cs="宋体"/>
                <w:color w:val="000000"/>
                <w:sz w:val="22"/>
              </w:rPr>
              <w:t>201</w:t>
            </w:r>
            <w:r>
              <w:rPr>
                <w:rFonts w:hint="eastAsia" w:ascii="宋体" w:hAnsi="宋体" w:eastAsia="宋体" w:cs="宋体"/>
                <w:color w:val="000000"/>
                <w:sz w:val="22"/>
                <w:lang w:val="en-US" w:eastAsia="zh-CN"/>
              </w:rPr>
              <w:t>29</w:t>
            </w:r>
            <w:r>
              <w:rPr>
                <w:rFonts w:hint="eastAsia" w:ascii="宋体" w:hAnsi="宋体" w:eastAsia="宋体" w:cs="宋体"/>
                <w:color w:val="000000"/>
                <w:sz w:val="22"/>
              </w:rPr>
              <w:t>02</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cs="Arial"/>
                <w:color w:val="000000"/>
                <w:sz w:val="22"/>
                <w:szCs w:val="22"/>
              </w:rPr>
              <w:t xml:space="preserve">  一般行政管理事务</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2.38</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2.38</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ascii="宋体" w:hAnsi="宋体" w:eastAsia="宋体" w:cs="宋体"/>
                <w:color w:val="000000"/>
                <w:sz w:val="22"/>
                <w:lang w:val="en-US" w:eastAsia="zh-CN"/>
              </w:rPr>
              <w:t>2012999</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cs="Arial"/>
                <w:color w:val="000000"/>
                <w:sz w:val="22"/>
                <w:szCs w:val="22"/>
              </w:rPr>
              <w:t>其他群众团体事务支出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8.78</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8.78</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社会保障和就业支出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12.14</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r>
              <w:rPr>
                <w:rFonts w:ascii="宋体" w:hAnsi="宋体" w:eastAsia="宋体" w:cs="宋体"/>
                <w:color w:val="000000"/>
                <w:sz w:val="22"/>
              </w:rPr>
              <w:t>1</w:t>
            </w:r>
            <w:r>
              <w:rPr>
                <w:rFonts w:hint="eastAsia" w:ascii="宋体" w:hAnsi="宋体" w:eastAsia="宋体" w:cs="宋体"/>
                <w:color w:val="000000"/>
                <w:sz w:val="22"/>
                <w:lang w:val="en-US" w:eastAsia="zh-CN"/>
              </w:rPr>
              <w:t>4</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行政事业单位离退休</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r>
              <w:rPr>
                <w:rFonts w:ascii="宋体" w:hAnsi="宋体" w:eastAsia="宋体" w:cs="宋体"/>
                <w:color w:val="000000"/>
                <w:sz w:val="22"/>
              </w:rPr>
              <w:t>1</w:t>
            </w:r>
            <w:r>
              <w:rPr>
                <w:rFonts w:hint="eastAsia" w:ascii="宋体" w:hAnsi="宋体" w:eastAsia="宋体" w:cs="宋体"/>
                <w:color w:val="000000"/>
                <w:sz w:val="22"/>
                <w:lang w:val="en-US" w:eastAsia="zh-CN"/>
              </w:rPr>
              <w:t>4</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r>
              <w:rPr>
                <w:rFonts w:ascii="宋体" w:hAnsi="宋体" w:eastAsia="宋体" w:cs="宋体"/>
                <w:color w:val="000000"/>
                <w:sz w:val="22"/>
              </w:rPr>
              <w:t>1</w:t>
            </w:r>
            <w:r>
              <w:rPr>
                <w:rFonts w:hint="eastAsia" w:ascii="宋体" w:hAnsi="宋体" w:eastAsia="宋体" w:cs="宋体"/>
                <w:color w:val="000000"/>
                <w:sz w:val="22"/>
                <w:lang w:val="en-US" w:eastAsia="zh-CN"/>
              </w:rPr>
              <w:t>4</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2080501</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归口管理的行政单位离退休</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w:t>
            </w:r>
            <w:r>
              <w:rPr>
                <w:rFonts w:hint="eastAsia" w:ascii="宋体" w:hAnsi="宋体" w:eastAsia="宋体" w:cs="宋体"/>
                <w:color w:val="000000"/>
                <w:sz w:val="22"/>
                <w:lang w:val="en-US" w:eastAsia="zh-CN"/>
              </w:rPr>
              <w:t>31</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4.31</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2080505</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rPr>
              <w:t>机关事业单位基本养老保险缴费支出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6.15</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6.15</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2080506</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机关事业单位职业年金缴费支出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1.69</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w:t>
            </w:r>
            <w:r>
              <w:rPr>
                <w:rFonts w:hint="eastAsia" w:ascii="宋体" w:hAnsi="宋体" w:eastAsia="宋体" w:cs="宋体"/>
                <w:color w:val="000000"/>
                <w:sz w:val="22"/>
                <w:lang w:val="en-US" w:eastAsia="zh-CN"/>
              </w:rPr>
              <w:t>69</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ascii="宋体" w:cs="宋体"/>
                <w:color w:val="000000"/>
                <w:szCs w:val="21"/>
              </w:rPr>
              <w:t>210</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宋体" w:eastAsia="宋体" w:cs="宋体"/>
                <w:color w:val="000000"/>
                <w:sz w:val="22"/>
              </w:rPr>
            </w:pPr>
            <w:r>
              <w:rPr>
                <w:rFonts w:hint="eastAsia" w:ascii="宋体" w:cs="宋体"/>
                <w:color w:val="000000"/>
                <w:szCs w:val="21"/>
              </w:rPr>
              <w:t>卫生健康支出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ascii="宋体" w:hAnsi="宋体" w:eastAsia="宋体" w:cs="宋体"/>
                <w:color w:val="000000"/>
                <w:sz w:val="22"/>
              </w:rPr>
              <w:t>2101101</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Cs w:val="21"/>
              </w:rPr>
            </w:pPr>
            <w:r>
              <w:rPr>
                <w:rFonts w:hint="eastAsia" w:ascii="宋体" w:hAnsi="宋体" w:eastAsia="宋体" w:cs="宋体"/>
                <w:color w:val="000000"/>
                <w:sz w:val="22"/>
              </w:rPr>
              <w:t>行政单位医疗</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2.05</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住房保障支出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2.94</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lang w:val="en-US" w:eastAsia="zh-CN"/>
              </w:rPr>
              <w:t>94</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22102</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住房改革支出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2.94</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lang w:val="en-US" w:eastAsia="zh-CN"/>
              </w:rPr>
              <w:t>94</w:t>
            </w:r>
          </w:p>
        </w:tc>
        <w:tc>
          <w:tcPr>
            <w:tcW w:w="9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p/>
    <w:p/>
    <w:p/>
    <w:p/>
    <w:p/>
    <w:p/>
    <w:tbl>
      <w:tblPr>
        <w:tblStyle w:val="5"/>
        <w:tblW w:w="9990" w:type="dxa"/>
        <w:jc w:val="center"/>
        <w:tblLayout w:type="fixed"/>
        <w:tblCellMar>
          <w:top w:w="0" w:type="dxa"/>
          <w:left w:w="0" w:type="dxa"/>
          <w:bottom w:w="0" w:type="dxa"/>
          <w:right w:w="0" w:type="dxa"/>
        </w:tblCellMar>
      </w:tblPr>
      <w:tblGrid>
        <w:gridCol w:w="1001"/>
        <w:gridCol w:w="240"/>
        <w:gridCol w:w="67"/>
        <w:gridCol w:w="3777"/>
        <w:gridCol w:w="1176"/>
        <w:gridCol w:w="1400"/>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6"/>
              <w:gridCol w:w="446"/>
              <w:gridCol w:w="690"/>
              <w:gridCol w:w="780"/>
              <w:gridCol w:w="729"/>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9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62"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rPr>
                    <w:t>部门：</w:t>
                  </w:r>
                  <w:r>
                    <w:rPr>
                      <w:rFonts w:hint="eastAsia" w:ascii="宋体" w:hAnsi="宋体" w:eastAsia="宋体" w:cs="Arial"/>
                      <w:color w:val="000000"/>
                      <w:kern w:val="0"/>
                      <w:sz w:val="15"/>
                      <w:szCs w:val="15"/>
                      <w:lang w:val="en-US" w:eastAsia="zh-CN"/>
                    </w:rPr>
                    <w:t>保定市满城区总工会</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9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8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582"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69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8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69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8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29"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69.97</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58.84</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58.84</w:t>
                  </w: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12.14</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12.14</w:t>
                  </w: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2.05</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2.05</w:t>
                  </w: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2.94</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2.94</w:t>
                  </w: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69.97</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lang w:val="en-US" w:eastAsia="zh-CN"/>
                    </w:rPr>
                    <w:t>69.97</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lang w:val="en-US" w:eastAsia="zh-CN"/>
                    </w:rPr>
                    <w:t>69.97</w:t>
                  </w: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69.97</w:t>
                  </w:r>
                </w:p>
              </w:tc>
              <w:tc>
                <w:tcPr>
                  <w:tcW w:w="245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69.97</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69.97</w:t>
                  </w:r>
                </w:p>
              </w:tc>
              <w:tc>
                <w:tcPr>
                  <w:tcW w:w="72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00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2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00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eastAsiaTheme="minorEastAsia"/>
                <w:color w:val="000000"/>
                <w:sz w:val="18"/>
                <w:szCs w:val="18"/>
                <w:lang w:val="en-US" w:eastAsia="zh-CN"/>
              </w:rPr>
            </w:pPr>
            <w:r>
              <w:rPr>
                <w:rFonts w:hint="eastAsia" w:ascii="Arial" w:hAnsi="Arial" w:cs="Arial"/>
                <w:color w:val="000000"/>
                <w:sz w:val="18"/>
                <w:szCs w:val="18"/>
                <w:lang w:val="en-US" w:eastAsia="zh-CN"/>
              </w:rPr>
              <w:t>保定市满城区总工会</w:t>
            </w:r>
          </w:p>
        </w:tc>
        <w:tc>
          <w:tcPr>
            <w:tcW w:w="11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72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508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4905"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377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14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77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77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508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508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69.97</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i w:val="0"/>
                <w:color w:val="000000"/>
                <w:kern w:val="0"/>
                <w:sz w:val="22"/>
                <w:szCs w:val="22"/>
                <w:u w:val="none"/>
                <w:lang w:val="en-US" w:eastAsia="zh-CN" w:bidi="ar"/>
              </w:rPr>
              <w:t>58.81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i w:val="0"/>
                <w:color w:val="000000"/>
                <w:kern w:val="0"/>
                <w:sz w:val="22"/>
                <w:szCs w:val="22"/>
                <w:u w:val="none"/>
                <w:lang w:val="en-US" w:eastAsia="zh-CN" w:bidi="ar"/>
              </w:rPr>
              <w:t>11.16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w:t>
            </w:r>
          </w:p>
        </w:tc>
        <w:tc>
          <w:tcPr>
            <w:tcW w:w="3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52.84</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41.68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11.16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20129</w:t>
            </w:r>
          </w:p>
        </w:tc>
        <w:tc>
          <w:tcPr>
            <w:tcW w:w="3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群众团体事务</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52.84</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41.68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11.16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2012901</w:t>
            </w:r>
          </w:p>
        </w:tc>
        <w:tc>
          <w:tcPr>
            <w:tcW w:w="3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行政运行</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41.68</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41.68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2012902</w:t>
            </w:r>
          </w:p>
        </w:tc>
        <w:tc>
          <w:tcPr>
            <w:tcW w:w="3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2.38</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2012999</w:t>
            </w:r>
          </w:p>
        </w:tc>
        <w:tc>
          <w:tcPr>
            <w:tcW w:w="3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8.78</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8.78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w:t>
            </w:r>
          </w:p>
        </w:tc>
        <w:tc>
          <w:tcPr>
            <w:tcW w:w="37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社会保障和就业支出</w:t>
            </w:r>
          </w:p>
        </w:tc>
        <w:tc>
          <w:tcPr>
            <w:tcW w:w="1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12.14</w:t>
            </w: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12.14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行政事业单位养老支出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12.14</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12.14</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2080501</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4.31</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4.31</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2080505</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6.15</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6.15</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2080506</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1.69</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1.69</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卫生健康支出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2.05</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2.05</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21011</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行政事业单位医疗</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2.05</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2.05</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2101101</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2.05</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2.05</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41"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住房保障支出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2.94</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2.94</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22102</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住房改革支出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2.94</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2.94</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2210201</w:t>
            </w: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住房公积金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2.94</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2.94</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52.84</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p>
        </w:tc>
        <w:tc>
          <w:tcPr>
            <w:tcW w:w="3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pPr>
        <w:rPr>
          <w:rFonts w:ascii="黑体" w:hAnsi="宋体" w:eastAsia="黑体" w:cs="黑体"/>
          <w:color w:val="000000"/>
          <w:kern w:val="0"/>
          <w:sz w:val="28"/>
          <w:szCs w:val="28"/>
          <w:lang w:bidi="ar"/>
        </w:rPr>
        <w:sectPr>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pPr>
      <w:r>
        <w:br w:type="page"/>
      </w: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hint="default" w:ascii="Arial" w:hAnsi="Arial" w:cs="Arial" w:eastAsiaTheme="minorEastAsia"/>
                <w:color w:val="000000"/>
                <w:sz w:val="16"/>
                <w:szCs w:val="16"/>
                <w:lang w:val="en-US" w:eastAsia="zh-CN"/>
              </w:rPr>
            </w:pPr>
            <w:r>
              <w:rPr>
                <w:rFonts w:hint="eastAsia" w:ascii="Arial" w:hAnsi="Arial" w:cs="Arial"/>
                <w:color w:val="000000"/>
                <w:sz w:val="16"/>
                <w:szCs w:val="16"/>
                <w:lang w:val="en-US" w:eastAsia="zh-CN"/>
              </w:rPr>
              <w:t>保定市满城区总工会</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51.59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2.91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29.93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8.83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6.15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2.94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4.31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4.31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2.67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55.9</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2.91</w:t>
            </w:r>
          </w:p>
        </w:tc>
      </w:tr>
    </w:tbl>
    <w:p>
      <w:pPr>
        <w:widowControl/>
        <w:jc w:val="center"/>
        <w:textAlignment w:val="center"/>
        <w:sectPr>
          <w:pgSz w:w="16838" w:h="11906" w:orient="landscape"/>
          <w:pgMar w:top="1531" w:right="2098" w:bottom="1531" w:left="1984"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hint="default" w:ascii="Arial" w:hAnsi="Arial" w:cs="Arial" w:eastAsiaTheme="minorEastAsia"/>
                <w:color w:val="000000"/>
                <w:sz w:val="18"/>
                <w:szCs w:val="18"/>
                <w:lang w:val="en-US" w:eastAsia="zh-CN"/>
              </w:rPr>
            </w:pPr>
            <w:r>
              <w:rPr>
                <w:rFonts w:hint="eastAsia" w:ascii="Arial" w:hAnsi="Arial" w:cs="Arial"/>
                <w:color w:val="000000"/>
                <w:sz w:val="18"/>
                <w:szCs w:val="18"/>
                <w:lang w:val="en-US" w:eastAsia="zh-CN"/>
              </w:rPr>
              <w:t>保定市满城区总工会</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2.67</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2.67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2.67</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843"/>
        <w:gridCol w:w="53"/>
        <w:gridCol w:w="53"/>
        <w:gridCol w:w="2440"/>
        <w:gridCol w:w="1020"/>
        <w:gridCol w:w="1020"/>
        <w:gridCol w:w="1020"/>
        <w:gridCol w:w="1020"/>
        <w:gridCol w:w="1020"/>
        <w:gridCol w:w="1021"/>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hint="default" w:ascii="Arial" w:hAnsi="Arial" w:cs="Arial" w:eastAsiaTheme="minorEastAsia"/>
                <w:color w:val="000000"/>
                <w:sz w:val="18"/>
                <w:szCs w:val="18"/>
                <w:lang w:val="en-US" w:eastAsia="zh-CN"/>
              </w:rPr>
            </w:pPr>
            <w:r>
              <w:rPr>
                <w:rFonts w:hint="eastAsia" w:ascii="Arial" w:hAnsi="Arial" w:cs="Arial"/>
                <w:color w:val="000000"/>
                <w:sz w:val="18"/>
                <w:szCs w:val="18"/>
                <w:lang w:val="en-US" w:eastAsia="zh-CN"/>
              </w:rPr>
              <w:t>保定市满城区总工会</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注：本部门本年度无相关收入（或支出、收支及结转结余等）情况，按要求空表列示。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保定市满城区总工会</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sz w:val="20"/>
          <w:szCs w:val="22"/>
        </w:rPr>
        <w:t>注：本部门本年度无相关收入（或支出、收支及结转结余等）情况，按要求空表列示。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pgBorders>
            <w:top w:val="none" w:sz="0" w:space="0"/>
            <w:left w:val="none" w:sz="0" w:space="0"/>
            <w:bottom w:val="none" w:sz="0" w:space="0"/>
            <w:right w:val="none" w:sz="0" w:space="0"/>
          </w:pgBorders>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 UI 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CC57C"/>
    <w:multiLevelType w:val="singleLevel"/>
    <w:tmpl w:val="8D6CC57C"/>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18668E"/>
    <w:rsid w:val="001B73D2"/>
    <w:rsid w:val="001E62BF"/>
    <w:rsid w:val="00293E7B"/>
    <w:rsid w:val="002D1F4F"/>
    <w:rsid w:val="00366D90"/>
    <w:rsid w:val="003D678E"/>
    <w:rsid w:val="00801F66"/>
    <w:rsid w:val="009334BF"/>
    <w:rsid w:val="01D64704"/>
    <w:rsid w:val="02BA1999"/>
    <w:rsid w:val="02CA1337"/>
    <w:rsid w:val="058B71E0"/>
    <w:rsid w:val="06415073"/>
    <w:rsid w:val="0EA325C9"/>
    <w:rsid w:val="175758AB"/>
    <w:rsid w:val="19A47DC8"/>
    <w:rsid w:val="1C0954E4"/>
    <w:rsid w:val="26634F4F"/>
    <w:rsid w:val="2AFA2728"/>
    <w:rsid w:val="2FB96948"/>
    <w:rsid w:val="303F0C1A"/>
    <w:rsid w:val="309C53AA"/>
    <w:rsid w:val="3327616A"/>
    <w:rsid w:val="33F27630"/>
    <w:rsid w:val="34C45458"/>
    <w:rsid w:val="35C83C42"/>
    <w:rsid w:val="38174395"/>
    <w:rsid w:val="38D66B9B"/>
    <w:rsid w:val="3DA734C3"/>
    <w:rsid w:val="41A0466D"/>
    <w:rsid w:val="446C7C45"/>
    <w:rsid w:val="4871114A"/>
    <w:rsid w:val="4C087BD6"/>
    <w:rsid w:val="50EC2873"/>
    <w:rsid w:val="518E359C"/>
    <w:rsid w:val="52B776E4"/>
    <w:rsid w:val="53FE58F4"/>
    <w:rsid w:val="555D21FE"/>
    <w:rsid w:val="5AF64DC6"/>
    <w:rsid w:val="5D0C63C4"/>
    <w:rsid w:val="5F405463"/>
    <w:rsid w:val="690356CA"/>
    <w:rsid w:val="6E0B394D"/>
    <w:rsid w:val="707F1949"/>
    <w:rsid w:val="73D824BD"/>
    <w:rsid w:val="74704835"/>
    <w:rsid w:val="759D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bmp"/><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6</TotalTime>
  <ScaleCrop>false</ScaleCrop>
  <LinksUpToDate>false</LinksUpToDate>
  <CharactersWithSpaces>11585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2023-11-08T03:20:21Z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65FA352BAB5146309CB066C800874C19</vt:lpwstr>
  </property>
</Properties>
</file>