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5926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txbxContent>
            </v:textbox>
          </v:shape>
        </w:pict>
      </w:r>
      <w:r>
        <w:pict>
          <v:shape id="椭圆 8" o:spid="_x0000_s1027" o:spt="3" type="#_x0000_t3" style="position:absolute;left:0pt;margin-left:53.5pt;margin-top:232.45pt;height:121.95pt;width:121.95pt;z-index:251660288;v-text-anchor:middle;mso-width-relative:page;mso-height-relative:page;" stroked="f" coordsize="21600,21600">
            <v:path/>
            <v:fill focussize="0,0"/>
            <v:stroke on="f" weight="1pt" joinstyle="miter"/>
            <v:imagedata o:title=""/>
            <o:lock v:ext="edit"/>
            <v:textbox>
              <w:txbxContent>
                <w:p/>
              </w:txbxContent>
            </v:textbox>
          </v:shape>
        </w:pict>
      </w:r>
      <w:r>
        <w:pict>
          <v:shape id="椭圆 9" o:spid="_x0000_s1029" o:spt="3" type="#_x0000_t3" style="position:absolute;left:0pt;margin-left:62.2pt;margin-top:242.75pt;height:103.45pt;width:103.45pt;z-index:251662336;v-text-anchor:middle;mso-width-relative:page;mso-height-relative:page;" fillcolor="#1F2959" filled="t" stroked="f" coordsize="21600,21600">
            <v:path/>
            <v:fill on="t" focussize="0,0"/>
            <v:stroke on="f" weight="1pt" joinstyle="miter"/>
            <v:imagedata o:title=""/>
            <o:lock v:ext="edit"/>
            <v:textbox>
              <w:txbxContent>
                <w:p>
                  <w:pPr>
                    <w:rPr>
                      <w:rFonts w:hint="default" w:eastAsia="等线"/>
                      <w:color w:val="FFFF00"/>
                      <w:sz w:val="56"/>
                      <w:szCs w:val="56"/>
                      <w:lang w:val="en-US" w:eastAsia="zh-CN"/>
                    </w:rPr>
                  </w:pPr>
                  <w:r>
                    <w:rPr>
                      <w:rFonts w:hint="eastAsia"/>
                      <w:color w:val="FFFF00"/>
                      <w:sz w:val="56"/>
                      <w:szCs w:val="56"/>
                      <w:lang w:val="en-US" w:eastAsia="zh-CN"/>
                    </w:rPr>
                    <w:t>2019</w:t>
                  </w:r>
                </w:p>
              </w:txbxContent>
            </v:textbox>
          </v:shape>
        </w:pict>
      </w:r>
      <w:r>
        <w:pict>
          <v:group id="_x0000_s1030" o:spid="_x0000_s1030" o:spt="203" style="position:absolute;left:0pt;margin-left:1.25pt;margin-top:821.7pt;height:21.45pt;width:595.25pt;z-index:251663360;mso-width-relative:page;mso-height-relative:page;" coordorigin="1483,16692" coordsize="11905,429203">
            <o:lock v:ext="edit"/>
            <v:rect id="矩形 6" o:spid="_x0000_s1031" o:spt="1" style="position:absolute;left:1483;top:16692;height:428;width:1125;v-text-anchor:middle;" fillcolor="#FDBC11" filled="t" stroked="f" coordsize="21600,21600">
              <v:path/>
              <v:fill on="t" focussize="0,0"/>
              <v:stroke on="f" weight="1pt"/>
              <v:imagedata o:title=""/>
              <o:lock v:ext="edit"/>
            </v:rect>
            <v:rect id="矩形 7" o:spid="_x0000_s1032" o:spt="1" style="position:absolute;left:2608;top:16693;height:428;width:10780;v-text-anchor:middle;" fillcolor="#1F2959" filled="t" stroked="f" coordsize="21600,21600">
              <v:path/>
              <v:fill on="t" focussize="0,0"/>
              <v:stroke on="f" weight="1pt"/>
              <v:imagedata o:title=""/>
              <o:lock v:ext="edit"/>
            </v:rect>
          </v:group>
        </w:pict>
      </w:r>
      <w:r>
        <w:pict>
          <v:group id="_x0000_s1033" o:spid="_x0000_s1033" o:spt="203" style="position:absolute;left:0pt;margin-left:-2.5pt;margin-top:-3.35pt;height:69.6pt;width:600.25pt;z-index:-251646976;mso-width-relative:page;mso-height-relative:page;" coordorigin="13622,-66719" coordsize="12005,1392046">
            <o:lock v:ext="edit"/>
            <v:rect id="矩形 5" o:spid="_x0000_s1034" o:spt="1" style="position:absolute;left:13622;top:283;height:6170;width:12005;v-text-anchor:middle;" fillcolor="#FDBC11" filled="t" stroked="f" coordsize="21600,21600">
              <v:path/>
              <v:fill on="t" focussize="0,0"/>
              <v:stroke on="f" weight="1pt"/>
              <v:imagedata o:title=""/>
              <o:lock v:ext="edit"/>
            </v:rect>
            <v:shape id="_x0000_s1035" o:spid="_x0000_s1035"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36" o:spt="1" style="position:absolute;left:0pt;margin-left:184.75pt;margin-top:286.6pt;height:31.25pt;width:339.65pt;mso-wrap-style:none;z-index:251664384;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pict>
          <v:rect id="矩形 14" o:spid="_x0000_s1028" o:spt="1" style="position:absolute;left:0pt;margin-left:-48.15pt;margin-top:127.45pt;height:74.85pt;width:168.85pt;z-index:251661312;mso-width-relative:page;mso-height-relative:page;" filled="f" stroked="f" coordsize="21600,21600">
            <v:path/>
            <v:fill on="f" focussize="0,0"/>
            <v:stroke on="f"/>
            <v:imagedata o:title=""/>
            <o:lock v:ext="edit" aspectratio="f"/>
            <v:textbox>
              <w:txbxContent>
                <w:p>
                  <w:pPr>
                    <w:spacing w:line="360" w:lineRule="auto"/>
                    <w:jc w:val="center"/>
                    <w:rPr>
                      <w:kern w:val="0"/>
                      <w:sz w:val="44"/>
                      <w:szCs w:val="44"/>
                    </w:rPr>
                  </w:pPr>
                  <w:r>
                    <w:rPr>
                      <w:rFonts w:hint="eastAsia" w:ascii="Yu Gothic UI Semibold" w:hAnsi="Yu Gothic UI Semibold" w:eastAsia="宋体"/>
                      <w:color w:val="FFFFFF"/>
                      <w:kern w:val="24"/>
                      <w:sz w:val="44"/>
                      <w:szCs w:val="44"/>
                      <w:lang w:val="en-US" w:eastAsia="zh-CN"/>
                    </w:rPr>
                    <w:t>2019</w:t>
                  </w:r>
                  <w:r>
                    <w:rPr>
                      <w:rFonts w:ascii="Yu Gothic UI Semibold" w:hAnsi="Yu Gothic UI Semibold" w:eastAsia="宋体"/>
                      <w:color w:val="FFFFFF"/>
                      <w:kern w:val="24"/>
                      <w:sz w:val="44"/>
                      <w:szCs w:val="44"/>
                    </w:rPr>
                    <w:t>2019</w:t>
                  </w:r>
                </w:p>
              </w:txbxContent>
            </v:textbox>
          </v:rect>
        </w:pict>
      </w: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中共保定市满城区工商业联合会</w:t>
      </w:r>
      <w:r>
        <w:rPr>
          <w:rFonts w:ascii="楷体_GB2312" w:hAnsi="楷体_GB2312" w:eastAsia="楷体_GB2312" w:cs="楷体_GB2312"/>
          <w:color w:val="000000"/>
          <w:kern w:val="0"/>
          <w:sz w:val="44"/>
          <w:szCs w:val="44"/>
        </w:rPr>
        <w:t xml:space="preserve"> </w:t>
      </w:r>
    </w:p>
    <w:p>
      <w:pPr>
        <w:snapToGrid w:val="0"/>
        <w:jc w:val="center"/>
        <w:rPr>
          <w:rFonts w:ascii="楷体_GB2312" w:hAnsi="楷体_GB2312" w:eastAsia="楷体_GB2312" w:cs="楷体_GB2312"/>
          <w:color w:val="000000"/>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Times New Roman"/>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Times New Roman"/>
          <w:sz w:val="32"/>
          <w:szCs w:val="32"/>
        </w:rPr>
      </w:pPr>
      <w:r>
        <w:rPr>
          <w:rFonts w:hint="eastAsia" w:ascii="宋体" w:hAnsi="宋体" w:eastAsia="宋体" w:cs="宋体"/>
          <w:sz w:val="32"/>
          <w:szCs w:val="32"/>
        </w:rPr>
        <w:t>一、部门职责</w:t>
      </w:r>
    </w:p>
    <w:p>
      <w:pPr>
        <w:widowControl/>
        <w:spacing w:after="160" w:line="580" w:lineRule="exact"/>
        <w:ind w:firstLine="1273" w:firstLineChars="398"/>
        <w:rPr>
          <w:rFonts w:ascii="Times New Roman" w:hAnsi="Times New Roman" w:eastAsia="Times New Roman"/>
          <w:sz w:val="32"/>
          <w:szCs w:val="32"/>
        </w:rPr>
      </w:pPr>
      <w:r>
        <w:rPr>
          <w:rFonts w:hint="eastAsia" w:ascii="宋体" w:hAnsi="宋体" w:eastAsia="宋体" w:cs="宋体"/>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Times New Roman"/>
          <w:sz w:val="32"/>
          <w:szCs w:val="32"/>
        </w:rPr>
      </w:pPr>
      <w:r>
        <w:rPr>
          <w:rFonts w:hint="eastAsia" w:ascii="宋体" w:hAnsi="宋体" w:eastAsia="宋体" w:cs="宋体"/>
          <w:sz w:val="32"/>
          <w:szCs w:val="32"/>
        </w:rPr>
        <w:t>一、收入支出决算总体情况说明</w:t>
      </w:r>
    </w:p>
    <w:p>
      <w:pPr>
        <w:widowControl/>
        <w:spacing w:after="160" w:line="580" w:lineRule="exact"/>
        <w:ind w:left="640" w:firstLine="640" w:firstLineChars="200"/>
        <w:rPr>
          <w:rFonts w:ascii="Times New Roman" w:hAnsi="Times New Roman" w:eastAsia="Times New Roman"/>
          <w:sz w:val="32"/>
          <w:szCs w:val="32"/>
        </w:rPr>
      </w:pPr>
      <w:r>
        <w:rPr>
          <w:rFonts w:hint="eastAsia" w:ascii="宋体" w:hAnsi="宋体" w:eastAsia="宋体" w:cs="宋体"/>
          <w:sz w:val="32"/>
          <w:szCs w:val="32"/>
        </w:rPr>
        <w:t>二、收入决算情况说明</w:t>
      </w:r>
    </w:p>
    <w:p>
      <w:pPr>
        <w:widowControl/>
        <w:spacing w:after="160" w:line="580" w:lineRule="exact"/>
        <w:ind w:left="640" w:firstLine="640" w:firstLineChars="200"/>
        <w:rPr>
          <w:rFonts w:ascii="Times New Roman" w:hAnsi="Times New Roman" w:eastAsia="Times New Roman"/>
          <w:sz w:val="32"/>
          <w:szCs w:val="32"/>
        </w:rPr>
      </w:pPr>
      <w:r>
        <w:rPr>
          <w:rFonts w:hint="eastAsia" w:ascii="宋体" w:hAnsi="宋体" w:eastAsia="宋体" w:cs="宋体"/>
          <w:sz w:val="32"/>
          <w:szCs w:val="32"/>
        </w:rPr>
        <w:t>三、支出决算情况说明</w:t>
      </w:r>
    </w:p>
    <w:p>
      <w:pPr>
        <w:widowControl/>
        <w:spacing w:after="160" w:line="580" w:lineRule="exact"/>
        <w:ind w:left="640" w:firstLine="640" w:firstLineChars="200"/>
        <w:rPr>
          <w:rFonts w:ascii="Times New Roman" w:hAnsi="Times New Roman" w:eastAsia="Times New Roman"/>
          <w:sz w:val="32"/>
          <w:szCs w:val="32"/>
        </w:rPr>
      </w:pPr>
      <w:r>
        <w:rPr>
          <w:rFonts w:hint="eastAsia" w:ascii="宋体" w:hAnsi="宋体" w:eastAsia="宋体" w:cs="宋体"/>
          <w:sz w:val="32"/>
          <w:szCs w:val="32"/>
        </w:rPr>
        <w:t>四、财政拨款收入支出决算总体情况说明</w:t>
      </w:r>
    </w:p>
    <w:p>
      <w:pPr>
        <w:widowControl/>
        <w:spacing w:after="160" w:line="580" w:lineRule="exact"/>
        <w:ind w:left="640" w:firstLine="640" w:firstLineChars="200"/>
        <w:rPr>
          <w:rFonts w:ascii="Times New Roman" w:hAnsi="Times New Roman" w:eastAsia="Times New Roman"/>
          <w:sz w:val="32"/>
          <w:szCs w:val="32"/>
        </w:rPr>
      </w:pPr>
      <w:r>
        <w:rPr>
          <w:rFonts w:hint="eastAsia" w:ascii="宋体" w:hAnsi="宋体" w:eastAsia="宋体" w:cs="宋体"/>
          <w:sz w:val="32"/>
          <w:szCs w:val="32"/>
        </w:rPr>
        <w:t>五、一般公共预算</w:t>
      </w:r>
      <w:r>
        <w:rPr>
          <w:rFonts w:ascii="Times New Roman" w:hAnsi="Times New Roman" w:eastAsia="Times New Roman"/>
          <w:sz w:val="32"/>
          <w:szCs w:val="32"/>
        </w:rPr>
        <w:t>“</w:t>
      </w:r>
      <w:r>
        <w:rPr>
          <w:rFonts w:hint="eastAsia" w:ascii="宋体" w:hAnsi="宋体" w:eastAsia="宋体" w:cs="宋体"/>
          <w:sz w:val="32"/>
          <w:szCs w:val="32"/>
        </w:rPr>
        <w:t>三公</w:t>
      </w:r>
      <w:r>
        <w:rPr>
          <w:rFonts w:ascii="Times New Roman" w:hAnsi="Times New Roman" w:eastAsia="Times New Roman"/>
          <w:sz w:val="32"/>
          <w:szCs w:val="32"/>
        </w:rPr>
        <w:t>”</w:t>
      </w:r>
      <w:r>
        <w:rPr>
          <w:rFonts w:hint="eastAsia" w:ascii="宋体" w:hAnsi="宋体" w:eastAsia="宋体" w:cs="宋体"/>
          <w:sz w:val="32"/>
          <w:szCs w:val="32"/>
        </w:rPr>
        <w:t>经费支出决算情况说明</w:t>
      </w:r>
    </w:p>
    <w:p>
      <w:pPr>
        <w:widowControl/>
        <w:spacing w:after="160" w:line="580" w:lineRule="exact"/>
        <w:ind w:left="640" w:firstLine="640" w:firstLineChars="200"/>
        <w:rPr>
          <w:rFonts w:ascii="Times New Roman" w:hAnsi="Times New Roman" w:eastAsia="Times New Roman"/>
          <w:sz w:val="32"/>
          <w:szCs w:val="32"/>
        </w:rPr>
      </w:pPr>
      <w:r>
        <w:rPr>
          <w:rFonts w:hint="eastAsia" w:ascii="宋体" w:hAnsi="宋体" w:eastAsia="宋体" w:cs="宋体"/>
          <w:sz w:val="32"/>
          <w:szCs w:val="32"/>
        </w:rPr>
        <w:t>六、预算绩效情况说明</w:t>
      </w:r>
    </w:p>
    <w:p>
      <w:pPr>
        <w:widowControl/>
        <w:spacing w:after="160" w:line="580" w:lineRule="exact"/>
        <w:ind w:left="640" w:firstLine="640" w:firstLineChars="200"/>
        <w:rPr>
          <w:rFonts w:ascii="Times New Roman" w:hAnsi="Times New Roman" w:eastAsia="Times New Roman"/>
          <w:sz w:val="32"/>
          <w:szCs w:val="32"/>
        </w:rPr>
      </w:pPr>
      <w:r>
        <w:rPr>
          <w:rFonts w:hint="eastAsia" w:ascii="宋体" w:hAnsi="宋体" w:eastAsia="宋体" w:cs="宋体"/>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Times New Roman"/>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37" o:spid="_x0000_s1037" o:spt="202" type="#_x0000_t202" style="position:absolute;left:0pt;margin-left:-85.7pt;margin-top:80.7pt;height:263.1pt;width:613.65pt;z-index:251665408;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ascii="??_GB2312" w:eastAsia="Times New Roman"/>
          <w:sz w:val="32"/>
          <w:szCs w:val="32"/>
        </w:rPr>
      </w:pPr>
      <w:r>
        <w:rPr>
          <w:rFonts w:ascii="??_GB2312" w:hAnsi="??_GB2312" w:eastAsia="Times New Roman" w:cs="??_GB2312"/>
          <w:sz w:val="32"/>
          <w:szCs w:val="32"/>
        </w:rPr>
        <w:t xml:space="preserve">  </w:t>
      </w:r>
      <w:r>
        <w:rPr>
          <w:rFonts w:ascii="??_GB2312" w:eastAsia="Times New Roman"/>
          <w:b/>
          <w:bCs/>
          <w:sz w:val="32"/>
          <w:szCs w:val="32"/>
        </w:rPr>
        <w:t>（</w:t>
      </w:r>
      <w:r>
        <w:rPr>
          <w:rFonts w:ascii="??_GB2312" w:eastAsia="Times New Roman"/>
          <w:sz w:val="32"/>
          <w:szCs w:val="32"/>
        </w:rPr>
        <w:t>一）参与国家事务和政治、经济、社会等重大事项，发挥民主监督的作用，作好代表人士的政治安排的推荐工作，对当地的有关法律、法规、政策的制订提出建议并协助贯彻执行。（二）发扬自我教育的优良传统，宣传国家的方针政策，加强和改进思想政治工作，对会员进行团结、帮助、引导、教育，鼓励会员率先致富，提倡爱国、敬业、守法，不断提高会员素质，培养一支骨干分子队伍。（三）维护会员的合法权益，反映会员的意见、要求和建议，在会员与政府之间发挥桥梁作用，当好政府管理非公有制经济的助手。（四）为会员和社会提供市场、人才、技术、商品等信息，按照国家有关规定，为会员提供管理、法律、会计、审计、融资、咨询等服务。（五）开展工商专业培训，帮助会员改善经营管理，提高生产、技术和产品质量，拓宽销售渠道增加收入，提高社会效益和经济效益。（六）组织会员举办和参加必要的对内对外展销会、交易会等，如因需要还可组织会员出国考察访问，帮助会员开拓国内、国际市场。（七）为会员提供必要的证明，协调有关方面的关系，为会员和民间企业调解经济纠纷及相关矛盾。（八）增进与台、港、澳地区和全国各地工商社团及工商经济界人士联系和友谊，促进经济、技术和贸易合作的发展，协助引进资金、技术、项目和人才。</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_GB2312" w:hAnsi="Calibri" w:eastAsia="Times New Roman" w:cs="ArialUnicodeMS"/>
          <w:kern w:val="0"/>
          <w:sz w:val="32"/>
          <w:szCs w:val="32"/>
        </w:rPr>
      </w:pPr>
      <w:r>
        <w:rPr>
          <w:rFonts w:ascii="??_GB2312" w:hAnsi="Calibri" w:eastAsia="Times New Roman" w:cs="ArialUnicodeMS"/>
          <w:kern w:val="0"/>
          <w:sz w:val="32"/>
          <w:szCs w:val="32"/>
        </w:rPr>
        <w:t>从决算编报单位构成看，纳入2019 年度本部门决算汇编范围的独立核算单位（以下简称“单位”）共1 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_GB2312" w:hAnsi="Calibri" w:eastAsia="Times New Roman" w:cs="ArialUnicodeMS"/>
                <w:b/>
                <w:bCs/>
                <w:kern w:val="0"/>
                <w:sz w:val="28"/>
                <w:szCs w:val="28"/>
              </w:rPr>
            </w:pPr>
            <w:r>
              <w:rPr>
                <w:rFonts w:ascii="??_GB2312" w:hAnsi="Calibri" w:eastAsia="Times New Roman" w:cs="ArialUnicodeMS"/>
                <w:b/>
                <w:bCs/>
                <w:kern w:val="0"/>
                <w:sz w:val="28"/>
                <w:szCs w:val="28"/>
              </w:rPr>
              <w:t>序号</w:t>
            </w:r>
          </w:p>
        </w:tc>
        <w:tc>
          <w:tcPr>
            <w:tcW w:w="3485" w:type="dxa"/>
            <w:vAlign w:val="center"/>
          </w:tcPr>
          <w:p>
            <w:pPr>
              <w:spacing w:line="560" w:lineRule="exact"/>
              <w:jc w:val="center"/>
              <w:rPr>
                <w:rFonts w:ascii="??_GB2312" w:hAnsi="Calibri" w:eastAsia="Times New Roman" w:cs="ArialUnicodeMS"/>
                <w:b/>
                <w:bCs/>
                <w:kern w:val="0"/>
                <w:sz w:val="28"/>
                <w:szCs w:val="28"/>
              </w:rPr>
            </w:pPr>
            <w:r>
              <w:rPr>
                <w:rFonts w:ascii="??_GB2312" w:hAnsi="Calibri" w:eastAsia="Times New Roman" w:cs="ArialUnicodeMS"/>
                <w:b/>
                <w:bCs/>
                <w:kern w:val="0"/>
                <w:sz w:val="28"/>
                <w:szCs w:val="28"/>
              </w:rPr>
              <w:t>单位名称</w:t>
            </w:r>
          </w:p>
        </w:tc>
        <w:tc>
          <w:tcPr>
            <w:tcW w:w="2445" w:type="dxa"/>
            <w:vAlign w:val="center"/>
          </w:tcPr>
          <w:p>
            <w:pPr>
              <w:spacing w:line="560" w:lineRule="exact"/>
              <w:jc w:val="center"/>
              <w:rPr>
                <w:rFonts w:ascii="??_GB2312" w:hAnsi="Calibri" w:eastAsia="Times New Roman" w:cs="ArialUnicodeMS"/>
                <w:b/>
                <w:bCs/>
                <w:kern w:val="0"/>
                <w:sz w:val="28"/>
                <w:szCs w:val="28"/>
              </w:rPr>
            </w:pPr>
            <w:r>
              <w:rPr>
                <w:rFonts w:ascii="??_GB2312" w:hAnsi="Calibri" w:eastAsia="Times New Roman" w:cs="ArialUnicodeMS"/>
                <w:b/>
                <w:bCs/>
                <w:kern w:val="0"/>
                <w:sz w:val="28"/>
                <w:szCs w:val="28"/>
              </w:rPr>
              <w:t>单位基本性质</w:t>
            </w:r>
          </w:p>
        </w:tc>
        <w:tc>
          <w:tcPr>
            <w:tcW w:w="2665" w:type="dxa"/>
            <w:vAlign w:val="center"/>
          </w:tcPr>
          <w:p>
            <w:pPr>
              <w:spacing w:line="560" w:lineRule="exact"/>
              <w:jc w:val="center"/>
              <w:rPr>
                <w:rFonts w:ascii="??_GB2312" w:hAnsi="Calibri" w:eastAsia="Times New Roman" w:cs="ArialUnicodeMS"/>
                <w:b/>
                <w:bCs/>
                <w:kern w:val="0"/>
                <w:sz w:val="28"/>
                <w:szCs w:val="28"/>
              </w:rPr>
            </w:pPr>
            <w:r>
              <w:rPr>
                <w:rFonts w:ascii="??_GB2312" w:hAnsi="Calibri" w:eastAsia="Times New Roman"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_GB2312" w:hAnsi="Calibri" w:eastAsia="Times New Roman" w:cs="ArialUnicodeMS"/>
                <w:kern w:val="0"/>
                <w:sz w:val="28"/>
                <w:szCs w:val="28"/>
              </w:rPr>
            </w:pPr>
            <w:r>
              <w:rPr>
                <w:rFonts w:ascii="??_GB2312" w:hAnsi="Calibri" w:eastAsia="Times New Roman" w:cs="ArialUnicodeMS"/>
                <w:kern w:val="0"/>
                <w:sz w:val="28"/>
                <w:szCs w:val="28"/>
              </w:rPr>
              <w:t>1</w:t>
            </w:r>
          </w:p>
        </w:tc>
        <w:tc>
          <w:tcPr>
            <w:tcW w:w="3485" w:type="dxa"/>
          </w:tcPr>
          <w:p>
            <w:pPr>
              <w:spacing w:line="560" w:lineRule="exact"/>
              <w:rPr>
                <w:rFonts w:ascii="??_GB2312" w:hAnsi="Calibri" w:eastAsia="Times New Roman" w:cs="ArialUnicodeMS"/>
                <w:kern w:val="0"/>
                <w:sz w:val="28"/>
                <w:szCs w:val="28"/>
              </w:rPr>
            </w:pPr>
            <w:r>
              <w:rPr>
                <w:rFonts w:ascii="??_GB2312" w:hAnsi="Cambria" w:eastAsia="Times New Roman" w:cs="ArialUnicodeMS"/>
                <w:kern w:val="0"/>
                <w:sz w:val="28"/>
                <w:szCs w:val="28"/>
              </w:rPr>
              <w:t>保定市满城区工商业联合会</w:t>
            </w:r>
          </w:p>
        </w:tc>
        <w:tc>
          <w:tcPr>
            <w:tcW w:w="2445" w:type="dxa"/>
          </w:tcPr>
          <w:p>
            <w:pPr>
              <w:spacing w:line="560" w:lineRule="exact"/>
              <w:jc w:val="center"/>
              <w:rPr>
                <w:rFonts w:ascii="??_GB2312" w:hAnsi="Calibri" w:eastAsia="Times New Roman" w:cs="ArialUnicodeMS"/>
                <w:kern w:val="0"/>
                <w:sz w:val="28"/>
                <w:szCs w:val="28"/>
              </w:rPr>
            </w:pPr>
            <w:r>
              <w:rPr>
                <w:rFonts w:ascii="??_GB2312" w:hAnsi="Calibri" w:eastAsia="Times New Roman" w:cs="ArialUnicodeMS"/>
                <w:kern w:val="0"/>
                <w:sz w:val="28"/>
                <w:szCs w:val="28"/>
              </w:rPr>
              <w:t>行政单位</w:t>
            </w:r>
          </w:p>
        </w:tc>
        <w:tc>
          <w:tcPr>
            <w:tcW w:w="2665" w:type="dxa"/>
          </w:tcPr>
          <w:p>
            <w:pPr>
              <w:spacing w:line="560" w:lineRule="exact"/>
              <w:jc w:val="center"/>
              <w:rPr>
                <w:rFonts w:ascii="??_GB2312" w:hAnsi="Calibri" w:eastAsia="Times New Roman" w:cs="ArialUnicodeMS"/>
                <w:kern w:val="0"/>
                <w:sz w:val="28"/>
                <w:szCs w:val="28"/>
              </w:rPr>
            </w:pPr>
            <w:r>
              <w:rPr>
                <w:rFonts w:ascii="??_GB2312" w:hAnsi="Calibri" w:eastAsia="Times New Roman" w:cs="ArialUnicodeMS"/>
                <w:kern w:val="0"/>
                <w:sz w:val="28"/>
                <w:szCs w:val="28"/>
              </w:rPr>
              <w:t>财政拨款</w:t>
            </w: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38" o:spid="_x0000_s1038" o:spt="202" type="#_x0000_t202" style="position:absolute;left:0pt;margin-left:-85.7pt;margin-top:238.15pt;height:173.25pt;width:613.65pt;z-index:251665408;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39" o:spid="_x0000_s1039" o:spt="202" type="#_x0000_t202" style="position:absolute;left:0pt;margin-left:-90.8pt;margin-top:4.35pt;height:263.1pt;width:613.65pt;z-index:25166643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_GB2312" w:hAnsi="Times New Roman" w:eastAsia="Times New Roman" w:cs="DengXian-Regular"/>
          <w:sz w:val="32"/>
          <w:szCs w:val="32"/>
        </w:rPr>
      </w:pPr>
      <w:r>
        <w:rPr>
          <w:rFonts w:ascii="??_GB2312" w:hAnsi="Times New Roman" w:eastAsia="Times New Roman" w:cs="DengXian-Regular"/>
          <w:sz w:val="32"/>
          <w:szCs w:val="32"/>
        </w:rPr>
        <w:t>本部门2019年度收入总计（含结转和结余）</w:t>
      </w:r>
      <w:r>
        <w:rPr>
          <w:rFonts w:ascii="??_GB2312" w:hAnsi="??_GB2312" w:eastAsia="Times New Roman" w:cs="??_GB2312"/>
          <w:sz w:val="32"/>
          <w:szCs w:val="32"/>
        </w:rPr>
        <w:t>62.42</w:t>
      </w:r>
      <w:r>
        <w:rPr>
          <w:rFonts w:ascii="??_GB2312" w:hAnsi="Times New Roman" w:eastAsia="Times New Roman" w:cs="DengXian-Regular"/>
          <w:sz w:val="32"/>
          <w:szCs w:val="32"/>
        </w:rPr>
        <w:t>万元。与2018年度决算相比，收入减少</w:t>
      </w:r>
      <w:r>
        <w:rPr>
          <w:rFonts w:ascii="??_GB2312" w:hAnsi="??_GB2312" w:eastAsia="Times New Roman" w:cs="??_GB2312"/>
          <w:sz w:val="32"/>
          <w:szCs w:val="32"/>
        </w:rPr>
        <w:t>85.52</w:t>
      </w:r>
      <w:r>
        <w:rPr>
          <w:rFonts w:ascii="??_GB2312" w:hAnsi="Times New Roman" w:eastAsia="Times New Roman" w:cs="DengXian-Regular"/>
          <w:sz w:val="32"/>
          <w:szCs w:val="32"/>
        </w:rPr>
        <w:t>万元</w:t>
      </w:r>
      <w:r>
        <w:rPr>
          <w:rFonts w:hint="eastAsia" w:ascii="??_GB2312" w:hAnsi="Times New Roman" w:eastAsia="宋体" w:cs="DengXian-Regular"/>
          <w:sz w:val="32"/>
          <w:szCs w:val="32"/>
          <w:lang w:eastAsia="zh-CN"/>
        </w:rPr>
        <w:t>，</w:t>
      </w:r>
      <w:r>
        <w:rPr>
          <w:rFonts w:hint="eastAsia" w:ascii="??_GB2312" w:hAnsi="Times New Roman" w:eastAsia="宋体" w:cs="DengXian-Regular"/>
          <w:sz w:val="32"/>
          <w:szCs w:val="32"/>
          <w:lang w:val="en-US" w:eastAsia="zh-CN"/>
        </w:rPr>
        <w:t>降低57.81%</w:t>
      </w:r>
      <w:r>
        <w:rPr>
          <w:rFonts w:ascii="??_GB2312" w:hAnsi="Times New Roman" w:eastAsia="Times New Roman" w:cs="DengXian-Regular"/>
          <w:sz w:val="32"/>
          <w:szCs w:val="32"/>
        </w:rPr>
        <w:t>，主要原因</w:t>
      </w:r>
      <w:r>
        <w:rPr>
          <w:rFonts w:hint="eastAsia" w:ascii="宋体" w:hAnsi="宋体" w:eastAsia="宋体" w:cs="宋体"/>
          <w:sz w:val="32"/>
          <w:szCs w:val="32"/>
        </w:rPr>
        <w:t>是</w:t>
      </w:r>
      <w:r>
        <w:rPr>
          <w:rFonts w:ascii="??_GB2312" w:hAnsi="??_GB2312" w:eastAsia="Times New Roman" w:cs="??_GB2312"/>
          <w:sz w:val="32"/>
          <w:szCs w:val="32"/>
        </w:rPr>
        <w:t>2019</w:t>
      </w:r>
      <w:r>
        <w:rPr>
          <w:rFonts w:hint="eastAsia" w:ascii="宋体" w:hAnsi="宋体" w:eastAsia="宋体" w:cs="宋体"/>
          <w:sz w:val="32"/>
          <w:szCs w:val="32"/>
        </w:rPr>
        <w:t>年机关工委新分设决算账户</w:t>
      </w:r>
      <w:r>
        <w:rPr>
          <w:rFonts w:ascii="??_GB2312" w:hAnsi="Times New Roman" w:eastAsia="Times New Roman" w:cs="DengXian-Regular"/>
          <w:sz w:val="32"/>
          <w:szCs w:val="32"/>
        </w:rPr>
        <w:t>。支出总计（含结转和结余）</w:t>
      </w:r>
      <w:r>
        <w:rPr>
          <w:rFonts w:ascii="??_GB2312" w:hAnsi="??_GB2312" w:eastAsia="Times New Roman" w:cs="??_GB2312"/>
          <w:sz w:val="32"/>
          <w:szCs w:val="32"/>
        </w:rPr>
        <w:t>62.42</w:t>
      </w:r>
      <w:r>
        <w:rPr>
          <w:rFonts w:ascii="??_GB2312" w:hAnsi="Times New Roman" w:eastAsia="Times New Roman" w:cs="DengXian-Regular"/>
          <w:sz w:val="32"/>
          <w:szCs w:val="32"/>
        </w:rPr>
        <w:t>万元。与2018年度决算相比，支出减少</w:t>
      </w:r>
      <w:r>
        <w:rPr>
          <w:rFonts w:ascii="??_GB2312" w:hAnsi="??_GB2312" w:eastAsia="Times New Roman" w:cs="??_GB2312"/>
          <w:sz w:val="32"/>
          <w:szCs w:val="32"/>
        </w:rPr>
        <w:t>85.52</w:t>
      </w:r>
      <w:r>
        <w:rPr>
          <w:rFonts w:ascii="??_GB2312" w:hAnsi="Times New Roman" w:eastAsia="Times New Roman" w:cs="DengXian-Regular"/>
          <w:sz w:val="32"/>
          <w:szCs w:val="32"/>
        </w:rPr>
        <w:t>万元，</w:t>
      </w:r>
      <w:r>
        <w:rPr>
          <w:rFonts w:hint="eastAsia" w:ascii="??_GB2312" w:hAnsi="Times New Roman" w:eastAsia="宋体" w:cs="DengXian-Regular"/>
          <w:sz w:val="32"/>
          <w:szCs w:val="32"/>
          <w:lang w:val="en-US" w:eastAsia="zh-CN"/>
        </w:rPr>
        <w:t>降低57.81%。</w:t>
      </w:r>
      <w:r>
        <w:rPr>
          <w:rFonts w:ascii="??_GB2312" w:hAnsi="Times New Roman" w:eastAsia="Times New Roman" w:cs="DengXian-Regular"/>
          <w:sz w:val="32"/>
          <w:szCs w:val="32"/>
        </w:rPr>
        <w:t>主要原因是</w:t>
      </w:r>
      <w:r>
        <w:rPr>
          <w:rFonts w:ascii="??_GB2312" w:hAnsi="??_GB2312" w:eastAsia="Times New Roman" w:cs="??_GB2312"/>
          <w:sz w:val="32"/>
          <w:szCs w:val="32"/>
        </w:rPr>
        <w:t>2019</w:t>
      </w:r>
      <w:r>
        <w:rPr>
          <w:rFonts w:hint="eastAsia" w:ascii="宋体" w:hAnsi="宋体" w:eastAsia="宋体" w:cs="宋体"/>
          <w:sz w:val="32"/>
          <w:szCs w:val="32"/>
        </w:rPr>
        <w:t>年机关工委新分设决算账户</w:t>
      </w:r>
      <w:r>
        <w:rPr>
          <w:rFonts w:ascii="??_GB2312" w:hAnsi="Times New Roman" w:eastAsia="Times New Roman"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_GB2312" w:hAnsi="Times New Roman" w:eastAsia="Times New Roman" w:cs="DengXian-Regular"/>
          <w:sz w:val="32"/>
          <w:szCs w:val="32"/>
        </w:rPr>
      </w:pPr>
      <w:r>
        <w:rPr>
          <w:rFonts w:ascii="??_GB2312" w:hAnsi="Times New Roman" w:eastAsia="Times New Roman" w:cs="DengXian-Regular"/>
          <w:sz w:val="32"/>
          <w:szCs w:val="32"/>
        </w:rPr>
        <w:t>本部门2019年度本年收入合计</w:t>
      </w:r>
      <w:r>
        <w:rPr>
          <w:rFonts w:ascii="??_GB2312" w:hAnsi="??_GB2312" w:eastAsia="Times New Roman" w:cs="??_GB2312"/>
          <w:sz w:val="32"/>
          <w:szCs w:val="32"/>
        </w:rPr>
        <w:t>62.42</w:t>
      </w:r>
      <w:r>
        <w:rPr>
          <w:rFonts w:ascii="??_GB2312" w:hAnsi="Times New Roman" w:eastAsia="Times New Roman" w:cs="DengXian-Regular"/>
          <w:sz w:val="32"/>
          <w:szCs w:val="32"/>
        </w:rPr>
        <w:t>万元，其中：财政拨款收入</w:t>
      </w:r>
      <w:r>
        <w:rPr>
          <w:rFonts w:ascii="??_GB2312" w:hAnsi="??_GB2312" w:eastAsia="Times New Roman" w:cs="??_GB2312"/>
          <w:sz w:val="32"/>
          <w:szCs w:val="32"/>
        </w:rPr>
        <w:t>62.42</w:t>
      </w:r>
      <w:r>
        <w:rPr>
          <w:rFonts w:ascii="??_GB2312" w:hAnsi="Times New Roman" w:eastAsia="Times New Roman" w:cs="DengXian-Regular"/>
          <w:sz w:val="32"/>
          <w:szCs w:val="32"/>
        </w:rPr>
        <w:t>万元，占100%</w:t>
      </w:r>
      <w:r>
        <w:rPr>
          <w:rFonts w:hint="eastAsia" w:ascii="??_GB2312" w:hAnsi="Times New Roman" w:eastAsia="宋体" w:cs="DengXian-Regular"/>
          <w:sz w:val="32"/>
          <w:szCs w:val="32"/>
          <w:lang w:eastAsia="zh-CN"/>
        </w:rPr>
        <w:t>；</w:t>
      </w:r>
      <w:r>
        <w:rPr>
          <w:rFonts w:hint="eastAsia" w:ascii="??_GB2312" w:hAnsi="Times New Roman" w:eastAsia="Times New Roman" w:cs="DengXian-Regular"/>
          <w:sz w:val="32"/>
          <w:szCs w:val="32"/>
        </w:rPr>
        <w:t>事业收入0万元，占0</w:t>
      </w:r>
      <w:r>
        <w:rPr>
          <w:rFonts w:ascii="??_GB2312" w:hAnsi="Times New Roman" w:eastAsia="Times New Roman" w:cs="DengXian-Regular"/>
          <w:sz w:val="32"/>
          <w:szCs w:val="32"/>
        </w:rPr>
        <w:t>%</w:t>
      </w:r>
      <w:r>
        <w:rPr>
          <w:rFonts w:hint="eastAsia" w:ascii="??_GB2312" w:hAnsi="Times New Roman" w:eastAsia="Times New Roman" w:cs="DengXian-Regular"/>
          <w:sz w:val="32"/>
          <w:szCs w:val="32"/>
        </w:rPr>
        <w:t>；经营收入0万元，占0</w:t>
      </w:r>
      <w:r>
        <w:rPr>
          <w:rFonts w:ascii="??_GB2312" w:hAnsi="Times New Roman" w:eastAsia="Times New Roman" w:cs="DengXian-Regular"/>
          <w:sz w:val="32"/>
          <w:szCs w:val="32"/>
        </w:rPr>
        <w:t>%</w:t>
      </w:r>
      <w:r>
        <w:rPr>
          <w:rFonts w:hint="eastAsia" w:ascii="??_GB2312" w:hAnsi="Times New Roman" w:eastAsia="Times New Roman" w:cs="DengXian-Regular"/>
          <w:sz w:val="32"/>
          <w:szCs w:val="32"/>
        </w:rPr>
        <w:t>；其他收入0万元，占0</w:t>
      </w:r>
      <w:r>
        <w:rPr>
          <w:rFonts w:ascii="??_GB2312" w:hAnsi="Times New Roman" w:eastAsia="Times New Roman" w:cs="DengXian-Regular"/>
          <w:sz w:val="32"/>
          <w:szCs w:val="32"/>
        </w:rPr>
        <w:t>%</w:t>
      </w:r>
      <w:r>
        <w:rPr>
          <w:rFonts w:hint="eastAsia" w:ascii="??_GB2312" w:hAnsi="Times New Roman" w:eastAsia="Times New Roman"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hint="default" w:ascii="黑体" w:hAnsi="Calibri" w:eastAsia="宋体"/>
          <w:b/>
          <w:bCs/>
          <w:sz w:val="32"/>
          <w:szCs w:val="32"/>
          <w:lang w:val="en-US" w:eastAsia="zh-CN"/>
        </w:rPr>
      </w:pPr>
      <w:r>
        <w:rPr>
          <w:rFonts w:ascii="??_GB2312" w:hAnsi="Times New Roman" w:eastAsia="Times New Roman" w:cs="DengXian-Regular"/>
          <w:sz w:val="32"/>
          <w:szCs w:val="32"/>
        </w:rPr>
        <w:t>本部门2019年度本年支出合计</w:t>
      </w:r>
      <w:r>
        <w:rPr>
          <w:rFonts w:ascii="??_GB2312" w:hAnsi="??_GB2312" w:eastAsia="Times New Roman" w:cs="??_GB2312"/>
          <w:sz w:val="32"/>
          <w:szCs w:val="32"/>
        </w:rPr>
        <w:t>62.42</w:t>
      </w:r>
      <w:r>
        <w:rPr>
          <w:rFonts w:ascii="??_GB2312" w:hAnsi="Times New Roman" w:eastAsia="Times New Roman" w:cs="DengXian-Regular"/>
          <w:sz w:val="32"/>
          <w:szCs w:val="32"/>
        </w:rPr>
        <w:t>万元，其中：基本支出</w:t>
      </w:r>
      <w:r>
        <w:rPr>
          <w:rFonts w:ascii="??_GB2312" w:hAnsi="??_GB2312" w:eastAsia="Times New Roman" w:cs="??_GB2312"/>
          <w:sz w:val="32"/>
          <w:szCs w:val="32"/>
        </w:rPr>
        <w:t>62.42</w:t>
      </w:r>
      <w:r>
        <w:rPr>
          <w:rFonts w:ascii="??_GB2312" w:hAnsi="Times New Roman" w:eastAsia="Times New Roman" w:cs="DengXian-Regular"/>
          <w:sz w:val="32"/>
          <w:szCs w:val="32"/>
        </w:rPr>
        <w:t>万元，占100%。</w:t>
      </w:r>
      <w:r>
        <w:rPr>
          <w:rFonts w:hint="eastAsia" w:ascii="??_GB2312" w:hAnsi="Times New Roman" w:eastAsia="宋体" w:cs="DengXian-Regular"/>
          <w:sz w:val="32"/>
          <w:szCs w:val="32"/>
          <w:lang w:val="en-US" w:eastAsia="zh-CN"/>
        </w:rPr>
        <w:t>项目支出0万元，占0%。</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_GB2312" w:hAnsi="Times New Roman" w:eastAsia="Times New Roman" w:cs="DengXian-Regular"/>
          <w:sz w:val="32"/>
          <w:szCs w:val="32"/>
        </w:rPr>
      </w:pPr>
      <w:r>
        <w:rPr>
          <w:rFonts w:ascii="??_GB2312" w:hAnsi="Times New Roman" w:eastAsia="Times New Roman" w:cs="DengXian-Regular"/>
          <w:sz w:val="32"/>
          <w:szCs w:val="32"/>
        </w:rPr>
        <w:t>本部门2019年度形成的财政拨款收支均为一般公共预算财政拨款，其中本年收入62.42万元,比2018年度减少</w:t>
      </w:r>
      <w:r>
        <w:rPr>
          <w:rFonts w:ascii="??_GB2312" w:hAnsi="??_GB2312" w:eastAsia="Times New Roman" w:cs="??_GB2312"/>
          <w:sz w:val="32"/>
          <w:szCs w:val="32"/>
        </w:rPr>
        <w:t>85.52</w:t>
      </w:r>
      <w:r>
        <w:rPr>
          <w:rFonts w:ascii="??_GB2312" w:hAnsi="Times New Roman" w:eastAsia="Times New Roman" w:cs="DengXian-Regular"/>
          <w:sz w:val="32"/>
          <w:szCs w:val="32"/>
        </w:rPr>
        <w:t>万元，</w:t>
      </w:r>
      <w:r>
        <w:rPr>
          <w:rFonts w:hint="eastAsia" w:ascii="??_GB2312" w:hAnsi="Times New Roman" w:eastAsia="宋体" w:cs="DengXian-Regular"/>
          <w:sz w:val="32"/>
          <w:szCs w:val="32"/>
          <w:lang w:val="en-US" w:eastAsia="zh-CN"/>
        </w:rPr>
        <w:t>降低57.81%，</w:t>
      </w:r>
      <w:r>
        <w:rPr>
          <w:rFonts w:ascii="??_GB2312" w:hAnsi="Times New Roman" w:eastAsia="Times New Roman" w:cs="DengXian-Regular"/>
          <w:sz w:val="32"/>
          <w:szCs w:val="32"/>
        </w:rPr>
        <w:t>主要是</w:t>
      </w:r>
      <w:r>
        <w:rPr>
          <w:rFonts w:ascii="??_GB2312" w:hAnsi="??_GB2312" w:eastAsia="Times New Roman" w:cs="??_GB2312"/>
          <w:sz w:val="32"/>
          <w:szCs w:val="32"/>
        </w:rPr>
        <w:t>2019</w:t>
      </w:r>
      <w:r>
        <w:rPr>
          <w:rFonts w:hint="eastAsia" w:ascii="宋体" w:hAnsi="宋体" w:eastAsia="宋体" w:cs="宋体"/>
          <w:sz w:val="32"/>
          <w:szCs w:val="32"/>
        </w:rPr>
        <w:t>年机关工委新分设决算账户</w:t>
      </w:r>
      <w:r>
        <w:rPr>
          <w:rFonts w:ascii="??_GB2312" w:hAnsi="Times New Roman" w:eastAsia="Times New Roman" w:cs="DengXian-Regular"/>
          <w:sz w:val="32"/>
          <w:szCs w:val="32"/>
        </w:rPr>
        <w:t>；本年支出62.42万元，减少</w:t>
      </w:r>
      <w:r>
        <w:rPr>
          <w:rFonts w:ascii="??_GB2312" w:hAnsi="??_GB2312" w:eastAsia="Times New Roman" w:cs="??_GB2312"/>
          <w:sz w:val="32"/>
          <w:szCs w:val="32"/>
        </w:rPr>
        <w:t>85.52</w:t>
      </w:r>
      <w:r>
        <w:rPr>
          <w:rFonts w:ascii="??_GB2312" w:hAnsi="Times New Roman" w:eastAsia="Times New Roman" w:cs="DengXian-Regular"/>
          <w:sz w:val="32"/>
          <w:szCs w:val="32"/>
        </w:rPr>
        <w:t>万元，</w:t>
      </w:r>
      <w:r>
        <w:rPr>
          <w:rFonts w:hint="eastAsia" w:ascii="??_GB2312" w:hAnsi="Times New Roman" w:eastAsia="宋体" w:cs="DengXian-Regular"/>
          <w:sz w:val="32"/>
          <w:szCs w:val="32"/>
          <w:lang w:val="en-US" w:eastAsia="zh-CN"/>
        </w:rPr>
        <w:t>降低57.81%，</w:t>
      </w:r>
      <w:r>
        <w:rPr>
          <w:rFonts w:ascii="??_GB2312" w:hAnsi="Times New Roman" w:eastAsia="Times New Roman" w:cs="DengXian-Regular"/>
          <w:sz w:val="32"/>
          <w:szCs w:val="32"/>
        </w:rPr>
        <w:t>主要是</w:t>
      </w:r>
      <w:r>
        <w:rPr>
          <w:rFonts w:ascii="??_GB2312" w:hAnsi="??_GB2312" w:eastAsia="Times New Roman" w:cs="??_GB2312"/>
          <w:sz w:val="32"/>
          <w:szCs w:val="32"/>
        </w:rPr>
        <w:t>2019</w:t>
      </w:r>
      <w:r>
        <w:rPr>
          <w:rFonts w:hint="eastAsia" w:ascii="宋体" w:hAnsi="宋体" w:eastAsia="宋体" w:cs="宋体"/>
          <w:sz w:val="32"/>
          <w:szCs w:val="32"/>
        </w:rPr>
        <w:t>年机关工委新分设决算账户</w:t>
      </w:r>
      <w:r>
        <w:rPr>
          <w:rFonts w:ascii="??_GB2312" w:hAnsi="Times New Roman" w:eastAsia="Times New Roman" w:cs="DengXian-Regular"/>
          <w:sz w:val="32"/>
          <w:szCs w:val="32"/>
        </w:rPr>
        <w:t>。</w:t>
      </w:r>
    </w:p>
    <w:p>
      <w:pPr>
        <w:snapToGrid w:val="0"/>
        <w:spacing w:line="580" w:lineRule="exact"/>
        <w:ind w:firstLine="643" w:firstLineChars="200"/>
        <w:rPr>
          <w:rFonts w:ascii="??_GB2312" w:hAnsi="Times New Roman" w:eastAsia="Times New Roman"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_GB2312" w:hAnsi="Times New Roman" w:eastAsia="Times New Roman" w:cs="DengXian-Regular"/>
          <w:sz w:val="32"/>
          <w:szCs w:val="32"/>
        </w:rPr>
      </w:pPr>
      <w:r>
        <w:rPr>
          <w:rFonts w:ascii="??_GB2312" w:hAnsi="Times New Roman" w:eastAsia="Times New Roman" w:cs="DengXian-Regular"/>
          <w:sz w:val="32"/>
          <w:szCs w:val="32"/>
        </w:rPr>
        <w:t>本部门2019年度一般公共预算财政拨款收入</w:t>
      </w:r>
      <w:r>
        <w:rPr>
          <w:rFonts w:ascii="宋体" w:hAnsi="宋体" w:eastAsia="Times New Roman" w:cs="宋体"/>
          <w:sz w:val="32"/>
          <w:szCs w:val="32"/>
        </w:rPr>
        <w:t>62.42</w:t>
      </w:r>
      <w:r>
        <w:rPr>
          <w:rFonts w:ascii="??_GB2312" w:hAnsi="Times New Roman" w:eastAsia="Times New Roman" w:cs="DengXian-Regular"/>
          <w:sz w:val="32"/>
          <w:szCs w:val="32"/>
        </w:rPr>
        <w:t>万元，完成年初预算的77.91%,比年初预算减少17.7万元，</w:t>
      </w:r>
      <w:r>
        <w:rPr>
          <w:rFonts w:hint="eastAsia" w:ascii="??_GB2312" w:hAnsi="Times New Roman" w:eastAsia="宋体" w:cs="DengXian-Regular"/>
          <w:sz w:val="32"/>
          <w:szCs w:val="32"/>
          <w:lang w:val="en-US" w:eastAsia="zh-CN"/>
        </w:rPr>
        <w:t>降低</w:t>
      </w:r>
      <w:r>
        <w:rPr>
          <w:rFonts w:ascii="??_GB2312" w:hAnsi="Times New Roman" w:eastAsia="Times New Roman" w:cs="DengXian-Regular"/>
          <w:sz w:val="32"/>
          <w:szCs w:val="32"/>
        </w:rPr>
        <w:t>22.09%，决算数小于预算数主要</w:t>
      </w:r>
      <w:bookmarkStart w:id="0" w:name="_GoBack"/>
      <w:bookmarkEnd w:id="0"/>
      <w:r>
        <w:rPr>
          <w:rFonts w:hint="eastAsia" w:ascii="??_GB2312" w:hAnsi="Times New Roman" w:eastAsia="宋体" w:cs="DengXian-Regular"/>
          <w:sz w:val="32"/>
          <w:szCs w:val="32"/>
          <w:lang w:eastAsia="zh-CN"/>
        </w:rPr>
        <w:t>原因是</w:t>
      </w:r>
      <w:r>
        <w:rPr>
          <w:rFonts w:ascii="??_GB2312" w:hAnsi="Times New Roman" w:eastAsia="Times New Roman" w:cs="DengXian-Regular"/>
          <w:sz w:val="32"/>
          <w:szCs w:val="32"/>
        </w:rPr>
        <w:t>1名在岗人员退休，减少了人员经费支出；本年支出62.42万元，完成年初预算的77.91%,比年初预算减少17.7万元，</w:t>
      </w:r>
      <w:r>
        <w:rPr>
          <w:rFonts w:hint="eastAsia" w:ascii="??_GB2312" w:hAnsi="Times New Roman" w:eastAsia="宋体" w:cs="DengXian-Regular"/>
          <w:sz w:val="32"/>
          <w:szCs w:val="32"/>
          <w:lang w:val="en-US" w:eastAsia="zh-CN"/>
        </w:rPr>
        <w:t>降低</w:t>
      </w:r>
      <w:r>
        <w:rPr>
          <w:rFonts w:ascii="??_GB2312" w:hAnsi="Times New Roman" w:eastAsia="Times New Roman" w:cs="DengXian-Regular"/>
          <w:sz w:val="32"/>
          <w:szCs w:val="32"/>
        </w:rPr>
        <w:t>22.09%，决算数小于预算数主要原因是主要是由于1名在岗人员退休，减少了人员经费支出。</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pStyle w:val="14"/>
        <w:ind w:firstLine="640" w:firstLineChars="200"/>
        <w:rPr>
          <w:rFonts w:ascii="??_GB2312" w:hAnsi="??_GB2312" w:eastAsia="Times New Roman" w:cs="??_GB2312"/>
          <w:kern w:val="2"/>
          <w:sz w:val="32"/>
          <w:szCs w:val="32"/>
        </w:rPr>
      </w:pPr>
      <w:r>
        <w:rPr>
          <w:rFonts w:ascii="??_GB2312" w:hAnsi="Times New Roman" w:eastAsia="Times New Roman" w:cs="DengXian-Regular"/>
          <w:sz w:val="32"/>
          <w:szCs w:val="32"/>
        </w:rPr>
        <w:t>2019 年度财政拨款支出62.42万元，主要用于以下方面：一般公共服务（类）支出</w:t>
      </w:r>
      <w:r>
        <w:rPr>
          <w:rFonts w:ascii="??_GB2312" w:hAnsi="??_GB2312" w:eastAsia="Times New Roman" w:cs="??_GB2312"/>
          <w:kern w:val="2"/>
          <w:sz w:val="32"/>
          <w:szCs w:val="32"/>
        </w:rPr>
        <w:t>50</w:t>
      </w:r>
      <w:r>
        <w:rPr>
          <w:rFonts w:ascii="??_GB2312" w:hAnsi="Times New Roman" w:eastAsia="Times New Roman" w:cs="DengXian-Regular"/>
          <w:sz w:val="32"/>
          <w:szCs w:val="32"/>
        </w:rPr>
        <w:t>万元，占</w:t>
      </w:r>
      <w:r>
        <w:rPr>
          <w:rFonts w:ascii="??_GB2312" w:hAnsi="??_GB2312" w:eastAsia="Times New Roman" w:cs="??_GB2312"/>
          <w:kern w:val="2"/>
          <w:sz w:val="32"/>
          <w:szCs w:val="32"/>
        </w:rPr>
        <w:t>80.1</w:t>
      </w:r>
      <w:r>
        <w:rPr>
          <w:rFonts w:hint="eastAsia" w:ascii="??_GB2312" w:hAnsi="??_GB2312" w:eastAsia="宋体" w:cs="??_GB2312"/>
          <w:kern w:val="2"/>
          <w:sz w:val="32"/>
          <w:szCs w:val="32"/>
          <w:lang w:val="en-US" w:eastAsia="zh-CN"/>
        </w:rPr>
        <w:t>0</w:t>
      </w:r>
      <w:r>
        <w:rPr>
          <w:rFonts w:ascii="??_GB2312" w:hAnsi="Times New Roman" w:eastAsia="Times New Roman" w:cs="DengXian-Regular"/>
          <w:sz w:val="32"/>
          <w:szCs w:val="32"/>
        </w:rPr>
        <w:t>%；社会保障和就业（类）支出</w:t>
      </w:r>
      <w:r>
        <w:rPr>
          <w:rFonts w:ascii="??_GB2312" w:hAnsi="??_GB2312" w:eastAsia="Times New Roman" w:cs="??_GB2312"/>
          <w:kern w:val="2"/>
          <w:sz w:val="32"/>
          <w:szCs w:val="32"/>
        </w:rPr>
        <w:t>7.74</w:t>
      </w:r>
      <w:r>
        <w:rPr>
          <w:rFonts w:ascii="??_GB2312" w:hAnsi="Times New Roman" w:eastAsia="Times New Roman" w:cs="DengXian-Regular"/>
          <w:sz w:val="32"/>
          <w:szCs w:val="32"/>
        </w:rPr>
        <w:t>万元，占</w:t>
      </w:r>
      <w:r>
        <w:rPr>
          <w:rFonts w:ascii="??_GB2312" w:hAnsi="??_GB2312" w:eastAsia="Times New Roman" w:cs="??_GB2312"/>
          <w:kern w:val="2"/>
          <w:sz w:val="32"/>
          <w:szCs w:val="32"/>
        </w:rPr>
        <w:t>12.4</w:t>
      </w:r>
      <w:r>
        <w:rPr>
          <w:rFonts w:hint="eastAsia" w:ascii="??_GB2312" w:hAnsi="??_GB2312" w:eastAsia="宋体" w:cs="??_GB2312"/>
          <w:kern w:val="2"/>
          <w:sz w:val="32"/>
          <w:szCs w:val="32"/>
          <w:lang w:val="en-US" w:eastAsia="zh-CN"/>
        </w:rPr>
        <w:t>0</w:t>
      </w:r>
      <w:r>
        <w:rPr>
          <w:rFonts w:ascii="??_GB2312" w:hAnsi="Times New Roman" w:eastAsia="Times New Roman" w:cs="DengXian-Regular"/>
          <w:sz w:val="32"/>
          <w:szCs w:val="32"/>
        </w:rPr>
        <w:t>%；住房保障（类）支出</w:t>
      </w:r>
      <w:r>
        <w:rPr>
          <w:rFonts w:ascii="??_GB2312" w:hAnsi="??_GB2312" w:eastAsia="Times New Roman" w:cs="??_GB2312"/>
          <w:kern w:val="2"/>
          <w:sz w:val="32"/>
          <w:szCs w:val="32"/>
        </w:rPr>
        <w:t>2.73</w:t>
      </w:r>
      <w:r>
        <w:rPr>
          <w:rFonts w:ascii="??_GB2312" w:hAnsi="Times New Roman" w:eastAsia="Times New Roman" w:cs="DengXian-Regular"/>
          <w:sz w:val="32"/>
          <w:szCs w:val="32"/>
        </w:rPr>
        <w:t>万元，占</w:t>
      </w:r>
      <w:r>
        <w:rPr>
          <w:rFonts w:ascii="??_GB2312" w:hAnsi="??_GB2312" w:eastAsia="Times New Roman" w:cs="??_GB2312"/>
          <w:kern w:val="2"/>
          <w:sz w:val="32"/>
          <w:szCs w:val="32"/>
        </w:rPr>
        <w:t>4.36</w:t>
      </w:r>
      <w:r>
        <w:rPr>
          <w:rFonts w:ascii="??_GB2312" w:hAnsi="Times New Roman" w:eastAsia="Times New Roman" w:cs="DengXian-Regular"/>
          <w:sz w:val="32"/>
          <w:szCs w:val="32"/>
        </w:rPr>
        <w:t>%;</w:t>
      </w:r>
      <w:r>
        <w:rPr>
          <w:rFonts w:hint="eastAsia" w:ascii="宋体" w:hAnsi="宋体" w:eastAsia="宋体" w:cs="宋体"/>
          <w:kern w:val="2"/>
          <w:sz w:val="32"/>
          <w:szCs w:val="32"/>
        </w:rPr>
        <w:t>卫生健康支出</w:t>
      </w:r>
      <w:r>
        <w:rPr>
          <w:rFonts w:ascii="??_GB2312" w:hAnsi="??_GB2312" w:eastAsia="Times New Roman" w:cs="??_GB2312"/>
          <w:kern w:val="2"/>
          <w:sz w:val="32"/>
          <w:szCs w:val="32"/>
        </w:rPr>
        <w:t>1.96</w:t>
      </w:r>
      <w:r>
        <w:rPr>
          <w:rFonts w:hint="eastAsia" w:ascii="宋体" w:hAnsi="宋体" w:eastAsia="宋体" w:cs="宋体"/>
          <w:kern w:val="2"/>
          <w:sz w:val="32"/>
          <w:szCs w:val="32"/>
        </w:rPr>
        <w:t>万元，占总支出的</w:t>
      </w:r>
      <w:r>
        <w:rPr>
          <w:rFonts w:ascii="??_GB2312" w:hAnsi="??_GB2312" w:eastAsia="Times New Roman" w:cs="??_GB2312"/>
          <w:kern w:val="2"/>
          <w:sz w:val="32"/>
          <w:szCs w:val="32"/>
        </w:rPr>
        <w:t>3.14%</w:t>
      </w:r>
      <w:r>
        <w:rPr>
          <w:rFonts w:hint="eastAsia" w:ascii="宋体" w:hAnsi="宋体" w:eastAsia="宋体" w:cs="宋体"/>
          <w:kern w:val="2"/>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_GB2312" w:hAnsi="Times New Roman" w:eastAsia="Times New Roman" w:cs="DengXian-Regular"/>
          <w:sz w:val="32"/>
          <w:szCs w:val="32"/>
        </w:rPr>
      </w:pPr>
      <w:r>
        <w:rPr>
          <w:rFonts w:ascii="??_GB2312" w:hAnsi="Times New Roman" w:eastAsia="Times New Roman" w:cs="DengXian-Regular"/>
          <w:sz w:val="32"/>
          <w:szCs w:val="32"/>
        </w:rPr>
        <w:t xml:space="preserve">2019 年度财政拨款基本支出62.42万元，其中：人员经费 </w:t>
      </w:r>
      <w:r>
        <w:rPr>
          <w:rFonts w:ascii="??_GB2312" w:hAnsi="??_GB2312" w:eastAsia="Times New Roman" w:cs="??_GB2312"/>
          <w:sz w:val="32"/>
          <w:szCs w:val="32"/>
        </w:rPr>
        <w:t>54.65</w:t>
      </w:r>
      <w:r>
        <w:rPr>
          <w:rFonts w:ascii="??_GB2312" w:hAnsi="Times New Roman" w:eastAsia="Times New Roman" w:cs="DengXian-Regular"/>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退休费、生活补助、医疗费补助、奖励金、其他对个人和家庭的补助支出；公用经费 </w:t>
      </w:r>
      <w:r>
        <w:rPr>
          <w:rFonts w:ascii="??_GB2312" w:hAnsi="??_GB2312" w:eastAsia="Times New Roman" w:cs="??_GB2312"/>
          <w:sz w:val="32"/>
          <w:szCs w:val="32"/>
        </w:rPr>
        <w:t>7.77</w:t>
      </w:r>
      <w:r>
        <w:rPr>
          <w:rFonts w:ascii="??_GB2312" w:hAnsi="Times New Roman" w:eastAsia="Times New Roman" w:cs="DengXian-Regular"/>
          <w:sz w:val="32"/>
          <w:szCs w:val="32"/>
        </w:rPr>
        <w:t>万元，主要包括办公费、印刷费、邮电费、取暖费、物业管理费、培训费、公务用车运行维护费、其他交通费用、其他商品和服务支出、办公设备购置、其他资本性支出。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_GB2312" w:hAnsi="Times New Roman" w:eastAsia="Times New Roman" w:cs="DengXian-Regular"/>
          <w:sz w:val="32"/>
          <w:szCs w:val="32"/>
        </w:rPr>
      </w:pPr>
      <w:r>
        <w:rPr>
          <w:rFonts w:ascii="??_GB2312" w:hAnsi="Times New Roman" w:eastAsia="Times New Roman" w:cs="DengXian-Regular"/>
          <w:sz w:val="32"/>
          <w:szCs w:val="32"/>
        </w:rPr>
        <w:t>本部门2019年度“三公”经费支出共计</w:t>
      </w:r>
      <w:r>
        <w:rPr>
          <w:rFonts w:ascii="??_GB2312" w:hAnsi="??_GB2312" w:eastAsia="Times New Roman" w:cs="??_GB2312"/>
          <w:sz w:val="32"/>
          <w:szCs w:val="32"/>
        </w:rPr>
        <w:t>1.42</w:t>
      </w:r>
      <w:r>
        <w:rPr>
          <w:rFonts w:ascii="??_GB2312" w:hAnsi="Times New Roman" w:eastAsia="Times New Roman" w:cs="DengXian-Regular"/>
          <w:sz w:val="32"/>
          <w:szCs w:val="32"/>
        </w:rPr>
        <w:t>万元，完成预算的</w:t>
      </w:r>
      <w:r>
        <w:rPr>
          <w:rFonts w:ascii="??_GB2312" w:hAnsi="??_GB2312" w:eastAsia="Times New Roman" w:cs="??_GB2312"/>
          <w:sz w:val="32"/>
          <w:szCs w:val="32"/>
        </w:rPr>
        <w:t>56.8</w:t>
      </w:r>
      <w:r>
        <w:rPr>
          <w:rFonts w:ascii="??_GB2312" w:hAnsi="Times New Roman" w:eastAsia="Times New Roman" w:cs="DengXian-Regular"/>
          <w:sz w:val="32"/>
          <w:szCs w:val="32"/>
        </w:rPr>
        <w:t>%,较预算减少1.08万元，降低43.2</w:t>
      </w:r>
      <w:r>
        <w:rPr>
          <w:rFonts w:hint="eastAsia" w:ascii="??_GB2312" w:hAnsi="Times New Roman" w:eastAsia="宋体" w:cs="DengXian-Regular"/>
          <w:sz w:val="32"/>
          <w:szCs w:val="32"/>
          <w:lang w:val="en-US" w:eastAsia="zh-CN"/>
        </w:rPr>
        <w:t>0</w:t>
      </w:r>
      <w:r>
        <w:rPr>
          <w:rFonts w:ascii="??_GB2312" w:hAnsi="Times New Roman" w:eastAsia="Times New Roman" w:cs="DengXian-Regular"/>
          <w:sz w:val="32"/>
          <w:szCs w:val="32"/>
        </w:rPr>
        <w:t>%，主要是</w:t>
      </w:r>
      <w:r>
        <w:rPr>
          <w:rFonts w:hint="eastAsia" w:ascii="宋体" w:hAnsi="宋体" w:eastAsia="宋体" w:cs="宋体"/>
          <w:sz w:val="32"/>
          <w:szCs w:val="32"/>
        </w:rPr>
        <w:t>由于严格执行中央八项规定，减少公务用车运行费用</w:t>
      </w:r>
      <w:r>
        <w:rPr>
          <w:rFonts w:ascii="??_GB2312" w:hAnsi="Times New Roman" w:eastAsia="Times New Roman" w:cs="DengXian-Regular"/>
          <w:sz w:val="32"/>
          <w:szCs w:val="32"/>
        </w:rPr>
        <w:t>；较2018年度减少1.01万元，主要是</w:t>
      </w:r>
      <w:r>
        <w:rPr>
          <w:rFonts w:ascii="??_GB2312" w:hAnsi="??_GB2312" w:eastAsia="Times New Roman" w:cs="??_GB2312"/>
          <w:sz w:val="32"/>
          <w:szCs w:val="32"/>
        </w:rPr>
        <w:t>2019</w:t>
      </w:r>
      <w:r>
        <w:rPr>
          <w:rFonts w:hint="eastAsia" w:ascii="宋体" w:hAnsi="宋体" w:eastAsia="宋体" w:cs="宋体"/>
          <w:sz w:val="32"/>
          <w:szCs w:val="32"/>
        </w:rPr>
        <w:t>年机关工委新分设决算账户</w:t>
      </w:r>
      <w:r>
        <w:rPr>
          <w:rFonts w:ascii="??_GB2312" w:hAnsi="Times New Roman" w:eastAsia="Times New Roman" w:cs="DengXian-Regular"/>
          <w:sz w:val="32"/>
          <w:szCs w:val="32"/>
        </w:rPr>
        <w:t>。具体情况如下：</w:t>
      </w:r>
    </w:p>
    <w:p>
      <w:pPr>
        <w:adjustRightInd w:val="0"/>
        <w:snapToGrid w:val="0"/>
        <w:spacing w:line="580" w:lineRule="exact"/>
        <w:ind w:firstLine="643" w:firstLineChars="200"/>
        <w:rPr>
          <w:rFonts w:ascii="??_GB2312" w:hAnsi="Times New Roman" w:eastAsia="Times New Roman" w:cs="DengXian-Regular"/>
          <w:sz w:val="32"/>
          <w:szCs w:val="32"/>
        </w:rPr>
      </w:pPr>
      <w:r>
        <w:rPr>
          <w:rFonts w:hint="eastAsia" w:ascii="楷体_GB2312" w:hAnsi="Times New Roman" w:eastAsia="楷体_GB2312" w:cs="DengXian-Bold"/>
          <w:b/>
          <w:bCs/>
          <w:sz w:val="32"/>
          <w:szCs w:val="32"/>
        </w:rPr>
        <w:t>（一）因公出国（境）费支出</w:t>
      </w:r>
      <w:r>
        <w:rPr>
          <w:rFonts w:ascii="楷体_GB2312" w:hAnsi="Times New Roman" w:eastAsia="楷体_GB2312" w:cs="DengXian-Bold"/>
          <w:b/>
          <w:bCs/>
          <w:sz w:val="32"/>
          <w:szCs w:val="32"/>
        </w:rPr>
        <w:t>0</w:t>
      </w:r>
      <w:r>
        <w:rPr>
          <w:rFonts w:hint="eastAsia" w:ascii="楷体_GB2312" w:hAnsi="Times New Roman" w:eastAsia="楷体_GB2312" w:cs="DengXian-Bold"/>
          <w:b/>
          <w:bCs/>
          <w:sz w:val="32"/>
          <w:szCs w:val="32"/>
        </w:rPr>
        <w:t>万元。</w:t>
      </w:r>
      <w:r>
        <w:rPr>
          <w:rFonts w:ascii="??_GB2312" w:hAnsi="Times New Roman" w:eastAsia="Times New Roman" w:cs="DengXian-Regular"/>
          <w:sz w:val="32"/>
          <w:szCs w:val="32"/>
        </w:rPr>
        <w:t>本部门2019年度因公出国（境）团组0个、共0人/参加其他单位组织的因公出国（境）团组0个、共0人/无本单位组织的出国（境）团组。因公出国（境）费支出较预算增加0万元；较上年增加0万元。</w:t>
      </w:r>
    </w:p>
    <w:p>
      <w:pPr>
        <w:adjustRightInd w:val="0"/>
        <w:snapToGrid w:val="0"/>
        <w:spacing w:line="580" w:lineRule="exact"/>
        <w:ind w:firstLine="643" w:firstLineChars="200"/>
        <w:rPr>
          <w:rFonts w:ascii="??_GB2312" w:hAnsi="Times New Roman" w:eastAsia="Times New Roman" w:cs="DengXian-Bold"/>
          <w:b/>
          <w:bCs/>
          <w:sz w:val="32"/>
          <w:szCs w:val="32"/>
        </w:rPr>
      </w:pPr>
      <w:r>
        <w:rPr>
          <w:rFonts w:hint="eastAsia" w:ascii="楷体_GB2312" w:hAnsi="Times New Roman" w:eastAsia="楷体_GB2312" w:cs="DengXian-Bold"/>
          <w:b/>
          <w:bCs/>
          <w:sz w:val="32"/>
          <w:szCs w:val="32"/>
        </w:rPr>
        <w:t>（二）公务用车购置及运行维护费支出</w:t>
      </w:r>
      <w:r>
        <w:rPr>
          <w:rFonts w:ascii="楷体_GB2312" w:hAnsi="Times New Roman" w:eastAsia="楷体_GB2312" w:cs="DengXian-Bold"/>
          <w:b/>
          <w:bCs/>
          <w:sz w:val="32"/>
          <w:szCs w:val="32"/>
        </w:rPr>
        <w:t>1.42</w:t>
      </w:r>
      <w:r>
        <w:rPr>
          <w:rFonts w:hint="eastAsia" w:ascii="楷体_GB2312" w:hAnsi="Times New Roman" w:eastAsia="楷体_GB2312" w:cs="DengXian-Bold"/>
          <w:b/>
          <w:bCs/>
          <w:sz w:val="32"/>
          <w:szCs w:val="32"/>
        </w:rPr>
        <w:t>万元。</w:t>
      </w:r>
      <w:r>
        <w:rPr>
          <w:rFonts w:ascii="??_GB2312" w:hAnsi="Times New Roman" w:eastAsia="Times New Roman" w:cs="DengXian-Regular"/>
          <w:sz w:val="32"/>
          <w:szCs w:val="32"/>
        </w:rPr>
        <w:t>本部门2019年度公务用车购置及运行维护费较预算减少1.08万元，降低43.2</w:t>
      </w:r>
      <w:r>
        <w:rPr>
          <w:rFonts w:hint="eastAsia" w:ascii="??_GB2312" w:hAnsi="Times New Roman" w:eastAsia="宋体" w:cs="DengXian-Regular"/>
          <w:sz w:val="32"/>
          <w:szCs w:val="32"/>
          <w:lang w:val="en-US" w:eastAsia="zh-CN"/>
        </w:rPr>
        <w:t>0</w:t>
      </w:r>
      <w:r>
        <w:rPr>
          <w:rFonts w:ascii="??_GB2312" w:hAnsi="Times New Roman" w:eastAsia="Times New Roman" w:cs="DengXian-Regular"/>
          <w:sz w:val="32"/>
          <w:szCs w:val="32"/>
        </w:rPr>
        <w:t>%,主要是</w:t>
      </w:r>
      <w:r>
        <w:rPr>
          <w:rFonts w:hint="eastAsia" w:ascii="宋体" w:hAnsi="宋体" w:eastAsia="宋体" w:cs="宋体"/>
          <w:sz w:val="32"/>
          <w:szCs w:val="32"/>
        </w:rPr>
        <w:t>由于严格执行中央八项规定，减少公务用车运行费用</w:t>
      </w:r>
      <w:r>
        <w:rPr>
          <w:rFonts w:ascii="??_GB2312" w:hAnsi="Times New Roman" w:eastAsia="Times New Roman" w:cs="DengXian-Regular"/>
          <w:sz w:val="32"/>
          <w:szCs w:val="32"/>
        </w:rPr>
        <w:t>；较上年减少1.01万元,主要是</w:t>
      </w:r>
      <w:r>
        <w:rPr>
          <w:rFonts w:ascii="??_GB2312" w:hAnsi="??_GB2312" w:eastAsia="Times New Roman" w:cs="??_GB2312"/>
          <w:sz w:val="32"/>
          <w:szCs w:val="32"/>
        </w:rPr>
        <w:t>2019</w:t>
      </w:r>
      <w:r>
        <w:rPr>
          <w:rFonts w:hint="eastAsia" w:ascii="宋体" w:hAnsi="宋体" w:eastAsia="宋体" w:cs="宋体"/>
          <w:sz w:val="32"/>
          <w:szCs w:val="32"/>
        </w:rPr>
        <w:t>年机关工委新分设决算账户</w:t>
      </w:r>
      <w:r>
        <w:rPr>
          <w:rFonts w:ascii="??_GB2312" w:hAnsi="Times New Roman" w:eastAsia="Times New Roman" w:cs="DengXian-Regular"/>
          <w:sz w:val="32"/>
          <w:szCs w:val="32"/>
        </w:rPr>
        <w:t>。</w:t>
      </w:r>
      <w:r>
        <w:rPr>
          <w:rFonts w:ascii="??_GB2312" w:hAnsi="Times New Roman" w:eastAsia="Times New Roman" w:cs="DengXian-Bold"/>
          <w:b/>
          <w:bCs/>
          <w:sz w:val="32"/>
          <w:szCs w:val="32"/>
        </w:rPr>
        <w:t>其中：</w:t>
      </w:r>
    </w:p>
    <w:p>
      <w:pPr>
        <w:adjustRightInd w:val="0"/>
        <w:snapToGrid w:val="0"/>
        <w:spacing w:line="580" w:lineRule="exact"/>
        <w:ind w:firstLine="640" w:firstLineChars="200"/>
        <w:rPr>
          <w:rFonts w:ascii="??_GB2312" w:hAnsi="Times New Roman" w:eastAsia="Times New Roman" w:cs="DengXian-Regular"/>
          <w:sz w:val="32"/>
          <w:szCs w:val="32"/>
        </w:rPr>
      </w:pPr>
      <w:r>
        <w:rPr>
          <w:rFonts w:ascii="??_GB2312" w:hAnsi="Times New Roman" w:eastAsia="Times New Roman" w:cs="DengXian-Regular"/>
          <w:b/>
          <w:sz w:val="32"/>
          <w:szCs w:val="32"/>
        </w:rPr>
        <w:t>公务用车购置费：</w:t>
      </w:r>
      <w:r>
        <w:rPr>
          <w:rFonts w:ascii="??_GB2312" w:hAnsi="Times New Roman" w:eastAsia="Times New Roman" w:cs="DengXian-Regular"/>
          <w:sz w:val="32"/>
          <w:szCs w:val="32"/>
        </w:rPr>
        <w:t>本部门2019年度公务用车购置量0辆，发生“公务用车购置”经费支出0万元。公务用车购置费支出</w:t>
      </w:r>
      <w:r>
        <w:rPr>
          <w:rFonts w:ascii="??_GB2312" w:hAnsi="Times New Roman" w:eastAsia="Times New Roman" w:cs="DengXian-Regular"/>
          <w:color w:val="000000"/>
          <w:sz w:val="32"/>
          <w:szCs w:val="32"/>
        </w:rPr>
        <w:t>与年初预算持平</w:t>
      </w:r>
      <w:r>
        <w:rPr>
          <w:rFonts w:ascii="??_GB2312" w:hAnsi="Times New Roman" w:eastAsia="Times New Roman" w:cs="DengXian-Regular"/>
          <w:sz w:val="32"/>
          <w:szCs w:val="32"/>
        </w:rPr>
        <w:t>；</w:t>
      </w:r>
      <w:r>
        <w:rPr>
          <w:rFonts w:ascii="??_GB2312" w:hAnsi="Times New Roman" w:eastAsia="Times New Roman" w:cs="DengXian-Regular"/>
          <w:color w:val="000000"/>
          <w:sz w:val="32"/>
          <w:szCs w:val="32"/>
        </w:rPr>
        <w:t>与2018年度决算支出持平</w:t>
      </w:r>
      <w:r>
        <w:rPr>
          <w:rFonts w:ascii="??_GB2312" w:hAnsi="Times New Roman" w:eastAsia="Times New Roman" w:cs="DengXian-Regular"/>
          <w:sz w:val="32"/>
          <w:szCs w:val="32"/>
        </w:rPr>
        <w:t>。</w:t>
      </w:r>
    </w:p>
    <w:p>
      <w:pPr>
        <w:adjustRightInd w:val="0"/>
        <w:snapToGrid w:val="0"/>
        <w:spacing w:line="580" w:lineRule="exact"/>
        <w:ind w:firstLine="640" w:firstLineChars="200"/>
        <w:rPr>
          <w:rFonts w:ascii="??_GB2312" w:hAnsi="Times New Roman" w:eastAsia="Times New Roman" w:cs="DengXian-Regular"/>
          <w:sz w:val="32"/>
          <w:szCs w:val="32"/>
        </w:rPr>
      </w:pPr>
      <w:r>
        <w:rPr>
          <w:rFonts w:ascii="??_GB2312" w:hAnsi="Times New Roman" w:eastAsia="Times New Roman" w:cs="DengXian-Regular"/>
          <w:b/>
          <w:sz w:val="32"/>
          <w:szCs w:val="32"/>
        </w:rPr>
        <w:t>公务用车运行维护费：</w:t>
      </w:r>
      <w:r>
        <w:rPr>
          <w:rFonts w:ascii="??_GB2312" w:hAnsi="Times New Roman" w:eastAsia="Times New Roman" w:cs="DengXian-Regular"/>
          <w:sz w:val="32"/>
          <w:szCs w:val="32"/>
        </w:rPr>
        <w:t>本部门2019年度单位公务用车保有量2辆。公车运行维护费支出较预算减少1.08万元，降低43.2</w:t>
      </w:r>
      <w:r>
        <w:rPr>
          <w:rFonts w:hint="eastAsia" w:ascii="??_GB2312" w:hAnsi="Times New Roman" w:eastAsia="宋体" w:cs="DengXian-Regular"/>
          <w:sz w:val="32"/>
          <w:szCs w:val="32"/>
          <w:lang w:val="en-US" w:eastAsia="zh-CN"/>
        </w:rPr>
        <w:t>0</w:t>
      </w:r>
      <w:r>
        <w:rPr>
          <w:rFonts w:ascii="??_GB2312" w:hAnsi="Times New Roman" w:eastAsia="Times New Roman" w:cs="DengXian-Regular"/>
          <w:sz w:val="32"/>
          <w:szCs w:val="32"/>
        </w:rPr>
        <w:t>%,主要是</w:t>
      </w:r>
      <w:r>
        <w:rPr>
          <w:rFonts w:hint="eastAsia" w:ascii="宋体" w:hAnsi="宋体" w:eastAsia="宋体" w:cs="宋体"/>
          <w:sz w:val="32"/>
          <w:szCs w:val="32"/>
        </w:rPr>
        <w:t>由于严格执行中央八项规定，减少公务用车运行费用</w:t>
      </w:r>
      <w:r>
        <w:rPr>
          <w:rFonts w:ascii="??_GB2312" w:hAnsi="Times New Roman" w:eastAsia="Times New Roman" w:cs="DengXian-Regular"/>
          <w:sz w:val="32"/>
          <w:szCs w:val="32"/>
        </w:rPr>
        <w:t>；较上年减少1.01万元，主要是</w:t>
      </w:r>
      <w:r>
        <w:rPr>
          <w:rFonts w:ascii="??_GB2312" w:hAnsi="??_GB2312" w:eastAsia="Times New Roman" w:cs="??_GB2312"/>
          <w:sz w:val="32"/>
          <w:szCs w:val="32"/>
        </w:rPr>
        <w:t>2019</w:t>
      </w:r>
      <w:r>
        <w:rPr>
          <w:rFonts w:hint="eastAsia" w:ascii="宋体" w:hAnsi="宋体" w:eastAsia="宋体" w:cs="宋体"/>
          <w:sz w:val="32"/>
          <w:szCs w:val="32"/>
        </w:rPr>
        <w:t>年机关工委新分设决算账户</w:t>
      </w:r>
      <w:r>
        <w:rPr>
          <w:rFonts w:ascii="??_GB2312" w:hAnsi="Times New Roman" w:eastAsia="Times New Roman" w:cs="DengXian-Regular"/>
          <w:sz w:val="32"/>
          <w:szCs w:val="32"/>
        </w:rPr>
        <w:t>。</w:t>
      </w:r>
    </w:p>
    <w:p>
      <w:pPr>
        <w:adjustRightInd w:val="0"/>
        <w:snapToGrid w:val="0"/>
        <w:spacing w:line="580" w:lineRule="exact"/>
        <w:ind w:firstLine="643" w:firstLineChars="200"/>
        <w:rPr>
          <w:rFonts w:ascii="??_GB2312" w:hAnsi="Times New Roman" w:eastAsia="Times New Roman" w:cs="DengXian-Regular"/>
          <w:sz w:val="32"/>
          <w:szCs w:val="32"/>
        </w:rPr>
      </w:pPr>
      <w:r>
        <w:rPr>
          <w:rFonts w:hint="eastAsia" w:ascii="楷体_GB2312" w:hAnsi="Times New Roman" w:eastAsia="楷体_GB2312" w:cs="DengXian-Bold"/>
          <w:b/>
          <w:bCs/>
          <w:sz w:val="32"/>
          <w:szCs w:val="32"/>
        </w:rPr>
        <w:t>（三）公务接待费支出</w:t>
      </w:r>
      <w:r>
        <w:rPr>
          <w:rFonts w:ascii="楷体_GB2312" w:hAnsi="Times New Roman" w:eastAsia="楷体_GB2312" w:cs="DengXian-Bold"/>
          <w:b/>
          <w:bCs/>
          <w:sz w:val="32"/>
          <w:szCs w:val="32"/>
        </w:rPr>
        <w:t>0</w:t>
      </w:r>
      <w:r>
        <w:rPr>
          <w:rFonts w:hint="eastAsia" w:ascii="楷体_GB2312" w:hAnsi="Times New Roman" w:eastAsia="楷体_GB2312" w:cs="DengXian-Bold"/>
          <w:b/>
          <w:bCs/>
          <w:sz w:val="32"/>
          <w:szCs w:val="32"/>
        </w:rPr>
        <w:t>万元。</w:t>
      </w:r>
      <w:r>
        <w:rPr>
          <w:rFonts w:ascii="??_GB2312" w:hAnsi="Times New Roman" w:eastAsia="Times New Roman" w:cs="DengXian-Regular"/>
          <w:sz w:val="32"/>
          <w:szCs w:val="32"/>
        </w:rPr>
        <w:t>本部门2019年度公务接待共0批次、0人次。公务接待费支出为0，降低100%,主要是</w:t>
      </w:r>
      <w:r>
        <w:rPr>
          <w:rFonts w:hint="eastAsia" w:ascii="宋体" w:hAnsi="宋体" w:eastAsia="宋体" w:cs="宋体"/>
          <w:sz w:val="32"/>
          <w:szCs w:val="32"/>
        </w:rPr>
        <w:t>由于严格执行中央八项规定，减少公务接待费用</w:t>
      </w:r>
      <w:r>
        <w:rPr>
          <w:rFonts w:ascii="??_GB2312" w:hAnsi="Times New Roman" w:eastAsia="Times New Roman" w:cs="DengXian-Regular"/>
          <w:sz w:val="32"/>
          <w:szCs w:val="32"/>
        </w:rPr>
        <w:t>；</w:t>
      </w:r>
      <w:r>
        <w:rPr>
          <w:rFonts w:ascii="??_GB2312" w:hAnsi="Times New Roman" w:eastAsia="Times New Roman" w:cs="DengXian-Regular"/>
          <w:color w:val="000000"/>
          <w:sz w:val="32"/>
          <w:szCs w:val="32"/>
        </w:rPr>
        <w:t>与2018年度决算支出持平</w:t>
      </w:r>
      <w:r>
        <w:rPr>
          <w:rFonts w:ascii="??_GB2312" w:hAnsi="Times New Roman" w:eastAsia="Times New Roman" w:cs="DengXian-Regular"/>
          <w:sz w:val="32"/>
          <w:szCs w:val="32"/>
        </w:rPr>
        <w:t>。</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0" w:firstLineChars="200"/>
        <w:rPr>
          <w:rFonts w:ascii="??_GB2312" w:hAnsi="??_GB2312" w:eastAsia="Times New Roman" w:cs="??_GB2312"/>
          <w:b/>
          <w:bCs/>
          <w:sz w:val="32"/>
          <w:szCs w:val="32"/>
        </w:rPr>
      </w:pPr>
      <w:r>
        <w:rPr>
          <w:rFonts w:ascii="??_GB2312" w:hAnsi="??_GB2312" w:eastAsia="Times New Roman" w:cs="??_GB2312"/>
          <w:b/>
          <w:bCs/>
          <w:sz w:val="32"/>
          <w:szCs w:val="32"/>
        </w:rPr>
        <w:t xml:space="preserve">1. </w:t>
      </w:r>
      <w:r>
        <w:rPr>
          <w:rFonts w:hint="eastAsia" w:ascii="宋体" w:hAnsi="宋体" w:eastAsia="宋体" w:cs="宋体"/>
          <w:b/>
          <w:bCs/>
          <w:sz w:val="32"/>
          <w:szCs w:val="32"/>
        </w:rPr>
        <w:t>预算绩效管理工作开展情况。</w:t>
      </w:r>
    </w:p>
    <w:p>
      <w:pPr>
        <w:rPr>
          <w:rFonts w:ascii="宋体" w:eastAsia="宋体" w:cs="宋体"/>
          <w:sz w:val="32"/>
          <w:szCs w:val="32"/>
        </w:rPr>
      </w:pPr>
      <w:r>
        <w:rPr>
          <w:rFonts w:hint="eastAsia" w:ascii="宋体" w:hAnsi="宋体" w:eastAsia="宋体" w:cs="宋体"/>
          <w:sz w:val="32"/>
          <w:szCs w:val="32"/>
        </w:rPr>
        <w:t>根据预算绩效管理要求，本部门组织对</w:t>
      </w:r>
      <w:r>
        <w:rPr>
          <w:rFonts w:ascii="??_GB2312" w:hAnsi="??_GB2312" w:eastAsia="Times New Roman" w:cs="??_GB2312"/>
          <w:sz w:val="32"/>
          <w:szCs w:val="32"/>
        </w:rPr>
        <w:t>2019</w:t>
      </w:r>
      <w:r>
        <w:rPr>
          <w:rFonts w:hint="eastAsia" w:ascii="宋体" w:hAnsi="宋体" w:eastAsia="宋体" w:cs="宋体"/>
          <w:sz w:val="32"/>
          <w:szCs w:val="32"/>
        </w:rPr>
        <w:t>年度一般公共预算项目支出全面开展绩效自评，其中，一级项目</w:t>
      </w:r>
      <w:r>
        <w:rPr>
          <w:rFonts w:ascii="??_GB2312" w:hAnsi="??_GB2312" w:eastAsia="Times New Roman" w:cs="??_GB2312"/>
          <w:sz w:val="32"/>
          <w:szCs w:val="32"/>
        </w:rPr>
        <w:t>0</w:t>
      </w:r>
      <w:r>
        <w:rPr>
          <w:rFonts w:hint="eastAsia" w:ascii="宋体" w:hAnsi="宋体" w:eastAsia="宋体" w:cs="宋体"/>
          <w:sz w:val="32"/>
          <w:szCs w:val="32"/>
        </w:rPr>
        <w:t>个，二级项目</w:t>
      </w:r>
      <w:r>
        <w:rPr>
          <w:rFonts w:ascii="??_GB2312" w:hAnsi="??_GB2312" w:eastAsia="Times New Roman" w:cs="??_GB2312"/>
          <w:sz w:val="32"/>
          <w:szCs w:val="32"/>
        </w:rPr>
        <w:t>0</w:t>
      </w:r>
      <w:r>
        <w:rPr>
          <w:rFonts w:hint="eastAsia" w:ascii="宋体" w:hAnsi="宋体" w:eastAsia="宋体" w:cs="宋体"/>
          <w:sz w:val="32"/>
          <w:szCs w:val="32"/>
        </w:rPr>
        <w:t>个，共涉及资金</w:t>
      </w:r>
      <w:r>
        <w:rPr>
          <w:rFonts w:ascii="??_GB2312" w:hAnsi="??_GB2312" w:eastAsia="Times New Roman" w:cs="??_GB2312"/>
          <w:sz w:val="32"/>
          <w:szCs w:val="32"/>
        </w:rPr>
        <w:t>0</w:t>
      </w:r>
      <w:r>
        <w:rPr>
          <w:rFonts w:hint="eastAsia" w:ascii="宋体" w:hAnsi="宋体" w:eastAsia="宋体" w:cs="宋体"/>
          <w:sz w:val="32"/>
          <w:szCs w:val="32"/>
        </w:rPr>
        <w:t>万元。从评价情况来看，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580" w:lineRule="exact"/>
        <w:ind w:firstLine="640" w:firstLineChars="200"/>
        <w:rPr>
          <w:rFonts w:ascii="??_GB2312" w:hAnsi="??_GB2312" w:eastAsia="Times New Roman" w:cs="??_GB2312"/>
          <w:b/>
          <w:bCs/>
          <w:sz w:val="32"/>
          <w:szCs w:val="32"/>
        </w:rPr>
      </w:pPr>
      <w:r>
        <w:rPr>
          <w:rFonts w:ascii="??_GB2312" w:hAnsi="??_GB2312" w:eastAsia="Times New Roman" w:cs="??_GB2312"/>
          <w:b/>
          <w:bCs/>
          <w:sz w:val="32"/>
          <w:szCs w:val="32"/>
        </w:rPr>
        <w:t xml:space="preserve">2. </w:t>
      </w:r>
      <w:r>
        <w:rPr>
          <w:rFonts w:hint="eastAsia" w:ascii="宋体" w:hAnsi="宋体" w:eastAsia="宋体" w:cs="宋体"/>
          <w:b/>
          <w:bCs/>
          <w:sz w:val="32"/>
          <w:szCs w:val="32"/>
        </w:rPr>
        <w:t>部门决算中项目绩效自评结果。</w:t>
      </w:r>
    </w:p>
    <w:p>
      <w:pPr>
        <w:adjustRightInd w:val="0"/>
        <w:snapToGrid w:val="0"/>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本部门在今年部门决算公开中没有项目及项目绩效自评结果。</w:t>
      </w:r>
    </w:p>
    <w:p>
      <w:pPr>
        <w:adjustRightInd w:val="0"/>
        <w:snapToGrid w:val="0"/>
        <w:spacing w:line="580" w:lineRule="exact"/>
        <w:ind w:firstLine="640" w:firstLineChars="200"/>
        <w:rPr>
          <w:rFonts w:ascii="??_GB2312" w:hAnsi="??_GB2312" w:eastAsia="Times New Roman" w:cs="??_GB2312"/>
          <w:b/>
          <w:bCs/>
          <w:sz w:val="32"/>
          <w:szCs w:val="32"/>
        </w:rPr>
      </w:pPr>
      <w:r>
        <w:rPr>
          <w:rFonts w:ascii="??_GB2312" w:hAnsi="??_GB2312" w:eastAsia="Times New Roman" w:cs="??_GB2312"/>
          <w:b/>
          <w:bCs/>
          <w:sz w:val="32"/>
          <w:szCs w:val="32"/>
        </w:rPr>
        <w:t>3.重点项目绩效评价结果</w:t>
      </w:r>
    </w:p>
    <w:p>
      <w:pPr>
        <w:adjustRightInd w:val="0"/>
        <w:snapToGrid w:val="0"/>
        <w:spacing w:line="580" w:lineRule="exact"/>
        <w:ind w:firstLine="640" w:firstLineChars="200"/>
        <w:rPr>
          <w:rFonts w:ascii="??_GB2312" w:hAnsi="??_GB2312" w:eastAsia="Times New Roman" w:cs="??_GB2312"/>
          <w:bCs/>
          <w:sz w:val="32"/>
          <w:szCs w:val="32"/>
        </w:rPr>
      </w:pPr>
      <w:r>
        <w:rPr>
          <w:rFonts w:ascii="??_GB2312" w:hAnsi="??_GB2312" w:eastAsia="Times New Roman" w:cs="??_GB2312"/>
          <w:bCs/>
          <w:sz w:val="32"/>
          <w:szCs w:val="32"/>
        </w:rPr>
        <w:t>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_GB2312" w:hAnsi="Times New Roman" w:eastAsia="Times New Roman" w:cs="DengXian-Regular"/>
          <w:sz w:val="32"/>
          <w:szCs w:val="32"/>
        </w:rPr>
      </w:pPr>
      <w:r>
        <w:rPr>
          <w:rFonts w:ascii="??_GB2312" w:hAnsi="Times New Roman" w:eastAsia="Times New Roman" w:cs="DengXian-Regular"/>
          <w:sz w:val="32"/>
          <w:szCs w:val="32"/>
        </w:rPr>
        <w:t>本部门2019年度机关运行经费支出</w:t>
      </w:r>
      <w:r>
        <w:rPr>
          <w:rFonts w:ascii="??_GB2312" w:hAnsi="??_GB2312" w:eastAsia="Times New Roman" w:cs="??_GB2312"/>
          <w:sz w:val="32"/>
          <w:szCs w:val="32"/>
        </w:rPr>
        <w:t>7.77</w:t>
      </w:r>
      <w:r>
        <w:rPr>
          <w:rFonts w:ascii="??_GB2312" w:hAnsi="Times New Roman" w:eastAsia="Times New Roman" w:cs="DengXian-Regular"/>
          <w:sz w:val="32"/>
          <w:szCs w:val="32"/>
        </w:rPr>
        <w:t>万元，比2018年度减少</w:t>
      </w:r>
      <w:r>
        <w:rPr>
          <w:rFonts w:ascii="??_GB2312" w:hAnsi="??_GB2312" w:eastAsia="Times New Roman" w:cs="??_GB2312"/>
          <w:sz w:val="32"/>
          <w:szCs w:val="32"/>
        </w:rPr>
        <w:t>17.69</w:t>
      </w:r>
      <w:r>
        <w:rPr>
          <w:rFonts w:ascii="??_GB2312" w:hAnsi="Times New Roman" w:eastAsia="Times New Roman" w:cs="DengXian-Regular"/>
          <w:sz w:val="32"/>
          <w:szCs w:val="32"/>
        </w:rPr>
        <w:t>万元。主要原因是</w:t>
      </w:r>
      <w:r>
        <w:rPr>
          <w:rFonts w:ascii="??_GB2312" w:hAnsi="??_GB2312" w:eastAsia="Times New Roman" w:cs="??_GB2312"/>
          <w:sz w:val="32"/>
          <w:szCs w:val="32"/>
        </w:rPr>
        <w:t>2019</w:t>
      </w:r>
      <w:r>
        <w:rPr>
          <w:rFonts w:hint="eastAsia" w:ascii="宋体" w:hAnsi="宋体" w:eastAsia="宋体" w:cs="宋体"/>
          <w:sz w:val="32"/>
          <w:szCs w:val="32"/>
        </w:rPr>
        <w:t>年机关工委新分设决算账户</w:t>
      </w:r>
      <w:r>
        <w:rPr>
          <w:rFonts w:ascii="??_GB2312" w:hAnsi="Times New Roman" w:eastAsia="Times New Roman" w:cs="DengXian-Regular"/>
          <w:sz w:val="32"/>
          <w:szCs w:val="32"/>
        </w:rPr>
        <w:t>。</w:t>
      </w:r>
      <w:r>
        <w:rPr>
          <w:rFonts w:ascii="??_GB2312" w:eastAsia="Times New Roman" w:cs="DengXian-Regular"/>
          <w:sz w:val="32"/>
          <w:szCs w:val="32"/>
        </w:rPr>
        <w:t>本部门2019年度机关运行经费支出</w:t>
      </w:r>
      <w:r>
        <w:rPr>
          <w:rFonts w:ascii="??_GB2312" w:hAnsi="??_GB2312" w:eastAsia="Times New Roman" w:cs="??_GB2312"/>
          <w:sz w:val="32"/>
          <w:szCs w:val="32"/>
        </w:rPr>
        <w:t>7.77</w:t>
      </w:r>
      <w:r>
        <w:rPr>
          <w:rFonts w:ascii="??_GB2312" w:eastAsia="Times New Roman" w:cs="DengXian-Regular"/>
          <w:sz w:val="32"/>
          <w:szCs w:val="32"/>
        </w:rPr>
        <w:t>万元，比年初预算数减少</w:t>
      </w:r>
      <w:r>
        <w:rPr>
          <w:rFonts w:ascii="??_GB2312" w:hAnsi="Times New Roman" w:eastAsia="Times New Roman" w:cs="DengXian-Regular"/>
          <w:sz w:val="32"/>
          <w:szCs w:val="32"/>
        </w:rPr>
        <w:t>0.4</w:t>
      </w:r>
      <w:r>
        <w:rPr>
          <w:rFonts w:ascii="??_GB2312" w:eastAsia="Times New Roman" w:cs="DengXian-Regular"/>
          <w:sz w:val="32"/>
          <w:szCs w:val="32"/>
        </w:rPr>
        <w:t>万元，降低4.89%。主要</w:t>
      </w:r>
      <w:r>
        <w:rPr>
          <w:rFonts w:hint="eastAsia" w:ascii="??_GB2312" w:eastAsia="宋体" w:cs="DengXian-Regular"/>
          <w:sz w:val="32"/>
          <w:szCs w:val="32"/>
          <w:lang w:eastAsia="zh-CN"/>
        </w:rPr>
        <w:t>原因是</w:t>
      </w:r>
      <w:r>
        <w:rPr>
          <w:rFonts w:ascii="??_GB2312" w:hAnsi="Times New Roman" w:eastAsia="Times New Roman" w:cs="DengXian-Regular"/>
          <w:sz w:val="32"/>
          <w:szCs w:val="32"/>
        </w:rPr>
        <w:t>1名在岗人员退休，减少了机关运行经费支出</w:t>
      </w:r>
      <w:r>
        <w:rPr>
          <w:rFonts w:ascii="??_GB2312" w:eastAsia="Times New Roman"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adjustRightInd w:val="0"/>
        <w:snapToGrid w:val="0"/>
        <w:spacing w:line="580" w:lineRule="exact"/>
        <w:ind w:firstLine="640" w:firstLineChars="200"/>
        <w:rPr>
          <w:rFonts w:hint="eastAsia" w:ascii="??_GB2312" w:eastAsia="Times New Roman" w:cs="DengXian-Regular"/>
          <w:sz w:val="32"/>
          <w:szCs w:val="32"/>
        </w:rPr>
      </w:pPr>
      <w:r>
        <w:rPr>
          <w:rFonts w:hint="eastAsia" w:ascii="??_GB2312" w:eastAsia="Times New Roman" w:cs="DengXian-Regular"/>
          <w:sz w:val="32"/>
          <w:szCs w:val="32"/>
        </w:rPr>
        <w:t>本部门</w:t>
      </w:r>
      <w:r>
        <w:rPr>
          <w:rFonts w:ascii="??_GB2312" w:eastAsia="Times New Roman" w:cs="DengXian-Regular"/>
          <w:sz w:val="32"/>
          <w:szCs w:val="32"/>
        </w:rPr>
        <w:t>2019</w:t>
      </w:r>
      <w:r>
        <w:rPr>
          <w:rFonts w:hint="eastAsia" w:ascii="??_GB2312" w:eastAsia="Times New Roman" w:cs="DengXian-Regular"/>
          <w:sz w:val="32"/>
          <w:szCs w:val="32"/>
        </w:rPr>
        <w:t>年度政府采购支出总额</w:t>
      </w:r>
      <w:r>
        <w:rPr>
          <w:rFonts w:hint="eastAsia" w:ascii="??_GB2312" w:eastAsia="Times New Roman" w:cs="DengXian-Regular"/>
          <w:sz w:val="32"/>
          <w:szCs w:val="32"/>
          <w:lang w:val="en-US" w:eastAsia="zh-CN"/>
        </w:rPr>
        <w:t>0</w:t>
      </w:r>
      <w:r>
        <w:rPr>
          <w:rFonts w:hint="eastAsia" w:ascii="??_GB2312" w:eastAsia="Times New Roman" w:cs="DengXian-Regular"/>
          <w:sz w:val="32"/>
          <w:szCs w:val="32"/>
        </w:rPr>
        <w:t>万元，从采购类型来看，政府采购货物支出</w:t>
      </w:r>
      <w:r>
        <w:rPr>
          <w:rFonts w:hint="eastAsia" w:ascii="??_GB2312" w:eastAsia="Times New Roman" w:cs="DengXian-Regular"/>
          <w:sz w:val="32"/>
          <w:szCs w:val="32"/>
          <w:lang w:val="en-US" w:eastAsia="zh-CN"/>
        </w:rPr>
        <w:t>0</w:t>
      </w:r>
      <w:r>
        <w:rPr>
          <w:rFonts w:hint="eastAsia" w:ascii="??_GB2312" w:eastAsia="Times New Roman" w:cs="DengXian-Regular"/>
          <w:sz w:val="32"/>
          <w:szCs w:val="32"/>
        </w:rPr>
        <w:t>万元、政府采购工程支出</w:t>
      </w:r>
      <w:r>
        <w:rPr>
          <w:rFonts w:hint="eastAsia" w:ascii="??_GB2312" w:eastAsia="Times New Roman" w:cs="DengXian-Regular"/>
          <w:sz w:val="32"/>
          <w:szCs w:val="32"/>
          <w:lang w:val="en-US" w:eastAsia="zh-CN"/>
        </w:rPr>
        <w:t>0</w:t>
      </w:r>
      <w:r>
        <w:rPr>
          <w:rFonts w:hint="eastAsia" w:ascii="??_GB2312" w:eastAsia="Times New Roman" w:cs="DengXian-Regular"/>
          <w:sz w:val="32"/>
          <w:szCs w:val="32"/>
        </w:rPr>
        <w:t>万元、政府采购服务支出</w:t>
      </w:r>
      <w:r>
        <w:rPr>
          <w:rFonts w:ascii="??_GB2312" w:eastAsia="Times New Roman" w:cs="DengXian-Regular"/>
          <w:sz w:val="32"/>
          <w:szCs w:val="32"/>
        </w:rPr>
        <w:t xml:space="preserve"> </w:t>
      </w:r>
      <w:r>
        <w:rPr>
          <w:rFonts w:hint="eastAsia" w:ascii="??_GB2312" w:eastAsia="Times New Roman" w:cs="DengXian-Regular"/>
          <w:sz w:val="32"/>
          <w:szCs w:val="32"/>
          <w:lang w:val="en-US" w:eastAsia="zh-CN"/>
        </w:rPr>
        <w:t>0</w:t>
      </w:r>
      <w:r>
        <w:rPr>
          <w:rFonts w:hint="eastAsia" w:ascii="??_GB2312" w:eastAsia="Times New Roman" w:cs="DengXian-Regular"/>
          <w:sz w:val="32"/>
          <w:szCs w:val="32"/>
        </w:rPr>
        <w:t>万元。授予中小企业合同金</w:t>
      </w:r>
      <w:r>
        <w:rPr>
          <w:rFonts w:hint="eastAsia" w:ascii="??_GB2312" w:eastAsia="Times New Roman" w:cs="DengXian-Regular"/>
          <w:sz w:val="32"/>
          <w:szCs w:val="32"/>
          <w:lang w:val="en-US" w:eastAsia="zh-CN"/>
        </w:rPr>
        <w:t>0</w:t>
      </w:r>
      <w:r>
        <w:rPr>
          <w:rFonts w:hint="eastAsia" w:ascii="??_GB2312" w:eastAsia="Times New Roman" w:cs="DengXian-Regular"/>
          <w:sz w:val="32"/>
          <w:szCs w:val="32"/>
        </w:rPr>
        <w:t>万元，占政府采购支出总额的</w:t>
      </w:r>
      <w:r>
        <w:rPr>
          <w:rFonts w:hint="eastAsia" w:ascii="??_GB2312" w:eastAsia="Times New Roman" w:cs="DengXian-Regular"/>
          <w:sz w:val="32"/>
          <w:szCs w:val="32"/>
          <w:lang w:val="en-US" w:eastAsia="zh-CN"/>
        </w:rPr>
        <w:t>0</w:t>
      </w:r>
      <w:r>
        <w:rPr>
          <w:rFonts w:ascii="??_GB2312" w:eastAsia="Times New Roman" w:cs="DengXian-Regular"/>
          <w:sz w:val="32"/>
          <w:szCs w:val="32"/>
        </w:rPr>
        <w:t>%</w:t>
      </w:r>
      <w:r>
        <w:rPr>
          <w:rFonts w:hint="eastAsia" w:ascii="??_GB2312" w:eastAsia="Times New Roman" w:cs="DengXian-Regular"/>
          <w:sz w:val="32"/>
          <w:szCs w:val="32"/>
        </w:rPr>
        <w:t>，其中授予小微企业合同金额</w:t>
      </w:r>
      <w:r>
        <w:rPr>
          <w:rFonts w:hint="eastAsia" w:ascii="??_GB2312" w:eastAsia="Times New Roman" w:cs="DengXian-Regular"/>
          <w:sz w:val="32"/>
          <w:szCs w:val="32"/>
          <w:lang w:val="en-US" w:eastAsia="zh-CN"/>
        </w:rPr>
        <w:t>0</w:t>
      </w:r>
      <w:r>
        <w:rPr>
          <w:rFonts w:hint="eastAsia" w:ascii="??_GB2312" w:eastAsia="Times New Roman" w:cs="DengXian-Regular"/>
          <w:sz w:val="32"/>
          <w:szCs w:val="32"/>
        </w:rPr>
        <w:t>万元，占政府采购支出总额的</w:t>
      </w:r>
      <w:r>
        <w:rPr>
          <w:rFonts w:ascii="??_GB2312" w:eastAsia="Times New Roman" w:cs="DengXian-Regular"/>
          <w:sz w:val="32"/>
          <w:szCs w:val="32"/>
        </w:rPr>
        <w:t xml:space="preserve"> </w:t>
      </w:r>
      <w:r>
        <w:rPr>
          <w:rFonts w:hint="eastAsia" w:ascii="??_GB2312" w:eastAsia="Times New Roman" w:cs="DengXian-Regular"/>
          <w:sz w:val="32"/>
          <w:szCs w:val="32"/>
          <w:lang w:val="en-US" w:eastAsia="zh-CN"/>
        </w:rPr>
        <w:t>0</w:t>
      </w:r>
      <w:r>
        <w:rPr>
          <w:rFonts w:ascii="??_GB2312" w:eastAsia="Times New Roman" w:cs="DengXian-Regular"/>
          <w:sz w:val="32"/>
          <w:szCs w:val="32"/>
        </w:rPr>
        <w:t>%</w:t>
      </w:r>
      <w:r>
        <w:rPr>
          <w:rFonts w:hint="eastAsia" w:ascii="??_GB2312" w:eastAsia="Times New Roman"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ascii="??_GB2312" w:hAnsi="Times New Roman" w:eastAsia="Times New Roman" w:cs="DengXian-Regular"/>
          <w:sz w:val="32"/>
          <w:szCs w:val="32"/>
        </w:rPr>
        <w:t>截至2019年12月31日，本部门共有车辆2辆，与上年没有变化。其中，应急保障用车2辆。单位价值</w:t>
      </w:r>
      <w:r>
        <w:rPr>
          <w:rFonts w:ascii="??_GB2312" w:hAnsi="TimesNewRomanPSMT" w:eastAsia="Times New Roman" w:cs="TimesNewRomanPSMT"/>
          <w:sz w:val="32"/>
          <w:szCs w:val="32"/>
        </w:rPr>
        <w:t>50</w:t>
      </w:r>
      <w:r>
        <w:rPr>
          <w:rFonts w:ascii="??_GB2312" w:hAnsi="Times New Roman" w:eastAsia="Times New Roman" w:cs="DengXian-Regular"/>
          <w:sz w:val="32"/>
          <w:szCs w:val="32"/>
        </w:rPr>
        <w:t>万元以上通用设备0台（套），与上年没有变化，单位价值</w:t>
      </w:r>
      <w:r>
        <w:rPr>
          <w:rFonts w:ascii="??_GB2312" w:hAnsi="TimesNewRomanPSMT" w:eastAsia="Times New Roman" w:cs="TimesNewRomanPSMT"/>
          <w:sz w:val="32"/>
          <w:szCs w:val="32"/>
        </w:rPr>
        <w:t>100</w:t>
      </w:r>
      <w:r>
        <w:rPr>
          <w:rFonts w:ascii="??_GB2312" w:hAnsi="Times New Roman" w:eastAsia="Times New Roman" w:cs="DengXian-Regular"/>
          <w:sz w:val="32"/>
          <w:szCs w:val="32"/>
        </w:rPr>
        <w:t>万元以上专用设备0台（套）与上年没有变化。</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_GB2312" w:hAnsi="Times New Roman" w:eastAsia="Times New Roman" w:cs="DengXian-Regular"/>
          <w:sz w:val="32"/>
          <w:szCs w:val="32"/>
        </w:rPr>
      </w:pPr>
      <w:r>
        <w:rPr>
          <w:rFonts w:ascii="??_GB2312" w:hAnsi="Times New Roman" w:eastAsia="Times New Roman" w:cs="DengXian-Regular"/>
          <w:sz w:val="32"/>
          <w:szCs w:val="32"/>
        </w:rPr>
        <w:t>1. 本部门2019年度无收支及结转结余情况，故结转表以空表列示。</w:t>
      </w:r>
    </w:p>
    <w:p>
      <w:pPr>
        <w:adjustRightInd w:val="0"/>
        <w:snapToGrid w:val="0"/>
        <w:spacing w:line="580" w:lineRule="exact"/>
        <w:ind w:firstLine="640" w:firstLineChars="200"/>
        <w:rPr>
          <w:rFonts w:ascii="??_GB2312" w:hAnsi="Times New Roman" w:eastAsia="Times New Roman" w:cs="DengXian-Regular"/>
          <w:sz w:val="32"/>
          <w:szCs w:val="32"/>
        </w:rPr>
      </w:pPr>
      <w:r>
        <w:rPr>
          <w:rFonts w:ascii="??_GB2312" w:hAnsi="Times New Roman" w:eastAsia="Times New Roman"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40" o:spid="_x0000_s1040" o:spt="202" type="#_x0000_t202" style="position:absolute;left:0pt;margin-left:-80.45pt;margin-top:34.8pt;height:263.1pt;width:613.65pt;z-index:251667456;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hint="eastAsia" w:ascii="黑体" w:hAnsi="黑体" w:eastAsia="黑体" w:cs="黑体"/>
                      <w:color w:val="000000"/>
                      <w:sz w:val="90"/>
                      <w:szCs w:val="90"/>
                    </w:rPr>
                  </w:pPr>
                </w:p>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6" w:type="first"/>
          <w:pgSz w:w="11906" w:h="16838"/>
          <w:pgMar w:top="2041" w:right="1531" w:bottom="2041" w:left="1531" w:header="851" w:footer="992" w:gutter="0"/>
          <w:pgNumType w:fmt="numberInDash"/>
          <w:cols w:space="0" w:num="1"/>
          <w:titlePg/>
          <w:docGrid w:type="lines" w:linePitch="312" w:charSpace="0"/>
        </w:sectPr>
      </w:pPr>
    </w:p>
    <w:p>
      <w:pPr>
        <w:rPr>
          <w:rFonts w:ascii="??_GB2312" w:hAnsi="宋体" w:eastAsia="Times New Roman" w:cs="ArialUnicodeMS"/>
          <w:sz w:val="32"/>
          <w:szCs w:val="32"/>
        </w:rPr>
      </w:pPr>
    </w:p>
    <w:p>
      <w:pPr>
        <w:widowControl/>
        <w:spacing w:line="560" w:lineRule="exact"/>
        <w:ind w:firstLine="640" w:firstLineChars="200"/>
        <w:rPr>
          <w:rFonts w:ascii="??_GB2312" w:hAnsi="宋体" w:eastAsia="Times New Roman"/>
          <w:b/>
          <w:bCs/>
          <w:color w:val="000000"/>
          <w:kern w:val="0"/>
          <w:sz w:val="32"/>
          <w:szCs w:val="32"/>
        </w:rPr>
      </w:pPr>
    </w:p>
    <w:p>
      <w:pPr>
        <w:widowControl/>
        <w:spacing w:line="560" w:lineRule="exact"/>
        <w:ind w:firstLine="640" w:firstLineChars="200"/>
        <w:rPr>
          <w:rFonts w:ascii="??_GB2312" w:hAnsi="宋体" w:eastAsia="Times New Roman"/>
          <w:b/>
          <w:bCs/>
          <w:color w:val="000000"/>
          <w:kern w:val="0"/>
          <w:sz w:val="32"/>
          <w:szCs w:val="32"/>
        </w:rPr>
      </w:pPr>
    </w:p>
    <w:p>
      <w:pPr>
        <w:widowControl/>
        <w:spacing w:line="560" w:lineRule="exact"/>
        <w:ind w:firstLine="640" w:firstLineChars="200"/>
        <w:rPr>
          <w:rFonts w:ascii="??_GB2312" w:hAnsi="宋体" w:eastAsia="Times New Roman"/>
          <w:b/>
          <w:bCs/>
          <w:color w:val="000000"/>
          <w:kern w:val="0"/>
          <w:sz w:val="32"/>
          <w:szCs w:val="32"/>
        </w:rPr>
      </w:pPr>
    </w:p>
    <w:p>
      <w:pPr>
        <w:widowControl/>
        <w:spacing w:line="560" w:lineRule="exact"/>
        <w:ind w:firstLine="640" w:firstLineChars="200"/>
        <w:rPr>
          <w:rFonts w:ascii="??_GB2312" w:hAnsi="宋体" w:eastAsia="Times New Roman"/>
          <w:b/>
          <w:bCs/>
          <w:color w:val="000000"/>
          <w:kern w:val="0"/>
          <w:sz w:val="32"/>
          <w:szCs w:val="32"/>
        </w:rPr>
      </w:pPr>
    </w:p>
    <w:p>
      <w:pPr>
        <w:widowControl/>
        <w:spacing w:line="560" w:lineRule="exact"/>
        <w:ind w:firstLine="640" w:firstLineChars="200"/>
        <w:rPr>
          <w:rFonts w:ascii="??_GB2312" w:hAnsi="宋体" w:eastAsia="Times New Roman"/>
          <w:b/>
          <w:bCs/>
          <w:color w:val="000000"/>
          <w:kern w:val="0"/>
          <w:sz w:val="32"/>
          <w:szCs w:val="32"/>
        </w:rPr>
      </w:pPr>
    </w:p>
    <w:p>
      <w:pPr>
        <w:widowControl/>
        <w:spacing w:line="560" w:lineRule="exact"/>
        <w:ind w:firstLine="640" w:firstLineChars="200"/>
        <w:rPr>
          <w:rFonts w:ascii="??_GB2312" w:hAnsi="宋体" w:eastAsia="Times New Roman"/>
          <w:b/>
          <w:bCs/>
          <w:color w:val="000000"/>
          <w:kern w:val="0"/>
          <w:sz w:val="32"/>
          <w:szCs w:val="32"/>
        </w:rPr>
      </w:pPr>
    </w:p>
    <w:p>
      <w:pPr>
        <w:widowControl/>
        <w:spacing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（一）财政拨款收入：</w:t>
      </w:r>
      <w:r>
        <w:rPr>
          <w:rFonts w:ascii="??_GB2312" w:hAnsi="宋体" w:eastAsia="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（二）事业收入：</w:t>
      </w:r>
      <w:r>
        <w:rPr>
          <w:rFonts w:ascii="??_GB2312" w:hAnsi="宋体" w:eastAsia="Times New Roman"/>
          <w:color w:val="000000"/>
          <w:kern w:val="0"/>
          <w:sz w:val="32"/>
          <w:szCs w:val="32"/>
        </w:rPr>
        <w:t>指事业单位开展专业业务活动及辅助活动所取得的收入。</w:t>
      </w:r>
    </w:p>
    <w:p>
      <w:pPr>
        <w:widowControl/>
        <w:spacing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（三）其他收入：</w:t>
      </w:r>
      <w:r>
        <w:rPr>
          <w:rFonts w:ascii="??_GB2312" w:hAnsi="宋体" w:eastAsia="Times New Roman"/>
          <w:color w:val="000000"/>
          <w:kern w:val="0"/>
          <w:sz w:val="32"/>
          <w:szCs w:val="32"/>
        </w:rPr>
        <w:t>指除上述“财政拨款收入”“事业收入”“经营收入”等以外的收入。</w:t>
      </w:r>
    </w:p>
    <w:p>
      <w:pPr>
        <w:widowControl/>
        <w:spacing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（四）用事业基金弥补收支差额：</w:t>
      </w:r>
      <w:r>
        <w:rPr>
          <w:rFonts w:ascii="??_GB2312" w:hAnsi="宋体" w:eastAsia="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（五）年初结转和结余：</w:t>
      </w:r>
      <w:r>
        <w:rPr>
          <w:rFonts w:ascii="??_GB2312" w:hAnsi="宋体" w:eastAsia="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（六）结余分配：</w:t>
      </w:r>
      <w:r>
        <w:rPr>
          <w:rFonts w:ascii="??_GB2312" w:hAnsi="宋体" w:eastAsia="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（七）年末结转和结余：</w:t>
      </w:r>
      <w:r>
        <w:rPr>
          <w:rFonts w:ascii="??_GB2312" w:hAnsi="宋体" w:eastAsia="Times New Roman"/>
          <w:color w:val="000000"/>
          <w:kern w:val="0"/>
          <w:sz w:val="32"/>
          <w:szCs w:val="32"/>
        </w:rPr>
        <w:t>指单位按有关规定结转到下年或以后年度继续使用的资金，或项目已完成等产生的结余资金。</w:t>
      </w:r>
    </w:p>
    <w:p>
      <w:pPr>
        <w:widowControl/>
        <w:spacing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（八）基本支出：</w:t>
      </w:r>
      <w:r>
        <w:rPr>
          <w:rFonts w:ascii="??_GB2312" w:hAnsi="宋体" w:eastAsia="Times New Roman"/>
          <w:color w:val="000000"/>
          <w:kern w:val="0"/>
          <w:sz w:val="32"/>
          <w:szCs w:val="32"/>
        </w:rPr>
        <w:t>填列单位为保障机构正常运转、完成日常工作任务而发生的各项支出。</w:t>
      </w:r>
    </w:p>
    <w:p>
      <w:pPr>
        <w:widowControl/>
        <w:spacing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（九）项目支出：</w:t>
      </w:r>
      <w:r>
        <w:rPr>
          <w:rFonts w:ascii="??_GB2312" w:hAnsi="宋体" w:eastAsia="Times New Roman"/>
          <w:color w:val="000000"/>
          <w:kern w:val="0"/>
          <w:sz w:val="32"/>
          <w:szCs w:val="32"/>
        </w:rPr>
        <w:t>填列单位为完成特定的行政工作任务或事业发展目标，在基本支出之外发生的各项支出</w:t>
      </w:r>
    </w:p>
    <w:p>
      <w:pPr>
        <w:widowControl/>
        <w:spacing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（十）基本建设支出：</w:t>
      </w:r>
      <w:r>
        <w:rPr>
          <w:rFonts w:ascii="??_GB2312" w:hAnsi="宋体" w:eastAsia="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（十一）其他资本性支出：</w:t>
      </w:r>
      <w:r>
        <w:rPr>
          <w:rFonts w:ascii="??_GB2312" w:hAnsi="宋体" w:eastAsia="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（十二）“三公”经费：</w:t>
      </w:r>
      <w:r>
        <w:rPr>
          <w:rFonts w:ascii="??_GB2312" w:hAnsi="宋体" w:eastAsia="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（十三）其他交通费用：</w:t>
      </w:r>
      <w:r>
        <w:rPr>
          <w:rFonts w:ascii="??_GB2312" w:hAnsi="宋体" w:eastAsia="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（十四）公务用车购置：</w:t>
      </w:r>
      <w:r>
        <w:rPr>
          <w:rFonts w:ascii="??_GB2312" w:hAnsi="宋体" w:eastAsia="Times New Roman"/>
          <w:color w:val="000000"/>
          <w:kern w:val="0"/>
          <w:sz w:val="32"/>
          <w:szCs w:val="32"/>
        </w:rPr>
        <w:t>填列单位公务用车车辆购置支出（含车辆购置税、牌照费）。</w:t>
      </w:r>
    </w:p>
    <w:p>
      <w:pPr>
        <w:widowControl/>
        <w:spacing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（十五）其他交通工具购置：</w:t>
      </w:r>
      <w:r>
        <w:rPr>
          <w:rFonts w:ascii="??_GB2312" w:hAnsi="宋体" w:eastAsia="Times New Roman"/>
          <w:color w:val="000000"/>
          <w:kern w:val="0"/>
          <w:sz w:val="32"/>
          <w:szCs w:val="32"/>
        </w:rPr>
        <w:t>填列单位除公务用车外的其他各类交通工具（如船舶、飞机等）购置支出（含车辆购置税、牌照费）。</w:t>
      </w:r>
    </w:p>
    <w:p>
      <w:pPr>
        <w:widowControl/>
        <w:spacing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（十六）机关运行经费：</w:t>
      </w:r>
      <w:r>
        <w:rPr>
          <w:rFonts w:ascii="??_GB2312" w:hAnsi="宋体" w:eastAsia="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_GB2312" w:hAnsi="Cambria" w:eastAsia="Times New Roman" w:cs="ArialUnicodeMS"/>
          <w:kern w:val="0"/>
          <w:sz w:val="32"/>
          <w:szCs w:val="32"/>
        </w:rPr>
      </w:pPr>
      <w:r>
        <w:rPr>
          <w:rFonts w:ascii="??_GB2312" w:hAnsi="宋体" w:eastAsia="Times New Roman"/>
          <w:b/>
          <w:bCs/>
          <w:color w:val="000000"/>
          <w:kern w:val="0"/>
          <w:sz w:val="32"/>
          <w:szCs w:val="32"/>
        </w:rPr>
        <w:t>（十七）经费形式:</w:t>
      </w:r>
      <w:r>
        <w:rPr>
          <w:rFonts w:ascii="??_GB2312" w:hAnsi="宋体" w:eastAsia="Times New Roman"/>
          <w:color w:val="000000"/>
          <w:kern w:val="0"/>
          <w:sz w:val="32"/>
          <w:szCs w:val="32"/>
        </w:rPr>
        <w:t>按照经费来源，</w:t>
      </w:r>
      <w:r>
        <w:rPr>
          <w:rFonts w:ascii="??_GB2312" w:hAnsi="Cambria" w:eastAsia="Times New Roman" w:cs="ArialUnicodeMS"/>
          <w:kern w:val="0"/>
          <w:sz w:val="32"/>
          <w:szCs w:val="32"/>
        </w:rPr>
        <w:t>可分为财政拨款、财政性资金基本保证、财政性资金定额或定项补助、财政性资金零补助四类。</w:t>
      </w:r>
    </w:p>
    <w:p/>
    <w:p/>
    <w:p>
      <w:pPr>
        <w:jc w:val="left"/>
        <w:sectPr>
          <w:headerReference r:id="rId17"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41" o:spid="_x0000_s1041" o:spt="202" type="#_x0000_t202" style="position:absolute;left:0pt;margin-left:-82.05pt;margin-top:135.85pt;height:263.1pt;width:613.65pt;z-index:-25164595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部门：中共保定市满城区直属机关工作委员会</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sz w:val="22"/>
              </w:rPr>
              <w:t>62.42</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rPr>
              <w:t>50</w:t>
            </w:r>
            <w:r>
              <w:rPr>
                <w:rFonts w:hint="eastAsia" w:ascii="宋体" w:hAnsi="宋体" w:eastAsia="宋体" w:cs="宋体"/>
                <w:color w:val="000000"/>
                <w:kern w:val="0"/>
                <w:sz w:val="22"/>
                <w:lang w:val="en-US" w:eastAsia="zh-CN"/>
              </w:rPr>
              <w:t>.00</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7.74</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1.96</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2.73</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62.42</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62.42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62.42</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62.42</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9850" w:type="dxa"/>
        <w:jc w:val="center"/>
        <w:tblLayout w:type="autofit"/>
        <w:tblCellMar>
          <w:top w:w="0" w:type="dxa"/>
          <w:left w:w="0" w:type="dxa"/>
          <w:bottom w:w="0" w:type="dxa"/>
          <w:right w:w="0" w:type="dxa"/>
        </w:tblCellMar>
      </w:tblPr>
      <w:tblGrid>
        <w:gridCol w:w="112"/>
        <w:gridCol w:w="228"/>
        <w:gridCol w:w="340"/>
        <w:gridCol w:w="340"/>
        <w:gridCol w:w="2220"/>
        <w:gridCol w:w="1080"/>
        <w:gridCol w:w="940"/>
        <w:gridCol w:w="780"/>
        <w:gridCol w:w="660"/>
        <w:gridCol w:w="760"/>
        <w:gridCol w:w="960"/>
        <w:gridCol w:w="1160"/>
        <w:gridCol w:w="270"/>
      </w:tblGrid>
      <w:tr>
        <w:tblPrEx>
          <w:tblCellMar>
            <w:top w:w="0" w:type="dxa"/>
            <w:left w:w="0" w:type="dxa"/>
            <w:bottom w:w="0" w:type="dxa"/>
            <w:right w:w="0" w:type="dxa"/>
          </w:tblCellMar>
        </w:tblPrEx>
        <w:trPr>
          <w:gridBefore w:val="1"/>
          <w:gridAfter w:val="1"/>
          <w:wBefore w:w="112" w:type="dxa"/>
          <w:wAfter w:w="270" w:type="dxa"/>
          <w:trHeight w:val="670" w:hRule="atLeast"/>
          <w:jc w:val="center"/>
        </w:trPr>
        <w:tc>
          <w:tcPr>
            <w:tcW w:w="9468"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108" w:type="dxa"/>
            <w:bottom w:w="0" w:type="dxa"/>
            <w:right w:w="108" w:type="dxa"/>
          </w:tblCellMar>
        </w:tblPrEx>
        <w:trPr>
          <w:trHeight w:val="390" w:hRule="atLeast"/>
          <w:jc w:val="center"/>
        </w:trPr>
        <w:tc>
          <w:tcPr>
            <w:tcW w:w="340" w:type="dxa"/>
            <w:gridSpan w:val="2"/>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222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108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780" w:type="dxa"/>
            <w:tcBorders>
              <w:top w:val="nil"/>
              <w:left w:val="nil"/>
              <w:bottom w:val="nil"/>
              <w:right w:val="nil"/>
            </w:tcBorders>
            <w:noWrap/>
            <w:vAlign w:val="bottom"/>
          </w:tcPr>
          <w:p>
            <w:pPr>
              <w:widowControl/>
              <w:jc w:val="center"/>
              <w:rPr>
                <w:rFonts w:ascii="宋体" w:hAnsi="宋体" w:eastAsia="宋体" w:cs="Arial"/>
                <w:color w:val="000000"/>
                <w:kern w:val="0"/>
                <w:sz w:val="30"/>
                <w:szCs w:val="30"/>
              </w:rPr>
            </w:pPr>
          </w:p>
        </w:tc>
        <w:tc>
          <w:tcPr>
            <w:tcW w:w="66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76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96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1430" w:type="dxa"/>
            <w:gridSpan w:val="2"/>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255" w:hRule="atLeast"/>
          <w:jc w:val="center"/>
        </w:trPr>
        <w:tc>
          <w:tcPr>
            <w:tcW w:w="340" w:type="dxa"/>
            <w:gridSpan w:val="2"/>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222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108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78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66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76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96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1430" w:type="dxa"/>
            <w:gridSpan w:val="2"/>
            <w:tcBorders>
              <w:top w:val="nil"/>
              <w:left w:val="nil"/>
              <w:bottom w:val="nil"/>
              <w:right w:val="nil"/>
            </w:tcBorders>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w:t>
            </w:r>
            <w:r>
              <w:rPr>
                <w:rFonts w:ascii="宋体" w:hAnsi="宋体" w:eastAsia="宋体" w:cs="Arial"/>
                <w:color w:val="000000"/>
                <w:kern w:val="0"/>
                <w:sz w:val="20"/>
                <w:szCs w:val="20"/>
              </w:rPr>
              <w:t>02</w:t>
            </w:r>
            <w:r>
              <w:rPr>
                <w:rFonts w:hint="eastAsia" w:ascii="宋体" w:hAnsi="宋体" w:eastAsia="宋体" w:cs="Arial"/>
                <w:color w:val="000000"/>
                <w:kern w:val="0"/>
                <w:sz w:val="20"/>
                <w:szCs w:val="20"/>
              </w:rPr>
              <w:t>表</w:t>
            </w:r>
          </w:p>
        </w:tc>
      </w:tr>
      <w:tr>
        <w:tblPrEx>
          <w:tblCellMar>
            <w:top w:w="0" w:type="dxa"/>
            <w:left w:w="108" w:type="dxa"/>
            <w:bottom w:w="0" w:type="dxa"/>
            <w:right w:w="108" w:type="dxa"/>
          </w:tblCellMar>
        </w:tblPrEx>
        <w:trPr>
          <w:trHeight w:val="255" w:hRule="atLeast"/>
          <w:jc w:val="center"/>
        </w:trPr>
        <w:tc>
          <w:tcPr>
            <w:tcW w:w="4320" w:type="dxa"/>
            <w:gridSpan w:val="6"/>
            <w:tcBorders>
              <w:top w:val="nil"/>
              <w:left w:val="nil"/>
              <w:bottom w:val="nil"/>
              <w:right w:val="nil"/>
            </w:tcBorders>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部门：中共保定市满城区直属机关工作委员会</w:t>
            </w:r>
          </w:p>
        </w:tc>
        <w:tc>
          <w:tcPr>
            <w:tcW w:w="94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78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66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76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96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1430" w:type="dxa"/>
            <w:gridSpan w:val="2"/>
            <w:tcBorders>
              <w:top w:val="nil"/>
              <w:left w:val="nil"/>
              <w:bottom w:val="nil"/>
              <w:right w:val="nil"/>
            </w:tcBorders>
            <w:noWrap/>
            <w:vAlign w:val="bottom"/>
          </w:tcPr>
          <w:p>
            <w:pPr>
              <w:widowControl/>
              <w:ind w:right="200"/>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jc w:val="center"/>
        </w:trPr>
        <w:tc>
          <w:tcPr>
            <w:tcW w:w="3240"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08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94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78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66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76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96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143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CellMar>
            <w:top w:w="0" w:type="dxa"/>
            <w:left w:w="108" w:type="dxa"/>
            <w:bottom w:w="0" w:type="dxa"/>
            <w:right w:w="108" w:type="dxa"/>
          </w:tblCellMar>
        </w:tblPrEx>
        <w:trPr>
          <w:trHeight w:val="312" w:hRule="atLeast"/>
          <w:jc w:val="center"/>
        </w:trPr>
        <w:tc>
          <w:tcPr>
            <w:tcW w:w="1020"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2220"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0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3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jc w:val="center"/>
        </w:trPr>
        <w:tc>
          <w:tcPr>
            <w:tcW w:w="1020"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2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3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jc w:val="center"/>
        </w:trPr>
        <w:tc>
          <w:tcPr>
            <w:tcW w:w="1020"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2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3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3240"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0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ascii="宋体" w:hAnsi="宋体" w:eastAsia="宋体" w:cs="Arial"/>
                <w:color w:val="000000"/>
                <w:kern w:val="0"/>
                <w:sz w:val="22"/>
              </w:rPr>
              <w:t>1</w:t>
            </w:r>
          </w:p>
        </w:tc>
        <w:tc>
          <w:tcPr>
            <w:tcW w:w="94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ascii="宋体" w:hAnsi="宋体" w:eastAsia="宋体" w:cs="Arial"/>
                <w:color w:val="000000"/>
                <w:kern w:val="0"/>
                <w:sz w:val="22"/>
              </w:rPr>
              <w:t>2</w:t>
            </w:r>
          </w:p>
        </w:tc>
        <w:tc>
          <w:tcPr>
            <w:tcW w:w="7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ascii="宋体" w:hAnsi="宋体" w:eastAsia="宋体" w:cs="Arial"/>
                <w:color w:val="000000"/>
                <w:kern w:val="0"/>
                <w:sz w:val="22"/>
              </w:rPr>
              <w:t>3</w:t>
            </w:r>
          </w:p>
        </w:tc>
        <w:tc>
          <w:tcPr>
            <w:tcW w:w="6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ascii="宋体" w:hAnsi="宋体" w:eastAsia="宋体" w:cs="Arial"/>
                <w:color w:val="000000"/>
                <w:kern w:val="0"/>
                <w:sz w:val="22"/>
              </w:rPr>
              <w:t>4</w:t>
            </w:r>
          </w:p>
        </w:tc>
        <w:tc>
          <w:tcPr>
            <w:tcW w:w="7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ascii="宋体" w:hAnsi="宋体" w:eastAsia="宋体" w:cs="Arial"/>
                <w:color w:val="000000"/>
                <w:kern w:val="0"/>
                <w:sz w:val="22"/>
              </w:rPr>
              <w:t>5</w:t>
            </w:r>
          </w:p>
        </w:tc>
        <w:tc>
          <w:tcPr>
            <w:tcW w:w="9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ascii="宋体" w:hAnsi="宋体" w:eastAsia="宋体" w:cs="Arial"/>
                <w:color w:val="000000"/>
                <w:kern w:val="0"/>
                <w:sz w:val="22"/>
              </w:rPr>
              <w:t>6</w:t>
            </w:r>
          </w:p>
        </w:tc>
        <w:tc>
          <w:tcPr>
            <w:tcW w:w="143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ascii="宋体" w:hAnsi="宋体" w:eastAsia="宋体" w:cs="Arial"/>
                <w:color w:val="000000"/>
                <w:kern w:val="0"/>
                <w:sz w:val="22"/>
              </w:rPr>
              <w:t>7</w:t>
            </w:r>
          </w:p>
        </w:tc>
      </w:tr>
      <w:tr>
        <w:tblPrEx>
          <w:tblCellMar>
            <w:top w:w="0" w:type="dxa"/>
            <w:left w:w="108" w:type="dxa"/>
            <w:bottom w:w="0" w:type="dxa"/>
            <w:right w:w="108" w:type="dxa"/>
          </w:tblCellMar>
        </w:tblPrEx>
        <w:trPr>
          <w:trHeight w:val="308" w:hRule="atLeast"/>
          <w:jc w:val="center"/>
        </w:trPr>
        <w:tc>
          <w:tcPr>
            <w:tcW w:w="3240"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08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b/>
                <w:bCs/>
                <w:color w:val="000000"/>
                <w:kern w:val="0"/>
                <w:sz w:val="22"/>
              </w:rPr>
            </w:pPr>
            <w:r>
              <w:rPr>
                <w:rFonts w:ascii="宋体" w:hAnsi="宋体" w:eastAsia="宋体" w:cs="宋体"/>
                <w:color w:val="000000"/>
                <w:kern w:val="0"/>
                <w:sz w:val="22"/>
              </w:rPr>
              <w:t>62.42</w:t>
            </w:r>
          </w:p>
        </w:tc>
        <w:tc>
          <w:tcPr>
            <w:tcW w:w="9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b/>
                <w:bCs/>
                <w:color w:val="000000"/>
                <w:kern w:val="0"/>
                <w:sz w:val="22"/>
              </w:rPr>
            </w:pPr>
            <w:r>
              <w:rPr>
                <w:rFonts w:ascii="宋体" w:hAnsi="宋体" w:eastAsia="宋体" w:cs="宋体"/>
                <w:color w:val="000000"/>
                <w:kern w:val="0"/>
                <w:sz w:val="22"/>
              </w:rPr>
              <w:t>62.42</w:t>
            </w:r>
          </w:p>
        </w:tc>
        <w:tc>
          <w:tcPr>
            <w:tcW w:w="7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b/>
                <w:bCs/>
                <w:color w:val="000000"/>
                <w:kern w:val="0"/>
                <w:sz w:val="22"/>
              </w:rPr>
            </w:pPr>
          </w:p>
        </w:tc>
        <w:tc>
          <w:tcPr>
            <w:tcW w:w="6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b/>
                <w:bCs/>
                <w:color w:val="000000"/>
                <w:kern w:val="0"/>
                <w:sz w:val="22"/>
              </w:rPr>
            </w:pPr>
          </w:p>
        </w:tc>
        <w:tc>
          <w:tcPr>
            <w:tcW w:w="7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b/>
                <w:bCs/>
                <w:color w:val="000000"/>
                <w:kern w:val="0"/>
                <w:sz w:val="22"/>
              </w:rPr>
            </w:pPr>
          </w:p>
        </w:tc>
        <w:tc>
          <w:tcPr>
            <w:tcW w:w="9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b/>
                <w:bCs/>
                <w:color w:val="000000"/>
                <w:kern w:val="0"/>
                <w:sz w:val="22"/>
              </w:rPr>
            </w:pPr>
          </w:p>
        </w:tc>
        <w:tc>
          <w:tcPr>
            <w:tcW w:w="143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b/>
                <w:bCs/>
                <w:color w:val="000000"/>
                <w:kern w:val="0"/>
                <w:sz w:val="22"/>
              </w:rPr>
            </w:pPr>
          </w:p>
        </w:tc>
      </w:tr>
      <w:tr>
        <w:tblPrEx>
          <w:tblCellMar>
            <w:top w:w="0" w:type="dxa"/>
            <w:left w:w="108" w:type="dxa"/>
            <w:bottom w:w="0" w:type="dxa"/>
            <w:right w:w="108" w:type="dxa"/>
          </w:tblCellMar>
        </w:tblPrEx>
        <w:trPr>
          <w:trHeight w:val="585" w:hRule="atLeast"/>
          <w:jc w:val="center"/>
        </w:trPr>
        <w:tc>
          <w:tcPr>
            <w:tcW w:w="102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color w:val="000000"/>
                <w:kern w:val="0"/>
                <w:sz w:val="22"/>
              </w:rPr>
            </w:pPr>
            <w:r>
              <w:rPr>
                <w:rFonts w:ascii="宋体" w:hAnsi="宋体" w:eastAsia="宋体" w:cs="Arial"/>
                <w:color w:val="000000"/>
                <w:kern w:val="0"/>
                <w:sz w:val="22"/>
              </w:rPr>
              <w:t>201</w:t>
            </w:r>
          </w:p>
        </w:tc>
        <w:tc>
          <w:tcPr>
            <w:tcW w:w="2220" w:type="dxa"/>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一般公共服务支出</w:t>
            </w:r>
          </w:p>
        </w:tc>
        <w:tc>
          <w:tcPr>
            <w:tcW w:w="108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9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7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570" w:hRule="atLeast"/>
          <w:jc w:val="center"/>
        </w:trPr>
        <w:tc>
          <w:tcPr>
            <w:tcW w:w="1020"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20128</w:t>
            </w:r>
          </w:p>
        </w:tc>
        <w:tc>
          <w:tcPr>
            <w:tcW w:w="2220" w:type="dxa"/>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民主党派及工商联事务</w:t>
            </w:r>
          </w:p>
        </w:tc>
        <w:tc>
          <w:tcPr>
            <w:tcW w:w="108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9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7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2012801</w:t>
            </w:r>
          </w:p>
        </w:tc>
        <w:tc>
          <w:tcPr>
            <w:tcW w:w="2220" w:type="dxa"/>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行政运行</w:t>
            </w:r>
          </w:p>
        </w:tc>
        <w:tc>
          <w:tcPr>
            <w:tcW w:w="108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9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7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208</w:t>
            </w:r>
          </w:p>
        </w:tc>
        <w:tc>
          <w:tcPr>
            <w:tcW w:w="2220" w:type="dxa"/>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社会保障和就业支出</w:t>
            </w:r>
          </w:p>
        </w:tc>
        <w:tc>
          <w:tcPr>
            <w:tcW w:w="108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7.74</w:t>
            </w:r>
          </w:p>
        </w:tc>
        <w:tc>
          <w:tcPr>
            <w:tcW w:w="9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7.74</w:t>
            </w:r>
          </w:p>
        </w:tc>
        <w:tc>
          <w:tcPr>
            <w:tcW w:w="7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20805</w:t>
            </w:r>
          </w:p>
        </w:tc>
        <w:tc>
          <w:tcPr>
            <w:tcW w:w="2220" w:type="dxa"/>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行政事业单位离退休</w:t>
            </w:r>
          </w:p>
        </w:tc>
        <w:tc>
          <w:tcPr>
            <w:tcW w:w="108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7.74</w:t>
            </w:r>
          </w:p>
        </w:tc>
        <w:tc>
          <w:tcPr>
            <w:tcW w:w="9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7.74</w:t>
            </w:r>
          </w:p>
        </w:tc>
        <w:tc>
          <w:tcPr>
            <w:tcW w:w="7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660" w:hRule="atLeast"/>
          <w:jc w:val="center"/>
        </w:trPr>
        <w:tc>
          <w:tcPr>
            <w:tcW w:w="1020"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2080501</w:t>
            </w:r>
          </w:p>
        </w:tc>
        <w:tc>
          <w:tcPr>
            <w:tcW w:w="2220" w:type="dxa"/>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归口管理的行政单位离退休</w:t>
            </w:r>
          </w:p>
        </w:tc>
        <w:tc>
          <w:tcPr>
            <w:tcW w:w="108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2.04</w:t>
            </w:r>
          </w:p>
        </w:tc>
        <w:tc>
          <w:tcPr>
            <w:tcW w:w="9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2.04</w:t>
            </w:r>
          </w:p>
        </w:tc>
        <w:tc>
          <w:tcPr>
            <w:tcW w:w="7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630" w:hRule="atLeast"/>
          <w:jc w:val="center"/>
        </w:trPr>
        <w:tc>
          <w:tcPr>
            <w:tcW w:w="1020"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2080505</w:t>
            </w:r>
          </w:p>
        </w:tc>
        <w:tc>
          <w:tcPr>
            <w:tcW w:w="2220" w:type="dxa"/>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机关事业单位基本养老保险缴费支出</w:t>
            </w:r>
          </w:p>
        </w:tc>
        <w:tc>
          <w:tcPr>
            <w:tcW w:w="108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5.70</w:t>
            </w:r>
          </w:p>
        </w:tc>
        <w:tc>
          <w:tcPr>
            <w:tcW w:w="9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5.70</w:t>
            </w:r>
          </w:p>
        </w:tc>
        <w:tc>
          <w:tcPr>
            <w:tcW w:w="7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210</w:t>
            </w:r>
          </w:p>
        </w:tc>
        <w:tc>
          <w:tcPr>
            <w:tcW w:w="2220" w:type="dxa"/>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卫生健康支出</w:t>
            </w:r>
          </w:p>
        </w:tc>
        <w:tc>
          <w:tcPr>
            <w:tcW w:w="108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9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7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21011</w:t>
            </w:r>
          </w:p>
        </w:tc>
        <w:tc>
          <w:tcPr>
            <w:tcW w:w="2220" w:type="dxa"/>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行政事业单位医疗</w:t>
            </w:r>
          </w:p>
        </w:tc>
        <w:tc>
          <w:tcPr>
            <w:tcW w:w="108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9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7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2101101</w:t>
            </w:r>
          </w:p>
        </w:tc>
        <w:tc>
          <w:tcPr>
            <w:tcW w:w="2220" w:type="dxa"/>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行政单位医疗</w:t>
            </w:r>
          </w:p>
        </w:tc>
        <w:tc>
          <w:tcPr>
            <w:tcW w:w="108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9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7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221</w:t>
            </w:r>
          </w:p>
        </w:tc>
        <w:tc>
          <w:tcPr>
            <w:tcW w:w="2220" w:type="dxa"/>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住房保障支出</w:t>
            </w:r>
          </w:p>
        </w:tc>
        <w:tc>
          <w:tcPr>
            <w:tcW w:w="108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9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7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color w:val="000000"/>
                <w:kern w:val="0"/>
                <w:sz w:val="22"/>
              </w:rPr>
            </w:pPr>
            <w:r>
              <w:rPr>
                <w:rFonts w:ascii="宋体" w:hAnsi="宋体" w:eastAsia="宋体" w:cs="Arial"/>
                <w:color w:val="000000"/>
                <w:kern w:val="0"/>
                <w:sz w:val="22"/>
              </w:rPr>
              <w:t>22102</w:t>
            </w:r>
          </w:p>
        </w:tc>
        <w:tc>
          <w:tcPr>
            <w:tcW w:w="2220" w:type="dxa"/>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住房改革支出</w:t>
            </w:r>
          </w:p>
        </w:tc>
        <w:tc>
          <w:tcPr>
            <w:tcW w:w="108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9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7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color w:val="000000"/>
                <w:kern w:val="0"/>
                <w:sz w:val="22"/>
              </w:rPr>
            </w:pPr>
            <w:r>
              <w:rPr>
                <w:rFonts w:ascii="宋体" w:hAnsi="宋体" w:eastAsia="宋体" w:cs="Arial"/>
                <w:color w:val="000000"/>
                <w:kern w:val="0"/>
                <w:sz w:val="22"/>
              </w:rPr>
              <w:t>2210201</w:t>
            </w:r>
          </w:p>
        </w:tc>
        <w:tc>
          <w:tcPr>
            <w:tcW w:w="222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住房公积金</w:t>
            </w:r>
          </w:p>
        </w:tc>
        <w:tc>
          <w:tcPr>
            <w:tcW w:w="108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9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7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7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3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02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220"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43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9850" w:type="dxa"/>
            <w:gridSpan w:val="13"/>
            <w:tcBorders>
              <w:top w:val="nil"/>
              <w:left w:val="nil"/>
              <w:bottom w:val="nil"/>
              <w:right w:val="nil"/>
            </w:tcBorders>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注：本表反映部门本年度取得的各项收入情况。</w:t>
            </w:r>
          </w:p>
        </w:tc>
      </w:tr>
    </w:tbl>
    <w:p>
      <w:r>
        <w:br w:type="page"/>
      </w:r>
    </w:p>
    <w:tbl>
      <w:tblPr>
        <w:tblStyle w:val="6"/>
        <w:tblW w:w="9710" w:type="dxa"/>
        <w:jc w:val="center"/>
        <w:tblLayout w:type="fixed"/>
        <w:tblCellMar>
          <w:top w:w="0" w:type="dxa"/>
          <w:left w:w="0" w:type="dxa"/>
          <w:bottom w:w="0" w:type="dxa"/>
          <w:right w:w="0" w:type="dxa"/>
        </w:tblCellMar>
      </w:tblPr>
      <w:tblGrid>
        <w:gridCol w:w="339"/>
        <w:gridCol w:w="339"/>
        <w:gridCol w:w="294"/>
        <w:gridCol w:w="50"/>
        <w:gridCol w:w="111"/>
        <w:gridCol w:w="1358"/>
        <w:gridCol w:w="889"/>
        <w:gridCol w:w="271"/>
        <w:gridCol w:w="629"/>
        <w:gridCol w:w="532"/>
        <w:gridCol w:w="288"/>
        <w:gridCol w:w="879"/>
        <w:gridCol w:w="819"/>
        <w:gridCol w:w="341"/>
        <w:gridCol w:w="639"/>
        <w:gridCol w:w="522"/>
        <w:gridCol w:w="907"/>
        <w:gridCol w:w="466"/>
        <w:gridCol w:w="37"/>
      </w:tblGrid>
      <w:tr>
        <w:tblPrEx>
          <w:tblCellMar>
            <w:top w:w="0" w:type="dxa"/>
            <w:left w:w="0" w:type="dxa"/>
            <w:bottom w:w="0" w:type="dxa"/>
            <w:right w:w="0" w:type="dxa"/>
          </w:tblCellMar>
        </w:tblPrEx>
        <w:trPr>
          <w:gridAfter w:val="1"/>
          <w:wAfter w:w="37" w:type="dxa"/>
          <w:trHeight w:val="612" w:hRule="atLeast"/>
          <w:jc w:val="center"/>
        </w:trPr>
        <w:tc>
          <w:tcPr>
            <w:tcW w:w="9673" w:type="dxa"/>
            <w:gridSpan w:val="18"/>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72" w:type="dxa"/>
            <w:gridSpan w:val="3"/>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0"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7"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0"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108" w:type="dxa"/>
            <w:bottom w:w="0" w:type="dxa"/>
            <w:right w:w="108" w:type="dxa"/>
          </w:tblCellMar>
        </w:tblPrEx>
        <w:trPr>
          <w:gridAfter w:val="2"/>
          <w:wAfter w:w="503" w:type="dxa"/>
          <w:trHeight w:val="255" w:hRule="atLeast"/>
          <w:jc w:val="center"/>
        </w:trPr>
        <w:tc>
          <w:tcPr>
            <w:tcW w:w="339"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339"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344" w:type="dxa"/>
            <w:gridSpan w:val="2"/>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2358" w:type="dxa"/>
            <w:gridSpan w:val="3"/>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900" w:type="dxa"/>
            <w:gridSpan w:val="2"/>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820" w:type="dxa"/>
            <w:gridSpan w:val="2"/>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879"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819"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980" w:type="dxa"/>
            <w:gridSpan w:val="2"/>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1429" w:type="dxa"/>
            <w:gridSpan w:val="2"/>
            <w:tcBorders>
              <w:top w:val="nil"/>
              <w:left w:val="nil"/>
              <w:bottom w:val="nil"/>
              <w:right w:val="nil"/>
            </w:tcBorders>
            <w:noWrap/>
            <w:vAlign w:val="bottom"/>
          </w:tcPr>
          <w:p>
            <w:pPr>
              <w:widowControl/>
              <w:jc w:val="right"/>
              <w:rPr>
                <w:rFonts w:ascii="宋体" w:hAnsi="宋体" w:eastAsia="宋体" w:cs="Arial"/>
                <w:color w:val="000000"/>
                <w:kern w:val="0"/>
                <w:sz w:val="20"/>
                <w:szCs w:val="20"/>
              </w:rPr>
            </w:pPr>
          </w:p>
        </w:tc>
      </w:tr>
      <w:tr>
        <w:tblPrEx>
          <w:tblCellMar>
            <w:top w:w="0" w:type="dxa"/>
            <w:left w:w="108" w:type="dxa"/>
            <w:bottom w:w="0" w:type="dxa"/>
            <w:right w:w="108" w:type="dxa"/>
          </w:tblCellMar>
        </w:tblPrEx>
        <w:trPr>
          <w:gridAfter w:val="2"/>
          <w:wAfter w:w="503" w:type="dxa"/>
          <w:trHeight w:val="255" w:hRule="atLeast"/>
          <w:jc w:val="center"/>
        </w:trPr>
        <w:tc>
          <w:tcPr>
            <w:tcW w:w="4280" w:type="dxa"/>
            <w:gridSpan w:val="9"/>
            <w:tcBorders>
              <w:top w:val="nil"/>
              <w:left w:val="nil"/>
              <w:bottom w:val="nil"/>
              <w:right w:val="nil"/>
            </w:tcBorders>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部门：中共保定市满城区直属机关工作委员会</w:t>
            </w:r>
          </w:p>
        </w:tc>
        <w:tc>
          <w:tcPr>
            <w:tcW w:w="820" w:type="dxa"/>
            <w:gridSpan w:val="2"/>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879"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819"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980" w:type="dxa"/>
            <w:gridSpan w:val="2"/>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1429" w:type="dxa"/>
            <w:gridSpan w:val="2"/>
            <w:tcBorders>
              <w:top w:val="nil"/>
              <w:left w:val="nil"/>
              <w:bottom w:val="nil"/>
              <w:right w:val="nil"/>
            </w:tcBorders>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gridAfter w:val="2"/>
          <w:wAfter w:w="503" w:type="dxa"/>
          <w:trHeight w:val="308" w:hRule="atLeast"/>
          <w:jc w:val="center"/>
        </w:trPr>
        <w:tc>
          <w:tcPr>
            <w:tcW w:w="3380" w:type="dxa"/>
            <w:gridSpan w:val="7"/>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90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82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879"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819"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98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142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CellMar>
            <w:top w:w="0" w:type="dxa"/>
            <w:left w:w="108" w:type="dxa"/>
            <w:bottom w:w="0" w:type="dxa"/>
            <w:right w:w="108" w:type="dxa"/>
          </w:tblCellMar>
        </w:tblPrEx>
        <w:trPr>
          <w:gridAfter w:val="2"/>
          <w:wAfter w:w="503" w:type="dxa"/>
          <w:trHeight w:val="312" w:hRule="atLeast"/>
          <w:jc w:val="center"/>
        </w:trPr>
        <w:tc>
          <w:tcPr>
            <w:tcW w:w="1022"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2358" w:type="dxa"/>
            <w:gridSpan w:val="3"/>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9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1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8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2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312" w:hRule="atLeast"/>
          <w:jc w:val="center"/>
        </w:trPr>
        <w:tc>
          <w:tcPr>
            <w:tcW w:w="1022"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358"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1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8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2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312" w:hRule="atLeast"/>
          <w:jc w:val="center"/>
        </w:trPr>
        <w:tc>
          <w:tcPr>
            <w:tcW w:w="1022"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358"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1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8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2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308" w:hRule="atLeast"/>
          <w:jc w:val="center"/>
        </w:trPr>
        <w:tc>
          <w:tcPr>
            <w:tcW w:w="3380" w:type="dxa"/>
            <w:gridSpan w:val="7"/>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90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ascii="宋体" w:hAnsi="宋体" w:eastAsia="宋体" w:cs="Arial"/>
                <w:color w:val="000000"/>
                <w:kern w:val="0"/>
                <w:sz w:val="22"/>
              </w:rPr>
              <w:t>1</w:t>
            </w:r>
          </w:p>
        </w:tc>
        <w:tc>
          <w:tcPr>
            <w:tcW w:w="82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ascii="宋体" w:hAnsi="宋体" w:eastAsia="宋体" w:cs="Arial"/>
                <w:color w:val="000000"/>
                <w:kern w:val="0"/>
                <w:sz w:val="22"/>
              </w:rPr>
              <w:t>2</w:t>
            </w:r>
          </w:p>
        </w:tc>
        <w:tc>
          <w:tcPr>
            <w:tcW w:w="879"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ascii="宋体" w:hAnsi="宋体" w:eastAsia="宋体" w:cs="Arial"/>
                <w:color w:val="000000"/>
                <w:kern w:val="0"/>
                <w:sz w:val="22"/>
              </w:rPr>
              <w:t>3</w:t>
            </w:r>
          </w:p>
        </w:tc>
        <w:tc>
          <w:tcPr>
            <w:tcW w:w="819"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ascii="宋体" w:hAnsi="宋体" w:eastAsia="宋体" w:cs="Arial"/>
                <w:color w:val="000000"/>
                <w:kern w:val="0"/>
                <w:sz w:val="22"/>
              </w:rPr>
              <w:t>4</w:t>
            </w:r>
          </w:p>
        </w:tc>
        <w:tc>
          <w:tcPr>
            <w:tcW w:w="9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ascii="宋体" w:hAnsi="宋体" w:eastAsia="宋体" w:cs="Arial"/>
                <w:color w:val="000000"/>
                <w:kern w:val="0"/>
                <w:sz w:val="22"/>
              </w:rPr>
              <w:t>5</w:t>
            </w:r>
          </w:p>
        </w:tc>
        <w:tc>
          <w:tcPr>
            <w:tcW w:w="1429"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ascii="宋体" w:hAnsi="宋体" w:eastAsia="宋体" w:cs="Arial"/>
                <w:color w:val="000000"/>
                <w:kern w:val="0"/>
                <w:sz w:val="22"/>
              </w:rPr>
              <w:t>6</w:t>
            </w:r>
          </w:p>
        </w:tc>
      </w:tr>
      <w:tr>
        <w:tblPrEx>
          <w:tblCellMar>
            <w:top w:w="0" w:type="dxa"/>
            <w:left w:w="108" w:type="dxa"/>
            <w:bottom w:w="0" w:type="dxa"/>
            <w:right w:w="108" w:type="dxa"/>
          </w:tblCellMar>
        </w:tblPrEx>
        <w:trPr>
          <w:gridAfter w:val="2"/>
          <w:wAfter w:w="503" w:type="dxa"/>
          <w:trHeight w:val="308" w:hRule="atLeast"/>
          <w:jc w:val="center"/>
        </w:trPr>
        <w:tc>
          <w:tcPr>
            <w:tcW w:w="3380" w:type="dxa"/>
            <w:gridSpan w:val="7"/>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90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b/>
                <w:bCs/>
                <w:color w:val="000000"/>
                <w:kern w:val="0"/>
                <w:sz w:val="22"/>
              </w:rPr>
            </w:pPr>
            <w:r>
              <w:rPr>
                <w:rFonts w:ascii="宋体" w:hAnsi="宋体" w:eastAsia="宋体" w:cs="宋体"/>
                <w:color w:val="000000"/>
                <w:kern w:val="0"/>
                <w:sz w:val="22"/>
              </w:rPr>
              <w:t>62.42</w:t>
            </w:r>
          </w:p>
        </w:tc>
        <w:tc>
          <w:tcPr>
            <w:tcW w:w="82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b/>
                <w:bCs/>
                <w:color w:val="000000"/>
                <w:kern w:val="0"/>
                <w:sz w:val="22"/>
              </w:rPr>
            </w:pPr>
            <w:r>
              <w:rPr>
                <w:rFonts w:ascii="宋体" w:hAnsi="宋体" w:eastAsia="宋体" w:cs="宋体"/>
                <w:color w:val="000000"/>
                <w:kern w:val="0"/>
                <w:sz w:val="22"/>
              </w:rPr>
              <w:t>62.42</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b/>
                <w:bCs/>
                <w:color w:val="000000"/>
                <w:kern w:val="0"/>
                <w:sz w:val="22"/>
              </w:rPr>
            </w:pP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b/>
                <w:bCs/>
                <w:color w:val="000000"/>
                <w:kern w:val="0"/>
                <w:sz w:val="22"/>
              </w:rPr>
            </w:pPr>
          </w:p>
        </w:tc>
        <w:tc>
          <w:tcPr>
            <w:tcW w:w="98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b/>
                <w:bCs/>
                <w:color w:val="000000"/>
                <w:kern w:val="0"/>
                <w:sz w:val="22"/>
              </w:rPr>
            </w:pPr>
          </w:p>
        </w:tc>
        <w:tc>
          <w:tcPr>
            <w:tcW w:w="14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b/>
                <w:bCs/>
                <w:color w:val="000000"/>
                <w:kern w:val="0"/>
                <w:sz w:val="22"/>
              </w:rPr>
            </w:pPr>
          </w:p>
        </w:tc>
      </w:tr>
      <w:tr>
        <w:tblPrEx>
          <w:tblCellMar>
            <w:top w:w="0" w:type="dxa"/>
            <w:left w:w="108" w:type="dxa"/>
            <w:bottom w:w="0" w:type="dxa"/>
            <w:right w:w="108" w:type="dxa"/>
          </w:tblCellMar>
        </w:tblPrEx>
        <w:trPr>
          <w:gridAfter w:val="2"/>
          <w:wAfter w:w="503" w:type="dxa"/>
          <w:trHeight w:val="585" w:hRule="atLeast"/>
          <w:jc w:val="center"/>
        </w:trPr>
        <w:tc>
          <w:tcPr>
            <w:tcW w:w="1022"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201</w:t>
            </w:r>
          </w:p>
        </w:tc>
        <w:tc>
          <w:tcPr>
            <w:tcW w:w="2358" w:type="dxa"/>
            <w:gridSpan w:val="3"/>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一般公共服务支出</w:t>
            </w:r>
          </w:p>
        </w:tc>
        <w:tc>
          <w:tcPr>
            <w:tcW w:w="90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82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645" w:hRule="atLeast"/>
          <w:jc w:val="center"/>
        </w:trPr>
        <w:tc>
          <w:tcPr>
            <w:tcW w:w="1022"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20128</w:t>
            </w:r>
          </w:p>
        </w:tc>
        <w:tc>
          <w:tcPr>
            <w:tcW w:w="2358" w:type="dxa"/>
            <w:gridSpan w:val="3"/>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民主党派及工商联事务</w:t>
            </w:r>
          </w:p>
        </w:tc>
        <w:tc>
          <w:tcPr>
            <w:tcW w:w="90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82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615" w:hRule="atLeast"/>
          <w:jc w:val="center"/>
        </w:trPr>
        <w:tc>
          <w:tcPr>
            <w:tcW w:w="1022"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2012801</w:t>
            </w:r>
          </w:p>
        </w:tc>
        <w:tc>
          <w:tcPr>
            <w:tcW w:w="2358" w:type="dxa"/>
            <w:gridSpan w:val="3"/>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行政运行</w:t>
            </w:r>
          </w:p>
        </w:tc>
        <w:tc>
          <w:tcPr>
            <w:tcW w:w="90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82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630" w:hRule="atLeast"/>
          <w:jc w:val="center"/>
        </w:trPr>
        <w:tc>
          <w:tcPr>
            <w:tcW w:w="1022"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208</w:t>
            </w:r>
          </w:p>
        </w:tc>
        <w:tc>
          <w:tcPr>
            <w:tcW w:w="2358" w:type="dxa"/>
            <w:gridSpan w:val="3"/>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社会保障和就业支出</w:t>
            </w:r>
          </w:p>
        </w:tc>
        <w:tc>
          <w:tcPr>
            <w:tcW w:w="90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7.74</w:t>
            </w:r>
          </w:p>
        </w:tc>
        <w:tc>
          <w:tcPr>
            <w:tcW w:w="82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7.74</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690" w:hRule="atLeast"/>
          <w:jc w:val="center"/>
        </w:trPr>
        <w:tc>
          <w:tcPr>
            <w:tcW w:w="1022"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20805</w:t>
            </w:r>
          </w:p>
        </w:tc>
        <w:tc>
          <w:tcPr>
            <w:tcW w:w="2358" w:type="dxa"/>
            <w:gridSpan w:val="3"/>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行政事业单位离退休</w:t>
            </w:r>
          </w:p>
        </w:tc>
        <w:tc>
          <w:tcPr>
            <w:tcW w:w="90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7.74</w:t>
            </w:r>
          </w:p>
        </w:tc>
        <w:tc>
          <w:tcPr>
            <w:tcW w:w="82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7.74</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660" w:hRule="atLeast"/>
          <w:jc w:val="center"/>
        </w:trPr>
        <w:tc>
          <w:tcPr>
            <w:tcW w:w="1022"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2080501</w:t>
            </w:r>
          </w:p>
        </w:tc>
        <w:tc>
          <w:tcPr>
            <w:tcW w:w="2358" w:type="dxa"/>
            <w:gridSpan w:val="3"/>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归口管理的行政单位离退休</w:t>
            </w:r>
          </w:p>
        </w:tc>
        <w:tc>
          <w:tcPr>
            <w:tcW w:w="90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2.04</w:t>
            </w:r>
          </w:p>
        </w:tc>
        <w:tc>
          <w:tcPr>
            <w:tcW w:w="82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2.04</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615" w:hRule="atLeast"/>
          <w:jc w:val="center"/>
        </w:trPr>
        <w:tc>
          <w:tcPr>
            <w:tcW w:w="1022"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2080505</w:t>
            </w:r>
          </w:p>
        </w:tc>
        <w:tc>
          <w:tcPr>
            <w:tcW w:w="2358" w:type="dxa"/>
            <w:gridSpan w:val="3"/>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机关事业单位基本养老保险缴费支出</w:t>
            </w:r>
          </w:p>
        </w:tc>
        <w:tc>
          <w:tcPr>
            <w:tcW w:w="90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5.70</w:t>
            </w:r>
          </w:p>
        </w:tc>
        <w:tc>
          <w:tcPr>
            <w:tcW w:w="82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5.70</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525" w:hRule="atLeast"/>
          <w:jc w:val="center"/>
        </w:trPr>
        <w:tc>
          <w:tcPr>
            <w:tcW w:w="1022"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210</w:t>
            </w:r>
          </w:p>
        </w:tc>
        <w:tc>
          <w:tcPr>
            <w:tcW w:w="2358" w:type="dxa"/>
            <w:gridSpan w:val="3"/>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卫生健康支出</w:t>
            </w:r>
          </w:p>
        </w:tc>
        <w:tc>
          <w:tcPr>
            <w:tcW w:w="90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82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510" w:hRule="atLeast"/>
          <w:jc w:val="center"/>
        </w:trPr>
        <w:tc>
          <w:tcPr>
            <w:tcW w:w="1022"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21011</w:t>
            </w:r>
          </w:p>
        </w:tc>
        <w:tc>
          <w:tcPr>
            <w:tcW w:w="2358" w:type="dxa"/>
            <w:gridSpan w:val="3"/>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行政事业单位医疗</w:t>
            </w:r>
          </w:p>
        </w:tc>
        <w:tc>
          <w:tcPr>
            <w:tcW w:w="90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82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495" w:hRule="atLeast"/>
          <w:jc w:val="center"/>
        </w:trPr>
        <w:tc>
          <w:tcPr>
            <w:tcW w:w="1022"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2101101</w:t>
            </w:r>
          </w:p>
        </w:tc>
        <w:tc>
          <w:tcPr>
            <w:tcW w:w="2358" w:type="dxa"/>
            <w:gridSpan w:val="3"/>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行政单位医疗</w:t>
            </w:r>
          </w:p>
        </w:tc>
        <w:tc>
          <w:tcPr>
            <w:tcW w:w="90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82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510" w:hRule="atLeast"/>
          <w:jc w:val="center"/>
        </w:trPr>
        <w:tc>
          <w:tcPr>
            <w:tcW w:w="1022"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221</w:t>
            </w:r>
          </w:p>
        </w:tc>
        <w:tc>
          <w:tcPr>
            <w:tcW w:w="2358" w:type="dxa"/>
            <w:gridSpan w:val="3"/>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住房保障支出</w:t>
            </w:r>
          </w:p>
        </w:tc>
        <w:tc>
          <w:tcPr>
            <w:tcW w:w="90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82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435" w:hRule="atLeast"/>
          <w:jc w:val="center"/>
        </w:trPr>
        <w:tc>
          <w:tcPr>
            <w:tcW w:w="1022"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22102</w:t>
            </w:r>
          </w:p>
        </w:tc>
        <w:tc>
          <w:tcPr>
            <w:tcW w:w="2358" w:type="dxa"/>
            <w:gridSpan w:val="3"/>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住房改革支出</w:t>
            </w:r>
          </w:p>
        </w:tc>
        <w:tc>
          <w:tcPr>
            <w:tcW w:w="90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82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465" w:hRule="atLeast"/>
          <w:jc w:val="center"/>
        </w:trPr>
        <w:tc>
          <w:tcPr>
            <w:tcW w:w="1022"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2210201</w:t>
            </w:r>
          </w:p>
        </w:tc>
        <w:tc>
          <w:tcPr>
            <w:tcW w:w="2358" w:type="dxa"/>
            <w:gridSpan w:val="3"/>
            <w:tcBorders>
              <w:top w:val="nil"/>
              <w:left w:val="nil"/>
              <w:bottom w:val="single" w:color="000000" w:sz="4" w:space="0"/>
              <w:right w:val="single" w:color="000000" w:sz="4" w:space="0"/>
            </w:tcBorders>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住房公积金</w:t>
            </w:r>
          </w:p>
        </w:tc>
        <w:tc>
          <w:tcPr>
            <w:tcW w:w="90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820"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98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c>
          <w:tcPr>
            <w:tcW w:w="14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2"/>
          <w:wAfter w:w="503" w:type="dxa"/>
          <w:trHeight w:val="308" w:hRule="atLeast"/>
          <w:jc w:val="center"/>
        </w:trPr>
        <w:tc>
          <w:tcPr>
            <w:tcW w:w="1022"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58" w:type="dxa"/>
            <w:gridSpan w:val="3"/>
            <w:tcBorders>
              <w:top w:val="nil"/>
              <w:left w:val="nil"/>
              <w:bottom w:val="single" w:color="000000" w:sz="4" w:space="0"/>
              <w:right w:val="single" w:color="000000" w:sz="4" w:space="0"/>
            </w:tcBorders>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0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7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8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4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2"/>
          <w:wAfter w:w="503" w:type="dxa"/>
          <w:trHeight w:val="308" w:hRule="atLeast"/>
          <w:jc w:val="center"/>
        </w:trPr>
        <w:tc>
          <w:tcPr>
            <w:tcW w:w="9207" w:type="dxa"/>
            <w:gridSpan w:val="17"/>
            <w:tcBorders>
              <w:top w:val="nil"/>
              <w:left w:val="nil"/>
              <w:bottom w:val="nil"/>
              <w:right w:val="nil"/>
            </w:tcBorders>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662"/>
        <w:gridCol w:w="2946"/>
        <w:gridCol w:w="507"/>
        <w:gridCol w:w="700"/>
        <w:gridCol w:w="709"/>
        <w:gridCol w:w="64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部门：机关工委</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511"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0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64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0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0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4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ascii="宋体" w:hAnsi="宋体" w:eastAsia="宋体" w:cs="Arial"/>
                <w:color w:val="000000"/>
                <w:sz w:val="22"/>
              </w:rPr>
              <w:t>62.42</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Arial"/>
                <w:color w:val="000000"/>
                <w:sz w:val="22"/>
                <w:lang w:val="en-US" w:eastAsia="zh-CN"/>
              </w:rPr>
            </w:pPr>
            <w:r>
              <w:rPr>
                <w:rFonts w:ascii="宋体" w:hAnsi="宋体" w:eastAsia="宋体" w:cs="Arial"/>
                <w:color w:val="000000"/>
                <w:sz w:val="22"/>
              </w:rPr>
              <w:t>50</w:t>
            </w:r>
            <w:r>
              <w:rPr>
                <w:rFonts w:hint="eastAsia" w:ascii="宋体" w:hAnsi="宋体" w:eastAsia="宋体" w:cs="Arial"/>
                <w:color w:val="000000"/>
                <w:sz w:val="22"/>
                <w:lang w:val="en-US" w:eastAsia="zh-CN"/>
              </w:rPr>
              <w:t>.00</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Arial"/>
                <w:color w:val="000000"/>
                <w:sz w:val="22"/>
                <w:lang w:val="en-US" w:eastAsia="zh-CN"/>
              </w:rPr>
            </w:pPr>
            <w:r>
              <w:rPr>
                <w:rFonts w:ascii="宋体" w:hAnsi="宋体" w:eastAsia="宋体" w:cs="Arial"/>
                <w:color w:val="000000"/>
                <w:sz w:val="22"/>
              </w:rPr>
              <w:t>50</w:t>
            </w:r>
            <w:r>
              <w:rPr>
                <w:rFonts w:hint="eastAsia" w:ascii="宋体" w:hAnsi="宋体" w:eastAsia="宋体" w:cs="Arial"/>
                <w:color w:val="000000"/>
                <w:sz w:val="22"/>
                <w:lang w:val="en-US" w:eastAsia="zh-CN"/>
              </w:rPr>
              <w:t>.00</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7.74</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7.74</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1.96</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1.96</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2.73</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2.73</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ascii="宋体" w:hAnsi="宋体" w:eastAsia="宋体" w:cs="Arial"/>
                <w:color w:val="000000"/>
                <w:sz w:val="22"/>
              </w:rPr>
              <w:t>62.42</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62.42</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62.42</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ascii="宋体" w:hAnsi="宋体" w:eastAsia="宋体" w:cs="Arial"/>
                <w:color w:val="000000"/>
                <w:sz w:val="22"/>
              </w:rPr>
              <w:t>62.42</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62.42</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62.42</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9990" w:type="dxa"/>
        <w:jc w:val="center"/>
        <w:tblLayout w:type="autofit"/>
        <w:tblCellMar>
          <w:top w:w="0" w:type="dxa"/>
          <w:left w:w="0" w:type="dxa"/>
          <w:bottom w:w="0" w:type="dxa"/>
          <w:right w:w="0" w:type="dxa"/>
        </w:tblCellMar>
      </w:tblPr>
      <w:tblGrid>
        <w:gridCol w:w="223"/>
        <w:gridCol w:w="223"/>
        <w:gridCol w:w="223"/>
        <w:gridCol w:w="223"/>
        <w:gridCol w:w="223"/>
        <w:gridCol w:w="8875"/>
      </w:tblGrid>
      <w:tr>
        <w:tblPrEx>
          <w:tblCellMar>
            <w:top w:w="0" w:type="dxa"/>
            <w:left w:w="0" w:type="dxa"/>
            <w:bottom w:w="0" w:type="dxa"/>
            <w:right w:w="0" w:type="dxa"/>
          </w:tblCellMar>
        </w:tblPrEx>
        <w:trPr>
          <w:trHeight w:val="600" w:hRule="atLeast"/>
          <w:jc w:val="center"/>
        </w:trPr>
        <w:tc>
          <w:tcPr>
            <w:tcW w:w="999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bl>
    <w:p/>
    <w:tbl>
      <w:tblPr>
        <w:tblStyle w:val="6"/>
        <w:tblW w:w="8440" w:type="dxa"/>
        <w:tblInd w:w="93" w:type="dxa"/>
        <w:tblLayout w:type="autofit"/>
        <w:tblCellMar>
          <w:top w:w="0" w:type="dxa"/>
          <w:left w:w="108" w:type="dxa"/>
          <w:bottom w:w="0" w:type="dxa"/>
          <w:right w:w="108" w:type="dxa"/>
        </w:tblCellMar>
      </w:tblPr>
      <w:tblGrid>
        <w:gridCol w:w="1020"/>
        <w:gridCol w:w="4000"/>
        <w:gridCol w:w="1140"/>
        <w:gridCol w:w="1100"/>
        <w:gridCol w:w="1180"/>
      </w:tblGrid>
      <w:tr>
        <w:tblPrEx>
          <w:tblCellMar>
            <w:top w:w="0" w:type="dxa"/>
            <w:left w:w="108" w:type="dxa"/>
            <w:bottom w:w="0" w:type="dxa"/>
            <w:right w:w="108" w:type="dxa"/>
          </w:tblCellMar>
        </w:tblPrEx>
        <w:trPr>
          <w:trHeight w:val="255" w:hRule="atLeast"/>
        </w:trPr>
        <w:tc>
          <w:tcPr>
            <w:tcW w:w="5020" w:type="dxa"/>
            <w:gridSpan w:val="2"/>
            <w:tcBorders>
              <w:top w:val="nil"/>
              <w:left w:val="nil"/>
              <w:bottom w:val="nil"/>
              <w:right w:val="nil"/>
            </w:tcBorders>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部门：中共保定市满城区直属机关工作委员会</w:t>
            </w:r>
          </w:p>
        </w:tc>
        <w:tc>
          <w:tcPr>
            <w:tcW w:w="114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1100" w:type="dxa"/>
            <w:tcBorders>
              <w:top w:val="nil"/>
              <w:left w:val="nil"/>
              <w:bottom w:val="nil"/>
              <w:right w:val="nil"/>
            </w:tcBorders>
            <w:noWrap/>
            <w:vAlign w:val="bottom"/>
          </w:tcPr>
          <w:p>
            <w:pPr>
              <w:widowControl/>
              <w:jc w:val="left"/>
              <w:rPr>
                <w:rFonts w:ascii="Arial" w:hAnsi="Arial" w:eastAsia="宋体" w:cs="Arial"/>
                <w:color w:val="000000"/>
                <w:kern w:val="0"/>
                <w:sz w:val="20"/>
                <w:szCs w:val="20"/>
              </w:rPr>
            </w:pPr>
          </w:p>
        </w:tc>
        <w:tc>
          <w:tcPr>
            <w:tcW w:w="1180" w:type="dxa"/>
            <w:tcBorders>
              <w:top w:val="nil"/>
              <w:left w:val="nil"/>
              <w:bottom w:val="nil"/>
              <w:right w:val="nil"/>
            </w:tcBorders>
            <w:noWrap/>
            <w:vAlign w:val="bottom"/>
          </w:tcPr>
          <w:p>
            <w:pPr>
              <w:widowControl/>
              <w:jc w:val="right"/>
              <w:rPr>
                <w:rFonts w:ascii="宋体" w:hAnsi="宋体" w:eastAsia="宋体" w:cs="Arial"/>
                <w:color w:val="000000"/>
                <w:kern w:val="0"/>
                <w:sz w:val="20"/>
                <w:szCs w:val="20"/>
              </w:rPr>
            </w:pPr>
          </w:p>
        </w:tc>
      </w:tr>
      <w:tr>
        <w:tblPrEx>
          <w:tblCellMar>
            <w:top w:w="0" w:type="dxa"/>
            <w:left w:w="108" w:type="dxa"/>
            <w:bottom w:w="0" w:type="dxa"/>
            <w:right w:w="108" w:type="dxa"/>
          </w:tblCellMar>
        </w:tblPrEx>
        <w:trPr>
          <w:trHeight w:val="308" w:hRule="atLeast"/>
        </w:trPr>
        <w:tc>
          <w:tcPr>
            <w:tcW w:w="50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342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r>
      <w:tr>
        <w:tblPrEx>
          <w:tblCellMar>
            <w:top w:w="0" w:type="dxa"/>
            <w:left w:w="108" w:type="dxa"/>
            <w:bottom w:w="0" w:type="dxa"/>
            <w:right w:w="108" w:type="dxa"/>
          </w:tblCellMar>
        </w:tblPrEx>
        <w:trPr>
          <w:trHeight w:val="312" w:hRule="atLeast"/>
        </w:trPr>
        <w:tc>
          <w:tcPr>
            <w:tcW w:w="102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4000" w:type="dxa"/>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14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10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18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r>
      <w:tr>
        <w:tblPrEx>
          <w:tblCellMar>
            <w:top w:w="0" w:type="dxa"/>
            <w:left w:w="108" w:type="dxa"/>
            <w:bottom w:w="0" w:type="dxa"/>
            <w:right w:w="108" w:type="dxa"/>
          </w:tblCellMar>
        </w:tblPrEx>
        <w:trPr>
          <w:trHeight w:val="312" w:hRule="atLeast"/>
        </w:trPr>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5020"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14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color w:val="000000"/>
                <w:kern w:val="0"/>
                <w:sz w:val="22"/>
              </w:rPr>
            </w:pPr>
            <w:r>
              <w:rPr>
                <w:rFonts w:ascii="宋体" w:hAnsi="宋体" w:eastAsia="宋体" w:cs="Arial"/>
                <w:color w:val="000000"/>
                <w:kern w:val="0"/>
                <w:sz w:val="22"/>
              </w:rPr>
              <w:t>1</w:t>
            </w:r>
          </w:p>
        </w:tc>
        <w:tc>
          <w:tcPr>
            <w:tcW w:w="110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color w:val="000000"/>
                <w:kern w:val="0"/>
                <w:sz w:val="22"/>
              </w:rPr>
            </w:pPr>
            <w:r>
              <w:rPr>
                <w:rFonts w:ascii="宋体" w:hAnsi="宋体" w:eastAsia="宋体" w:cs="Arial"/>
                <w:color w:val="000000"/>
                <w:kern w:val="0"/>
                <w:sz w:val="22"/>
              </w:rPr>
              <w:t>2</w:t>
            </w:r>
          </w:p>
        </w:tc>
        <w:tc>
          <w:tcPr>
            <w:tcW w:w="118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color w:val="000000"/>
                <w:kern w:val="0"/>
                <w:sz w:val="22"/>
              </w:rPr>
            </w:pPr>
            <w:r>
              <w:rPr>
                <w:rFonts w:ascii="宋体" w:hAnsi="宋体" w:eastAsia="宋体" w:cs="Arial"/>
                <w:color w:val="000000"/>
                <w:kern w:val="0"/>
                <w:sz w:val="22"/>
              </w:rPr>
              <w:t>3</w:t>
            </w:r>
          </w:p>
        </w:tc>
      </w:tr>
      <w:tr>
        <w:tblPrEx>
          <w:tblCellMar>
            <w:top w:w="0" w:type="dxa"/>
            <w:left w:w="108" w:type="dxa"/>
            <w:bottom w:w="0" w:type="dxa"/>
            <w:right w:w="108" w:type="dxa"/>
          </w:tblCellMar>
        </w:tblPrEx>
        <w:trPr>
          <w:trHeight w:val="308" w:hRule="atLeast"/>
        </w:trPr>
        <w:tc>
          <w:tcPr>
            <w:tcW w:w="5020"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b/>
                <w:bCs/>
                <w:color w:val="000000"/>
                <w:kern w:val="0"/>
                <w:sz w:val="22"/>
              </w:rPr>
            </w:pPr>
            <w:r>
              <w:rPr>
                <w:rFonts w:ascii="宋体" w:hAnsi="宋体" w:eastAsia="宋体" w:cs="宋体"/>
                <w:color w:val="000000"/>
                <w:kern w:val="0"/>
                <w:sz w:val="22"/>
              </w:rPr>
              <w:t>62.42</w:t>
            </w:r>
          </w:p>
        </w:tc>
        <w:tc>
          <w:tcPr>
            <w:tcW w:w="11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b/>
                <w:bCs/>
                <w:color w:val="000000"/>
                <w:kern w:val="0"/>
                <w:sz w:val="22"/>
              </w:rPr>
            </w:pPr>
            <w:r>
              <w:rPr>
                <w:rFonts w:ascii="宋体" w:hAnsi="宋体" w:eastAsia="宋体" w:cs="宋体"/>
                <w:color w:val="000000"/>
                <w:kern w:val="0"/>
                <w:sz w:val="22"/>
              </w:rPr>
              <w:t>62.42</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b/>
                <w:bCs/>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201</w:t>
            </w:r>
          </w:p>
        </w:tc>
        <w:tc>
          <w:tcPr>
            <w:tcW w:w="40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一般公共服务支出</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11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20128</w:t>
            </w:r>
          </w:p>
        </w:tc>
        <w:tc>
          <w:tcPr>
            <w:tcW w:w="40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民主党派及工商联事务</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11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2012801</w:t>
            </w:r>
          </w:p>
        </w:tc>
        <w:tc>
          <w:tcPr>
            <w:tcW w:w="40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行政运行</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11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50.00</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208</w:t>
            </w:r>
          </w:p>
        </w:tc>
        <w:tc>
          <w:tcPr>
            <w:tcW w:w="40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社会保障和就业支出</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7.74</w:t>
            </w:r>
          </w:p>
        </w:tc>
        <w:tc>
          <w:tcPr>
            <w:tcW w:w="11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7.74</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20805</w:t>
            </w:r>
          </w:p>
        </w:tc>
        <w:tc>
          <w:tcPr>
            <w:tcW w:w="40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行政事业单位离退休</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7.74</w:t>
            </w:r>
          </w:p>
        </w:tc>
        <w:tc>
          <w:tcPr>
            <w:tcW w:w="11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7.74</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2080501</w:t>
            </w:r>
          </w:p>
        </w:tc>
        <w:tc>
          <w:tcPr>
            <w:tcW w:w="40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归口管理的行政单位离退休</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2.04</w:t>
            </w:r>
          </w:p>
        </w:tc>
        <w:tc>
          <w:tcPr>
            <w:tcW w:w="11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2.04</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2080505</w:t>
            </w:r>
          </w:p>
        </w:tc>
        <w:tc>
          <w:tcPr>
            <w:tcW w:w="40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机关事业单位基本养老保险缴费支出</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5.70</w:t>
            </w:r>
          </w:p>
        </w:tc>
        <w:tc>
          <w:tcPr>
            <w:tcW w:w="11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5.70</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210</w:t>
            </w:r>
          </w:p>
        </w:tc>
        <w:tc>
          <w:tcPr>
            <w:tcW w:w="40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卫生健康支出</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11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21011</w:t>
            </w:r>
          </w:p>
        </w:tc>
        <w:tc>
          <w:tcPr>
            <w:tcW w:w="40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行政事业单位医疗</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11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2101101</w:t>
            </w:r>
          </w:p>
        </w:tc>
        <w:tc>
          <w:tcPr>
            <w:tcW w:w="40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行政单位医疗</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11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1.96</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221</w:t>
            </w:r>
          </w:p>
        </w:tc>
        <w:tc>
          <w:tcPr>
            <w:tcW w:w="40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住房保障支出</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11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22102</w:t>
            </w:r>
          </w:p>
        </w:tc>
        <w:tc>
          <w:tcPr>
            <w:tcW w:w="40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hint="eastAsia" w:ascii="宋体" w:hAnsi="宋体" w:eastAsia="宋体" w:cs="宋体"/>
                <w:color w:val="000000"/>
                <w:kern w:val="0"/>
                <w:sz w:val="22"/>
              </w:rPr>
              <w:t>住房改革支出</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11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2210201</w:t>
            </w:r>
          </w:p>
        </w:tc>
        <w:tc>
          <w:tcPr>
            <w:tcW w:w="40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eastAsia="宋体" w:cs="Arial"/>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住房公积金</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11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eastAsia="宋体" w:cs="Arial"/>
                <w:color w:val="000000"/>
                <w:kern w:val="0"/>
                <w:sz w:val="22"/>
              </w:rPr>
            </w:pPr>
            <w:r>
              <w:rPr>
                <w:rFonts w:ascii="宋体" w:hAnsi="宋体" w:eastAsia="宋体" w:cs="宋体"/>
                <w:color w:val="000000"/>
                <w:kern w:val="0"/>
                <w:sz w:val="22"/>
              </w:rPr>
              <w:t>2.73</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000"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14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r>
        <w:br w:type="page"/>
      </w:r>
    </w:p>
    <w:tbl>
      <w:tblPr>
        <w:tblStyle w:val="6"/>
        <w:tblW w:w="10103" w:type="dxa"/>
        <w:jc w:val="center"/>
        <w:tblLayout w:type="fixed"/>
        <w:tblCellMar>
          <w:top w:w="0" w:type="dxa"/>
          <w:left w:w="0" w:type="dxa"/>
          <w:bottom w:w="0" w:type="dxa"/>
          <w:right w:w="0" w:type="dxa"/>
        </w:tblCellMar>
      </w:tblPr>
      <w:tblGrid>
        <w:gridCol w:w="896"/>
        <w:gridCol w:w="1932"/>
        <w:gridCol w:w="783"/>
        <w:gridCol w:w="655"/>
        <w:gridCol w:w="1727"/>
        <w:gridCol w:w="640"/>
        <w:gridCol w:w="744"/>
        <w:gridCol w:w="2159"/>
        <w:gridCol w:w="567"/>
      </w:tblGrid>
      <w:tr>
        <w:tblPrEx>
          <w:tblCellMar>
            <w:top w:w="0" w:type="dxa"/>
            <w:left w:w="0" w:type="dxa"/>
            <w:bottom w:w="0" w:type="dxa"/>
            <w:right w:w="0" w:type="dxa"/>
          </w:tblCellMar>
        </w:tblPrEx>
        <w:trPr>
          <w:trHeight w:val="662" w:hRule="atLeast"/>
          <w:jc w:val="center"/>
        </w:trPr>
        <w:tc>
          <w:tcPr>
            <w:tcW w:w="10103"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72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726"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中共保定市满城区直属机关工作委员会</w:t>
            </w: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72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726"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492"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72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6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215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56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72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4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15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52.61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7.77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307</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16.96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30201</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0.51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30701</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12.54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30202</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0.14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30702</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10.45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30203</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30204</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31001</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30205</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31002</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5.70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30206</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31003</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30207</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2.11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31005</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1.96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30208</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31006</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30209</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31007</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30211</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0.74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31008</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2.73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30212</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31009</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30213</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31010</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2.28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30214</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31011</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2.04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30215</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31012</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30216</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31013</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2.04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31019</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30218</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31021</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30224</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31022</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30225</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31099</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30226</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399</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30227</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39906</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30228</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39907</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30229</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39908</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对民间非营利组织和群众性自治组织补贴</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30231</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1.42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39999</w:t>
            </w: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30239</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2.84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30240</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7.77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30299</w:t>
            </w:r>
          </w:p>
        </w:tc>
        <w:tc>
          <w:tcPr>
            <w:tcW w:w="172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6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0.51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215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0"/>
                <w:szCs w:val="20"/>
              </w:rPr>
            </w:pPr>
            <w:r>
              <w:rPr>
                <w:rFonts w:ascii="宋体" w:hAnsi="宋体" w:eastAsia="宋体" w:cs="宋体"/>
                <w:color w:val="000000"/>
                <w:kern w:val="0"/>
                <w:sz w:val="22"/>
              </w:rPr>
              <w:t>54.65</w:t>
            </w:r>
          </w:p>
        </w:tc>
        <w:tc>
          <w:tcPr>
            <w:tcW w:w="592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公用经费合计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0"/>
                <w:szCs w:val="20"/>
              </w:rPr>
            </w:pPr>
            <w:r>
              <w:rPr>
                <w:rFonts w:ascii="宋体" w:hAnsi="宋体" w:eastAsia="宋体" w:cs="宋体"/>
                <w:color w:val="000000"/>
                <w:kern w:val="0"/>
                <w:sz w:val="20"/>
                <w:szCs w:val="20"/>
              </w:rPr>
              <w:t>7.77</w:t>
            </w:r>
          </w:p>
        </w:tc>
      </w:tr>
    </w:tbl>
    <w:p>
      <w:r>
        <w:br w:type="page"/>
      </w:r>
    </w:p>
    <w:tbl>
      <w:tblPr>
        <w:tblStyle w:val="6"/>
        <w:tblW w:w="9220" w:type="dxa"/>
        <w:jc w:val="center"/>
        <w:tblLayout w:type="autofit"/>
        <w:tblCellMar>
          <w:top w:w="0" w:type="dxa"/>
          <w:left w:w="0" w:type="dxa"/>
          <w:bottom w:w="0" w:type="dxa"/>
          <w:right w:w="0" w:type="dxa"/>
        </w:tblCellMar>
      </w:tblPr>
      <w:tblGrid>
        <w:gridCol w:w="4030"/>
        <w:gridCol w:w="1220"/>
        <w:gridCol w:w="871"/>
        <w:gridCol w:w="656"/>
        <w:gridCol w:w="871"/>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部门：中共保定市满城区直属机关工作委员会</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eastAsia="宋体" w:cs="Arial"/>
                <w:color w:val="000000"/>
                <w:sz w:val="22"/>
              </w:rPr>
              <w:t>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cs="Arial"/>
                <w:color w:val="000000"/>
                <w:sz w:val="22"/>
              </w:rPr>
              <w:t>2.50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cs="Arial"/>
                <w:color w:val="000000"/>
                <w:sz w:val="22"/>
              </w:rPr>
              <w:t>2.50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eastAsia="宋体" w:cs="Arial"/>
                <w:color w:val="000000"/>
                <w:sz w:val="22"/>
              </w:rPr>
              <w:t>1.42</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eastAsia="宋体" w:cs="Arial"/>
                <w:color w:val="000000"/>
                <w:sz w:val="22"/>
              </w:rPr>
              <w:t>1.42</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eastAsia="宋体" w:cs="Arial"/>
                <w:color w:val="000000"/>
                <w:sz w:val="22"/>
              </w:rPr>
              <w:t>1.42</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Arial"/>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_GB2312" w:hAnsi="??_GB2312" w:eastAsia="Times New Roman" w:cs="??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4030"/>
        <w:gridCol w:w="36"/>
        <w:gridCol w:w="36"/>
        <w:gridCol w:w="910"/>
        <w:gridCol w:w="750"/>
        <w:gridCol w:w="750"/>
        <w:gridCol w:w="750"/>
        <w:gridCol w:w="750"/>
        <w:gridCol w:w="750"/>
        <w:gridCol w:w="7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部门：中共保定市满城区直属机关工作委员会</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35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1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22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22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22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本部门本年度无相关收支及结转结余情况，按要求以空表列示。</w:t>
      </w:r>
      <w:r>
        <w:br w:type="page"/>
      </w:r>
    </w:p>
    <w:tbl>
      <w:tblPr>
        <w:tblStyle w:val="6"/>
        <w:tblW w:w="9915" w:type="dxa"/>
        <w:jc w:val="center"/>
        <w:tblLayout w:type="autofit"/>
        <w:tblCellMar>
          <w:top w:w="0" w:type="dxa"/>
          <w:left w:w="0" w:type="dxa"/>
          <w:bottom w:w="0" w:type="dxa"/>
          <w:right w:w="0" w:type="dxa"/>
        </w:tblCellMar>
      </w:tblPr>
      <w:tblGrid>
        <w:gridCol w:w="4030"/>
        <w:gridCol w:w="36"/>
        <w:gridCol w:w="36"/>
        <w:gridCol w:w="3523"/>
        <w:gridCol w:w="470"/>
        <w:gridCol w:w="910"/>
        <w:gridCol w:w="91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部门：中共保定市满城区直属机关工作委员会</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本部门本年度无相关支出情况，按要求以空表列示。</w:t>
      </w:r>
      <w:r>
        <w:br w:type="page"/>
      </w:r>
    </w:p>
    <w:p>
      <w:r>
        <w:pict>
          <v:rect id="_x0000_s1042" o:spid="_x0000_s1042" o:spt="1" style="position:absolute;left:0pt;margin-left:-70.5pt;margin-top:-85.25pt;height:841.15pt;width:595.1pt;z-index:251668480;v-text-anchor:middle;mso-width-relative:page;mso-height-relative:page;" fillcolor="#FFC000" filled="t" stroked="f" coordsize="21600,21600">
            <v:path/>
            <v:fill on="t" focussize="0,0"/>
            <v:stroke on="f" weight="1pt"/>
            <v:imagedata o:title=""/>
            <o:lock v:ext="edit"/>
            <v:textbox>
              <w:txbxContent>
                <w:p/>
              </w:txbxContent>
            </v:textbox>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_GB2312">
    <w:altName w:val="Times New Roman"/>
    <w:panose1 w:val="00000000000000000000"/>
    <w:charset w:val="00"/>
    <w:family w:val="auto"/>
    <w:pitch w:val="default"/>
    <w:sig w:usb0="00000000" w:usb1="00000000" w:usb2="00000000" w:usb3="00000000" w:csb0="00000001" w:csb1="00000000"/>
  </w:font>
  <w:font w:name="方正小标宋">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思源黑体 HW Bold">
    <w:altName w:val="宋体"/>
    <w:panose1 w:val="00000000000000000000"/>
    <w:charset w:val="86"/>
    <w:family w:val="swiss"/>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07946"/>
    <w:rsid w:val="0007063E"/>
    <w:rsid w:val="00071ADD"/>
    <w:rsid w:val="00073392"/>
    <w:rsid w:val="00073F4E"/>
    <w:rsid w:val="00086C89"/>
    <w:rsid w:val="000A39FB"/>
    <w:rsid w:val="000D1092"/>
    <w:rsid w:val="0011621C"/>
    <w:rsid w:val="00117746"/>
    <w:rsid w:val="00163F95"/>
    <w:rsid w:val="00180A9A"/>
    <w:rsid w:val="001829C0"/>
    <w:rsid w:val="00184809"/>
    <w:rsid w:val="00192112"/>
    <w:rsid w:val="001B0127"/>
    <w:rsid w:val="001C12D5"/>
    <w:rsid w:val="001C69F7"/>
    <w:rsid w:val="001E45D3"/>
    <w:rsid w:val="002650EC"/>
    <w:rsid w:val="002A5E4A"/>
    <w:rsid w:val="002A6C46"/>
    <w:rsid w:val="002C19B5"/>
    <w:rsid w:val="002F6A9E"/>
    <w:rsid w:val="002F7768"/>
    <w:rsid w:val="0032551B"/>
    <w:rsid w:val="00337FA7"/>
    <w:rsid w:val="00371224"/>
    <w:rsid w:val="003A4EE8"/>
    <w:rsid w:val="004132CE"/>
    <w:rsid w:val="00442CC2"/>
    <w:rsid w:val="00444B84"/>
    <w:rsid w:val="00446244"/>
    <w:rsid w:val="00473C20"/>
    <w:rsid w:val="00490378"/>
    <w:rsid w:val="004C6B74"/>
    <w:rsid w:val="004D61CB"/>
    <w:rsid w:val="005011D6"/>
    <w:rsid w:val="00503F2E"/>
    <w:rsid w:val="00507026"/>
    <w:rsid w:val="00513585"/>
    <w:rsid w:val="00552226"/>
    <w:rsid w:val="00566120"/>
    <w:rsid w:val="00582E6D"/>
    <w:rsid w:val="0058602C"/>
    <w:rsid w:val="005954D5"/>
    <w:rsid w:val="005A53FA"/>
    <w:rsid w:val="005A5E05"/>
    <w:rsid w:val="005D1293"/>
    <w:rsid w:val="005D3740"/>
    <w:rsid w:val="00622C8C"/>
    <w:rsid w:val="00644D5F"/>
    <w:rsid w:val="006727AD"/>
    <w:rsid w:val="00691425"/>
    <w:rsid w:val="006A516E"/>
    <w:rsid w:val="006B0830"/>
    <w:rsid w:val="007053ED"/>
    <w:rsid w:val="00716E2B"/>
    <w:rsid w:val="0072015C"/>
    <w:rsid w:val="007237AD"/>
    <w:rsid w:val="00770F18"/>
    <w:rsid w:val="00773B74"/>
    <w:rsid w:val="0078290C"/>
    <w:rsid w:val="007C06CA"/>
    <w:rsid w:val="007C46B3"/>
    <w:rsid w:val="007D4F5D"/>
    <w:rsid w:val="00804702"/>
    <w:rsid w:val="008163FB"/>
    <w:rsid w:val="0082605B"/>
    <w:rsid w:val="00854359"/>
    <w:rsid w:val="00855C36"/>
    <w:rsid w:val="00857DBE"/>
    <w:rsid w:val="008701BC"/>
    <w:rsid w:val="00883D92"/>
    <w:rsid w:val="008A5362"/>
    <w:rsid w:val="008F21F1"/>
    <w:rsid w:val="008F221B"/>
    <w:rsid w:val="008F5A2D"/>
    <w:rsid w:val="00921602"/>
    <w:rsid w:val="0095140E"/>
    <w:rsid w:val="00957EA1"/>
    <w:rsid w:val="00966E5B"/>
    <w:rsid w:val="009B4EF0"/>
    <w:rsid w:val="009C0F54"/>
    <w:rsid w:val="009C4C73"/>
    <w:rsid w:val="009D271F"/>
    <w:rsid w:val="009E20FC"/>
    <w:rsid w:val="009F7854"/>
    <w:rsid w:val="00A4337A"/>
    <w:rsid w:val="00A53AF6"/>
    <w:rsid w:val="00A929C2"/>
    <w:rsid w:val="00AD097F"/>
    <w:rsid w:val="00B72E42"/>
    <w:rsid w:val="00B844F4"/>
    <w:rsid w:val="00B95FBD"/>
    <w:rsid w:val="00BA06A1"/>
    <w:rsid w:val="00BA770A"/>
    <w:rsid w:val="00BB274E"/>
    <w:rsid w:val="00BF4D15"/>
    <w:rsid w:val="00C054DE"/>
    <w:rsid w:val="00C679A9"/>
    <w:rsid w:val="00C7541C"/>
    <w:rsid w:val="00C81B51"/>
    <w:rsid w:val="00C86398"/>
    <w:rsid w:val="00CB7BAF"/>
    <w:rsid w:val="00CC0FAA"/>
    <w:rsid w:val="00CD0736"/>
    <w:rsid w:val="00CE3A12"/>
    <w:rsid w:val="00CE3BAF"/>
    <w:rsid w:val="00D1570F"/>
    <w:rsid w:val="00D32830"/>
    <w:rsid w:val="00D4125E"/>
    <w:rsid w:val="00D70AB5"/>
    <w:rsid w:val="00DA4B36"/>
    <w:rsid w:val="00DB7153"/>
    <w:rsid w:val="00DB7F05"/>
    <w:rsid w:val="00E028C3"/>
    <w:rsid w:val="00E14F77"/>
    <w:rsid w:val="00E3076B"/>
    <w:rsid w:val="00E36978"/>
    <w:rsid w:val="00E75CD2"/>
    <w:rsid w:val="00E82A1E"/>
    <w:rsid w:val="00E970E4"/>
    <w:rsid w:val="00EC06F4"/>
    <w:rsid w:val="00EE4E36"/>
    <w:rsid w:val="00F665F4"/>
    <w:rsid w:val="00FA0C51"/>
    <w:rsid w:val="00FB1D00"/>
    <w:rsid w:val="00FC6478"/>
    <w:rsid w:val="00FD225F"/>
    <w:rsid w:val="00FE6862"/>
    <w:rsid w:val="00FF16EE"/>
    <w:rsid w:val="02C65AFD"/>
    <w:rsid w:val="04D1731F"/>
    <w:rsid w:val="059837EB"/>
    <w:rsid w:val="166A51F9"/>
    <w:rsid w:val="1C4A5AC1"/>
    <w:rsid w:val="1D7D0205"/>
    <w:rsid w:val="1DC513D4"/>
    <w:rsid w:val="1DE4511A"/>
    <w:rsid w:val="1E4B0A9D"/>
    <w:rsid w:val="1EA71B0B"/>
    <w:rsid w:val="25016EAF"/>
    <w:rsid w:val="29A261BF"/>
    <w:rsid w:val="31C2036A"/>
    <w:rsid w:val="320D02A5"/>
    <w:rsid w:val="348E566F"/>
    <w:rsid w:val="361C6DB8"/>
    <w:rsid w:val="37A551F2"/>
    <w:rsid w:val="3A226944"/>
    <w:rsid w:val="3AEE6A48"/>
    <w:rsid w:val="3C1620AA"/>
    <w:rsid w:val="3CA31984"/>
    <w:rsid w:val="3D8F080F"/>
    <w:rsid w:val="4319036B"/>
    <w:rsid w:val="44CE1FA4"/>
    <w:rsid w:val="479E2E55"/>
    <w:rsid w:val="487F73ED"/>
    <w:rsid w:val="49E7510A"/>
    <w:rsid w:val="4A347EAE"/>
    <w:rsid w:val="52600405"/>
    <w:rsid w:val="529B4319"/>
    <w:rsid w:val="57773DD6"/>
    <w:rsid w:val="578B79AB"/>
    <w:rsid w:val="59A64DE7"/>
    <w:rsid w:val="5A0A7CF1"/>
    <w:rsid w:val="5C2D599B"/>
    <w:rsid w:val="5CCD3FD5"/>
    <w:rsid w:val="5EA4431F"/>
    <w:rsid w:val="619D6FA0"/>
    <w:rsid w:val="61FA5F9D"/>
    <w:rsid w:val="62E34B4E"/>
    <w:rsid w:val="64CD6910"/>
    <w:rsid w:val="64F83B9F"/>
    <w:rsid w:val="6789158D"/>
    <w:rsid w:val="67D81BA4"/>
    <w:rsid w:val="6AAF1C96"/>
    <w:rsid w:val="74F96E64"/>
    <w:rsid w:val="75681757"/>
    <w:rsid w:val="75A346A8"/>
    <w:rsid w:val="79B9382C"/>
    <w:rsid w:val="7B043B76"/>
    <w:rsid w:val="7C041A6A"/>
    <w:rsid w:val="7C1C140F"/>
    <w:rsid w:val="7E084380"/>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_GB2312" w:hAnsi="??_GB2312" w:eastAsia="宋体" w:cs="??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Heading 1 Char"/>
    <w:basedOn w:val="8"/>
    <w:link w:val="2"/>
    <w:qFormat/>
    <w:locked/>
    <w:uiPriority w:val="99"/>
    <w:rPr>
      <w:rFonts w:ascii="等线" w:hAnsi="等线" w:eastAsia="等线" w:cs="Times New Roman"/>
      <w:b/>
      <w:bCs/>
      <w:kern w:val="44"/>
      <w:sz w:val="44"/>
      <w:szCs w:val="44"/>
    </w:rPr>
  </w:style>
  <w:style w:type="character" w:customStyle="1" w:styleId="10">
    <w:name w:val="Body Text Char"/>
    <w:basedOn w:val="8"/>
    <w:link w:val="3"/>
    <w:semiHidden/>
    <w:qFormat/>
    <w:locked/>
    <w:uiPriority w:val="99"/>
    <w:rPr>
      <w:rFonts w:ascii="等线" w:hAnsi="等线" w:eastAsia="等线" w:cs="Times New Roman"/>
    </w:rPr>
  </w:style>
  <w:style w:type="character" w:customStyle="1" w:styleId="11">
    <w:name w:val="Footer Char"/>
    <w:basedOn w:val="8"/>
    <w:link w:val="4"/>
    <w:qFormat/>
    <w:locked/>
    <w:uiPriority w:val="99"/>
    <w:rPr>
      <w:rFonts w:cs="Times New Roman"/>
      <w:sz w:val="18"/>
      <w:szCs w:val="18"/>
    </w:rPr>
  </w:style>
  <w:style w:type="character" w:customStyle="1" w:styleId="12">
    <w:name w:val="Header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_GB2312" w:hAnsi="??_GB2312" w:eastAsia="宋体" w:cs="??_GB2312"/>
      <w:lang w:val="zh-CN"/>
    </w:rPr>
  </w:style>
  <w:style w:type="paragraph" w:customStyle="1" w:styleId="14">
    <w:name w:val="Default"/>
    <w:qFormat/>
    <w:uiPriority w:val="99"/>
    <w:pPr>
      <w:widowControl w:val="0"/>
      <w:autoSpaceDE w:val="0"/>
      <w:autoSpaceDN w:val="0"/>
      <w:adjustRightInd w:val="0"/>
    </w:pPr>
    <w:rPr>
      <w:rFonts w:ascii="方正小标宋" w:hAnsi="Calibri" w:eastAsia="方正小标宋" w:cs="方正小标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9"/>
    <customShpInfo spid="_x0000_s1031"/>
    <customShpInfo spid="_x0000_s1032"/>
    <customShpInfo spid="_x0000_s1030"/>
    <customShpInfo spid="_x0000_s1034"/>
    <customShpInfo spid="_x0000_s1035"/>
    <customShpInfo spid="_x0000_s1033"/>
    <customShpInfo spid="_x0000_s1036"/>
    <customShpInfo spid="_x0000_s1028"/>
    <customShpInfo spid="_x0000_s1037"/>
    <customShpInfo spid="_x0000_s1038"/>
    <customShpInfo spid="_x0000_s1039"/>
    <customShpInfo spid="_x0000_s1040"/>
    <customShpInfo spid="_x0000_s104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28</Pages>
  <Words>1588</Words>
  <Characters>9053</Characters>
  <Lines>0</Lines>
  <Paragraphs>0</Paragraphs>
  <TotalTime>2</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2021-05-17T01:47:00Z</dcterms:created>
  <dc:creator>王明新TIAD</dc:creator>
  <cp:lastModifiedBy>lenovo</cp:lastModifiedBy>
  <cp:lastPrinted>2021-05-07T07:20:00Z</cp:lastPrinted>
  <dcterms:modified xsi:type="dcterms:W3CDTF">2023-11-08T03:40:12Z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2CB41988DBF445DEB8F0E3E6D014902B</vt:lpwstr>
  </property>
</Properties>
</file>