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4384" behindDoc="0" locked="0" layoutInCell="1" allowOverlap="1">
            <wp:simplePos x="0" y="0"/>
            <wp:positionH relativeFrom="column">
              <wp:posOffset>-1000760</wp:posOffset>
            </wp:positionH>
            <wp:positionV relativeFrom="paragraph">
              <wp:posOffset>-1327150</wp:posOffset>
            </wp:positionV>
            <wp:extent cx="8529955" cy="10633075"/>
            <wp:effectExtent l="0" t="0" r="4445" b="4445"/>
            <wp:wrapNone/>
            <wp:docPr id="4" name="图片 4" descr="5f130fb85ad8f1bd9bba7c4eb55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f130fb85ad8f1bd9bba7c4eb555508"/>
                    <pic:cNvPicPr>
                      <a:picLocks noChangeAspect="1"/>
                    </pic:cNvPicPr>
                  </pic:nvPicPr>
                  <pic:blipFill>
                    <a:blip r:embed="rId10"/>
                    <a:stretch>
                      <a:fillRect/>
                    </a:stretch>
                  </pic:blipFill>
                  <pic:spPr>
                    <a:xfrm>
                      <a:off x="0" y="0"/>
                      <a:ext cx="8529955" cy="1063307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eastAsia" w:ascii="黑体" w:hAnsi="黑体" w:eastAsia="黑体" w:cs="黑体"/>
          <w:sz w:val="56"/>
          <w:szCs w:val="72"/>
          <w:lang w:eastAsia="zh-CN"/>
        </w:rPr>
      </w:pPr>
      <w:r>
        <w:rPr>
          <w:rFonts w:hint="eastAsia" w:ascii="黑体" w:hAnsi="黑体" w:eastAsia="黑体" w:cs="黑体"/>
          <w:sz w:val="56"/>
          <w:szCs w:val="72"/>
          <w:lang w:eastAsia="zh-CN"/>
        </w:rPr>
        <w:t>保定市满城区神星镇人民政府</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1、执行本级人民代表大会的决议和上级国家行政机关的决定和命令，发布决定和命令;</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2、执行本行政区域内的经济和社会发展计划、预算，管理本行政区域内的经济、教育、科学、文化、卫生、体育事业和财政、民政、公安、司法行政、计划生育等行政工作;</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3、保护社会主义的全民所有的财产和劳动群众集体所有的财产，保护公民私人所有的合法财产，维护社会秩序，保障公民的人身权利、民主权利和</w:t>
      </w:r>
      <w:r>
        <w:rPr>
          <w:rFonts w:hint="eastAsia" w:ascii="仿宋_GB2312" w:eastAsia="仿宋_GB2312" w:cs="Arial Black"/>
          <w:kern w:val="0"/>
          <w:sz w:val="32"/>
          <w:szCs w:val="32"/>
        </w:rPr>
        <w:fldChar w:fldCharType="begin"/>
      </w:r>
      <w:r>
        <w:rPr>
          <w:rFonts w:hint="eastAsia" w:ascii="仿宋_GB2312" w:eastAsia="仿宋_GB2312" w:cs="Arial Black"/>
          <w:kern w:val="0"/>
          <w:sz w:val="32"/>
          <w:szCs w:val="32"/>
        </w:rPr>
        <w:instrText xml:space="preserve"> HYPERLINK "http://www.oh100.com/qita/" \t "_blank" </w:instrText>
      </w:r>
      <w:r>
        <w:rPr>
          <w:rFonts w:hint="eastAsia" w:ascii="仿宋_GB2312" w:eastAsia="仿宋_GB2312" w:cs="Arial Black"/>
          <w:kern w:val="0"/>
          <w:sz w:val="32"/>
          <w:szCs w:val="32"/>
        </w:rPr>
        <w:fldChar w:fldCharType="separate"/>
      </w:r>
      <w:r>
        <w:rPr>
          <w:rFonts w:hint="eastAsia" w:ascii="仿宋_GB2312" w:eastAsia="仿宋_GB2312" w:cs="Arial Black"/>
          <w:kern w:val="0"/>
          <w:sz w:val="32"/>
          <w:szCs w:val="32"/>
        </w:rPr>
        <w:t>其他</w:t>
      </w:r>
      <w:r>
        <w:rPr>
          <w:rFonts w:hint="eastAsia" w:ascii="仿宋_GB2312" w:eastAsia="仿宋_GB2312" w:cs="Arial Black"/>
          <w:kern w:val="0"/>
          <w:sz w:val="32"/>
          <w:szCs w:val="32"/>
        </w:rPr>
        <w:fldChar w:fldCharType="end"/>
      </w:r>
      <w:r>
        <w:rPr>
          <w:rFonts w:hint="eastAsia" w:ascii="仿宋_GB2312" w:eastAsia="仿宋_GB2312" w:cs="Arial Black"/>
          <w:kern w:val="0"/>
          <w:sz w:val="32"/>
          <w:szCs w:val="32"/>
        </w:rPr>
        <w:t>权利;</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4、保护各种经济组织的合法权益;</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5、保障少数民族的权利和尊重少数民族的风俗习惯;</w:t>
      </w:r>
    </w:p>
    <w:p>
      <w:pPr>
        <w:spacing w:line="560" w:lineRule="exact"/>
        <w:ind w:firstLine="640" w:firstLineChars="200"/>
        <w:jc w:val="left"/>
        <w:rPr>
          <w:rFonts w:hint="eastAsia" w:ascii="仿宋_GB2312" w:eastAsia="仿宋_GB2312" w:cs="Arial Black"/>
          <w:kern w:val="0"/>
          <w:sz w:val="32"/>
          <w:szCs w:val="32"/>
        </w:rPr>
      </w:pPr>
      <w:r>
        <w:rPr>
          <w:rFonts w:hint="eastAsia" w:ascii="仿宋_GB2312" w:eastAsia="仿宋_GB2312" w:cs="Arial Black"/>
          <w:kern w:val="0"/>
          <w:sz w:val="32"/>
          <w:szCs w:val="32"/>
        </w:rPr>
        <w:t>6、办理上级</w:t>
      </w:r>
      <w:r>
        <w:rPr>
          <w:rFonts w:hint="eastAsia" w:ascii="仿宋_GB2312" w:eastAsia="仿宋_GB2312" w:cs="Arial Black"/>
          <w:kern w:val="0"/>
          <w:sz w:val="32"/>
          <w:szCs w:val="32"/>
          <w:lang w:eastAsia="zh-CN"/>
        </w:rPr>
        <w:t>区</w:t>
      </w:r>
      <w:r>
        <w:rPr>
          <w:rFonts w:hint="eastAsia" w:ascii="仿宋_GB2312" w:eastAsia="仿宋_GB2312" w:cs="Arial Black"/>
          <w:kern w:val="0"/>
          <w:sz w:val="32"/>
          <w:szCs w:val="32"/>
        </w:rPr>
        <w:t>委、</w:t>
      </w:r>
      <w:r>
        <w:rPr>
          <w:rFonts w:hint="eastAsia" w:ascii="仿宋_GB2312" w:eastAsia="仿宋_GB2312" w:cs="Arial Black"/>
          <w:kern w:val="0"/>
          <w:sz w:val="32"/>
          <w:szCs w:val="32"/>
          <w:lang w:eastAsia="zh-CN"/>
        </w:rPr>
        <w:t>区</w:t>
      </w:r>
      <w:r>
        <w:rPr>
          <w:rFonts w:hint="eastAsia" w:ascii="仿宋_GB2312" w:eastAsia="仿宋_GB2312" w:cs="Arial Black"/>
          <w:kern w:val="0"/>
          <w:sz w:val="32"/>
          <w:szCs w:val="32"/>
        </w:rPr>
        <w:t>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bookmarkStart w:id="0" w:name="_GoBack"/>
      <w:bookmarkEnd w:id="0"/>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 xml:space="preserve">年度本部门决算汇编范围的独立核算单位（以下简称“单位”）共 </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 xml:space="preserve"> 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宋体" w:eastAsia="仿宋_GB2312" w:cs="宋体"/>
                <w:color w:val="000000"/>
                <w:kern w:val="0"/>
                <w:sz w:val="24"/>
                <w:szCs w:val="24"/>
              </w:rPr>
              <w:t>保定市满城区神星镇人民政府</w:t>
            </w:r>
          </w:p>
        </w:tc>
        <w:tc>
          <w:tcPr>
            <w:tcW w:w="2404"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2622"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highlight w:val="yellow"/>
          <w:lang w:eastAsia="zh-CN"/>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57.84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4.43</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项目增加。</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733.78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53.85</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628.80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46.15</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57.84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4.43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项目增加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57.84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4.43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项目增加</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val="en-US" w:eastAsia="zh-CN"/>
        </w:rPr>
        <w:t>本部门2020年度一般公共预算财政拨款收入1362.58万元，完成年初预算的110.85%,比年初预算增加133.33万元，决算数大于预算数主要原因是项目增加、人员经费增加；本年支出1362.58万元，完成年初预算的110.85%,比年初预算增加133.33万元，决算数大于预算数主要原因是主要是项目增加。</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1362.58</w:t>
      </w:r>
      <w:r>
        <w:rPr>
          <w:rFonts w:hint="eastAsia" w:ascii="仿宋_GB2312" w:hAnsi="Times New Roman" w:eastAsia="仿宋_GB2312" w:cs="Wingdings"/>
          <w:sz w:val="32"/>
          <w:szCs w:val="32"/>
        </w:rPr>
        <w:t>万元，主要用于以下方面：一般公共服务（类）支出</w:t>
      </w:r>
      <w:r>
        <w:rPr>
          <w:rFonts w:hint="eastAsia" w:ascii="仿宋_GB2312" w:hAnsi="Times New Roman" w:eastAsia="仿宋_GB2312" w:cs="Wingdings"/>
          <w:sz w:val="32"/>
          <w:szCs w:val="32"/>
          <w:lang w:val="en-US" w:eastAsia="zh-CN"/>
        </w:rPr>
        <w:t>636.33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47.95</w:t>
      </w:r>
      <w:r>
        <w:rPr>
          <w:rFonts w:hint="eastAsia" w:ascii="仿宋_GB2312" w:hAnsi="Times New Roman" w:eastAsia="仿宋_GB2312" w:cs="Wingdings"/>
          <w:sz w:val="32"/>
          <w:szCs w:val="32"/>
        </w:rPr>
        <w:t>%，；卫生健康支出（类）支出</w:t>
      </w:r>
      <w:r>
        <w:rPr>
          <w:rFonts w:hint="eastAsia" w:ascii="仿宋_GB2312" w:hAnsi="Times New Roman" w:eastAsia="仿宋_GB2312" w:cs="Wingdings"/>
          <w:sz w:val="32"/>
          <w:szCs w:val="32"/>
          <w:lang w:val="en-US" w:eastAsia="zh-CN"/>
        </w:rPr>
        <w:t>30.74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2.26</w:t>
      </w:r>
      <w:r>
        <w:rPr>
          <w:rFonts w:hint="eastAsia" w:ascii="仿宋_GB2312" w:hAnsi="Times New Roman" w:eastAsia="仿宋_GB2312" w:cs="Wingdings"/>
          <w:sz w:val="32"/>
          <w:szCs w:val="32"/>
        </w:rPr>
        <w:t>%；教育（类）支出</w:t>
      </w:r>
      <w:r>
        <w:rPr>
          <w:rFonts w:hint="eastAsia" w:ascii="仿宋_GB2312" w:hAnsi="Times New Roman" w:eastAsia="仿宋_GB2312" w:cs="Wingdings"/>
          <w:sz w:val="32"/>
          <w:szCs w:val="32"/>
          <w:lang w:val="en-US" w:eastAsia="zh-CN"/>
        </w:rPr>
        <w:t>3.73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0.27</w:t>
      </w:r>
      <w:r>
        <w:rPr>
          <w:rFonts w:hint="eastAsia" w:ascii="仿宋_GB2312" w:hAnsi="Times New Roman" w:eastAsia="仿宋_GB2312" w:cs="Wingdings"/>
          <w:sz w:val="32"/>
          <w:szCs w:val="32"/>
        </w:rPr>
        <w:t>%；节能环保支出（类）支出</w:t>
      </w:r>
      <w:r>
        <w:rPr>
          <w:rFonts w:hint="eastAsia" w:ascii="仿宋_GB2312" w:hAnsi="Times New Roman" w:eastAsia="仿宋_GB2312" w:cs="Wingdings"/>
          <w:sz w:val="32"/>
          <w:szCs w:val="32"/>
          <w:lang w:val="en-US" w:eastAsia="zh-CN"/>
        </w:rPr>
        <w:t>15.00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1.10</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100.30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7.36</w:t>
      </w:r>
      <w:r>
        <w:rPr>
          <w:rFonts w:hint="eastAsia" w:ascii="仿宋_GB2312" w:hAnsi="Times New Roman" w:eastAsia="仿宋_GB2312" w:cs="Wingdings"/>
          <w:sz w:val="32"/>
          <w:szCs w:val="32"/>
        </w:rPr>
        <w:t>%；农林水（类）支出</w:t>
      </w:r>
      <w:r>
        <w:rPr>
          <w:rFonts w:hint="eastAsia" w:ascii="仿宋_GB2312" w:hAnsi="Times New Roman" w:eastAsia="仿宋_GB2312" w:cs="Wingdings"/>
          <w:sz w:val="32"/>
          <w:szCs w:val="32"/>
          <w:lang w:val="en-US" w:eastAsia="zh-CN"/>
        </w:rPr>
        <w:t>528.12</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38.76</w:t>
      </w:r>
      <w:r>
        <w:rPr>
          <w:rFonts w:hint="eastAsia" w:ascii="仿宋_GB2312" w:hAnsi="Times New Roman" w:eastAsia="仿宋_GB2312" w:cs="Wingdings"/>
          <w:sz w:val="32"/>
          <w:szCs w:val="32"/>
        </w:rPr>
        <w:t>%;农村综合改革（类）支出</w:t>
      </w:r>
      <w:r>
        <w:rPr>
          <w:rFonts w:hint="eastAsia" w:ascii="仿宋_GB2312" w:hAnsi="Times New Roman" w:eastAsia="仿宋_GB2312" w:cs="Wingdings"/>
          <w:sz w:val="32"/>
          <w:szCs w:val="32"/>
          <w:lang w:val="en-US" w:eastAsia="zh-CN"/>
        </w:rPr>
        <w:t>321.01</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23.56</w:t>
      </w:r>
      <w:r>
        <w:rPr>
          <w:rFonts w:hint="eastAsia" w:ascii="仿宋_GB2312" w:hAnsi="Times New Roman" w:eastAsia="仿宋_GB2312" w:cs="Wingdings"/>
          <w:sz w:val="32"/>
          <w:szCs w:val="32"/>
        </w:rPr>
        <w:t>%;住房保障支出（类）支出</w:t>
      </w:r>
      <w:r>
        <w:rPr>
          <w:rFonts w:hint="eastAsia" w:ascii="仿宋_GB2312" w:hAnsi="Times New Roman" w:eastAsia="仿宋_GB2312" w:cs="Wingdings"/>
          <w:sz w:val="32"/>
          <w:szCs w:val="32"/>
          <w:lang w:val="en-US" w:eastAsia="zh-CN"/>
        </w:rPr>
        <w:t>30.36</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2.29</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733.78</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688.76</w:t>
      </w:r>
      <w:r>
        <w:rPr>
          <w:rFonts w:hint="eastAsia" w:ascii="仿宋_GB2312" w:hAnsi="Times New Roman" w:eastAsia="仿宋_GB2312" w:cs="Wingdings"/>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Wingdings"/>
          <w:sz w:val="32"/>
          <w:szCs w:val="32"/>
          <w:lang w:val="en-US" w:eastAsia="zh-CN"/>
        </w:rPr>
        <w:t>45.02</w:t>
      </w:r>
      <w:r>
        <w:rPr>
          <w:rFonts w:hint="eastAsia" w:ascii="仿宋_GB2312" w:hAnsi="Times New Roman" w:eastAsia="仿宋_GB2312" w:cs="Wingdings"/>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7.20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5.89万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81.81</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1.31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18.19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节约开支</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1.52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34.78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公务用车活动增加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5.89</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81.81</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1.31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18.19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厉行节俭</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1.52</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34.78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公务用车运行维护费用增加</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%,主要是未发生‘公务用车购置’经费支出；较上年增加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%,主要是未发生‘公务用车购置’经费支出。</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,发生运行维护费支出5.89万元</w:t>
      </w:r>
      <w:r>
        <w:rPr>
          <w:rFonts w:hint="eastAsia" w:ascii="仿宋_GB2312" w:hAnsi="Times New Roman" w:eastAsia="仿宋_GB2312" w:cs="Wingdings"/>
          <w:sz w:val="32"/>
          <w:szCs w:val="32"/>
        </w:rPr>
        <w:t>。公车运行维护费支出较预算</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1.31</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18.19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李兴节约</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1.52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34.78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公务用车活动增加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本部门2020年公务用车购置及运行维护费支出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未发生公务接待费用</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未发生公务接待费用</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21.00</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3.34%</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河道清理整治启动经费</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河道清理整治启动经费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河道清理整治启动经费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保障了河道行洪畅通</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改善了人居环境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消除了信访因素</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保障了全镇的稳定发展</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tbl>
      <w:tblPr>
        <w:tblStyle w:val="5"/>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nil"/>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nil"/>
              <w:right w:val="single" w:color="auto" w:sz="4" w:space="0"/>
            </w:tcBorders>
            <w:vAlign w:val="center"/>
          </w:tcPr>
          <w:p>
            <w:pPr>
              <w:widowControl/>
              <w:jc w:val="left"/>
              <w:rPr>
                <w:rFonts w:ascii="宋体" w:hAnsi="宋体" w:eastAsia="宋体" w:cs="Arial"/>
                <w:color w:val="000000"/>
                <w:kern w:val="0"/>
                <w:sz w:val="22"/>
              </w:rPr>
            </w:pPr>
            <w:r>
              <w:rPr>
                <w:rFonts w:hint="eastAsia" w:ascii="仿宋_GB2312" w:hAnsi="仿宋_GB2312" w:eastAsia="仿宋_GB2312" w:cs="仿宋_GB2312"/>
                <w:sz w:val="32"/>
                <w:szCs w:val="32"/>
                <w:lang w:eastAsia="zh-CN"/>
              </w:rPr>
              <w:t>河道清理整治启动经费</w:t>
            </w:r>
            <w:r>
              <w:rPr>
                <w:rFonts w:hint="eastAsia" w:ascii="仿宋_GB2312" w:hAnsi="仿宋_GB2312" w:eastAsia="仿宋_GB2312" w:cs="仿宋_GB2312"/>
                <w:sz w:val="32"/>
                <w:szCs w:val="32"/>
              </w:rPr>
              <w:t>项目</w:t>
            </w:r>
          </w:p>
        </w:tc>
        <w:tc>
          <w:tcPr>
            <w:tcW w:w="1225" w:type="dxa"/>
            <w:tcBorders>
              <w:top w:val="nil"/>
              <w:left w:val="nil"/>
              <w:bottom w:val="nil"/>
              <w:right w:val="single" w:color="auto" w:sz="4" w:space="0"/>
            </w:tcBorders>
            <w:vAlign w:val="bottom"/>
          </w:tcPr>
          <w:p>
            <w:pPr>
              <w:widowControl/>
              <w:jc w:val="right"/>
              <w:rPr>
                <w:rFonts w:hint="default" w:ascii="Arial" w:hAnsi="Arial" w:eastAsia="宋体" w:cs="Arial"/>
                <w:color w:val="000000"/>
                <w:kern w:val="0"/>
                <w:sz w:val="20"/>
                <w:szCs w:val="20"/>
                <w:lang w:val="en-US" w:eastAsia="zh-CN"/>
              </w:rPr>
            </w:pPr>
            <w:r>
              <w:rPr>
                <w:rFonts w:hint="eastAsia" w:ascii="Arial" w:hAnsi="Arial" w:eastAsia="宋体" w:cs="Arial"/>
                <w:color w:val="000000"/>
                <w:sz w:val="20"/>
                <w:szCs w:val="20"/>
                <w:lang w:val="en-US" w:eastAsia="zh-CN"/>
              </w:rPr>
              <w:t>15.00</w:t>
            </w:r>
          </w:p>
        </w:tc>
        <w:tc>
          <w:tcPr>
            <w:tcW w:w="904" w:type="dxa"/>
            <w:tcBorders>
              <w:top w:val="nil"/>
              <w:left w:val="nil"/>
              <w:bottom w:val="nil"/>
              <w:right w:val="single" w:color="auto" w:sz="4" w:space="0"/>
            </w:tcBorders>
            <w:vAlign w:val="center"/>
          </w:tcPr>
          <w:p>
            <w:pPr>
              <w:widowControl/>
              <w:jc w:val="center"/>
              <w:rPr>
                <w:rFonts w:hint="eastAsia" w:ascii="宋体" w:eastAsia="宋体" w:cs="宋体"/>
                <w:color w:val="000000"/>
                <w:kern w:val="0"/>
                <w:sz w:val="22"/>
                <w:lang w:val="en-US" w:eastAsia="zh-CN"/>
              </w:rPr>
            </w:pPr>
            <w:r>
              <w:rPr>
                <w:rFonts w:hint="eastAsia" w:ascii="宋体" w:eastAsia="宋体" w:cs="宋体"/>
                <w:color w:val="000000"/>
                <w:kern w:val="0"/>
                <w:sz w:val="22"/>
                <w:lang w:val="en-US" w:eastAsia="zh-CN"/>
              </w:rPr>
              <w:t>√</w:t>
            </w:r>
          </w:p>
        </w:tc>
        <w:tc>
          <w:tcPr>
            <w:tcW w:w="1011" w:type="dxa"/>
            <w:tcBorders>
              <w:top w:val="nil"/>
              <w:left w:val="nil"/>
              <w:bottom w:val="nil"/>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nil"/>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等线" w:cs="宋体"/>
                <w:color w:val="000000"/>
                <w:kern w:val="0"/>
                <w:sz w:val="22"/>
                <w:lang w:val="en-US" w:eastAsia="zh-CN"/>
              </w:rPr>
            </w:pPr>
            <w:r>
              <w:rPr>
                <w:rFonts w:hint="eastAsia" w:ascii="宋体" w:cs="宋体"/>
                <w:color w:val="000000"/>
                <w:kern w:val="0"/>
                <w:sz w:val="22"/>
                <w:lang w:val="en-US" w:eastAsia="zh-CN"/>
              </w:rPr>
              <w:t>2</w:t>
            </w:r>
          </w:p>
        </w:tc>
        <w:tc>
          <w:tcPr>
            <w:tcW w:w="4272"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w:t>
            </w:r>
          </w:p>
        </w:tc>
        <w:tc>
          <w:tcPr>
            <w:tcW w:w="1225"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6.00</w:t>
            </w:r>
          </w:p>
        </w:tc>
        <w:tc>
          <w:tcPr>
            <w:tcW w:w="904"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22"/>
                <w:lang w:val="en-US"/>
              </w:rPr>
            </w:pPr>
            <w:r>
              <w:rPr>
                <w:rFonts w:hint="eastAsia" w:ascii="宋体" w:eastAsia="宋体" w:cs="宋体"/>
                <w:color w:val="000000"/>
                <w:kern w:val="0"/>
                <w:sz w:val="22"/>
                <w:lang w:val="en-US" w:eastAsia="zh-CN"/>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bl>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b/>
          <w:bCs/>
          <w:sz w:val="32"/>
          <w:szCs w:val="32"/>
        </w:rPr>
        <w:t>。</w:t>
      </w:r>
    </w:p>
    <w:p>
      <w:pPr>
        <w:adjustRightInd w:val="0"/>
        <w:snapToGrid w:val="0"/>
        <w:spacing w:line="600" w:lineRule="exact"/>
        <w:ind w:firstLine="1606" w:firstLineChars="5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5.89</w:t>
      </w:r>
      <w:r>
        <w:rPr>
          <w:rFonts w:hint="eastAsia" w:ascii="仿宋_GB2312" w:hAnsi="仿宋_GB2312" w:eastAsia="仿宋_GB2312" w:cs="仿宋_GB2312"/>
          <w:sz w:val="32"/>
          <w:szCs w:val="32"/>
        </w:rPr>
        <w:t>万元，比2019年度增加</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34.78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公务用车运行维护费增加</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ind w:firstLine="561"/>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highlight w:val="none"/>
        </w:rPr>
        <w:t>单</w:t>
      </w:r>
      <w:r>
        <w:rPr>
          <w:rFonts w:hint="eastAsia" w:ascii="仿宋_GB2312" w:hAnsi="仿宋_GB2312" w:eastAsia="仿宋_GB2312" w:cs="仿宋_GB2312"/>
          <w:sz w:val="32"/>
          <w:szCs w:val="32"/>
        </w:rPr>
        <w:t>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与上年度数据一致</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与上年度数据一致</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本部门2020年度未发生政府性基金预算、国有资金经营预算收支及结转结余情况，故政府性基金预算、国有资金经营预算以空表列示。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1"/>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3360"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3360;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1362.58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636.33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3.73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18.00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100.30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30.74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r>
              <w:rPr>
                <w:rFonts w:hint="eastAsia" w:ascii="宋体" w:hAnsi="宋体" w:eastAsia="宋体" w:cs="宋体"/>
                <w:color w:val="000000"/>
                <w:kern w:val="0"/>
                <w:sz w:val="18"/>
                <w:szCs w:val="18"/>
                <w:lang w:val="en-US" w:eastAsia="zh-CN" w:bidi="ar"/>
              </w:rPr>
              <w:t>.00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528.12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30.36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1362.58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1362.58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1362.58</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1362.58</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687" w:type="dxa"/>
        <w:jc w:val="center"/>
        <w:tblLayout w:type="fixed"/>
        <w:tblCellMar>
          <w:top w:w="0" w:type="dxa"/>
          <w:left w:w="0" w:type="dxa"/>
          <w:bottom w:w="0" w:type="dxa"/>
          <w:right w:w="0" w:type="dxa"/>
        </w:tblCellMar>
      </w:tblPr>
      <w:tblGrid>
        <w:gridCol w:w="755"/>
        <w:gridCol w:w="43"/>
        <w:gridCol w:w="43"/>
        <w:gridCol w:w="3387"/>
        <w:gridCol w:w="1113"/>
        <w:gridCol w:w="925"/>
        <w:gridCol w:w="523"/>
        <w:gridCol w:w="724"/>
        <w:gridCol w:w="724"/>
        <w:gridCol w:w="724"/>
        <w:gridCol w:w="726"/>
      </w:tblGrid>
      <w:tr>
        <w:tblPrEx>
          <w:tblCellMar>
            <w:top w:w="0" w:type="dxa"/>
            <w:left w:w="0" w:type="dxa"/>
            <w:bottom w:w="0" w:type="dxa"/>
            <w:right w:w="0" w:type="dxa"/>
          </w:tblCellMar>
        </w:tblPrEx>
        <w:trPr>
          <w:trHeight w:val="670" w:hRule="atLeast"/>
          <w:jc w:val="center"/>
        </w:trPr>
        <w:tc>
          <w:tcPr>
            <w:tcW w:w="9687"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7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75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42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1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5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7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7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7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4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38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4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3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4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3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2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5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42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1362.58</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1362.58</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636.33</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636.33</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255.86</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255.86</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26.00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2010308</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2010350</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323.47</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323.47</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3.73</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3.73</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2050901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3.73</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2070109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100.30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100.30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3.60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37.47</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37.47</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52.71</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52.71</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6.52</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6.52</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30.74</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30.74</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21004</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2100409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20.74</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10.65</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10.65</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10.10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10.10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节能环保支出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21104</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自然生态保护</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2110402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528.12</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528.12</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207.10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2130122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207.10</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21307</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321.01</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321.01</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2130701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67.46</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67.46</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2130705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253.55</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253.55</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30.36</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30.36</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30.36</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4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1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687"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r>
        <w:tblPrEx>
          <w:tblCellMar>
            <w:top w:w="0" w:type="dxa"/>
            <w:left w:w="0" w:type="dxa"/>
            <w:bottom w:w="0" w:type="dxa"/>
            <w:right w:w="0" w:type="dxa"/>
          </w:tblCellMar>
        </w:tblPrEx>
        <w:trPr>
          <w:trHeight w:val="385" w:hRule="atLeast"/>
          <w:jc w:val="center"/>
        </w:trPr>
        <w:tc>
          <w:tcPr>
            <w:tcW w:w="9687"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bidi="ar"/>
              </w:rPr>
            </w:pPr>
          </w:p>
        </w:tc>
      </w:tr>
      <w:tr>
        <w:tblPrEx>
          <w:tblCellMar>
            <w:top w:w="0" w:type="dxa"/>
            <w:left w:w="0" w:type="dxa"/>
            <w:bottom w:w="0" w:type="dxa"/>
            <w:right w:w="0" w:type="dxa"/>
          </w:tblCellMar>
        </w:tblPrEx>
        <w:trPr>
          <w:trHeight w:val="385" w:hRule="atLeast"/>
          <w:jc w:val="center"/>
        </w:trPr>
        <w:tc>
          <w:tcPr>
            <w:tcW w:w="9687"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bidi="ar"/>
              </w:rPr>
            </w:pP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629"/>
        <w:gridCol w:w="1020"/>
        <w:gridCol w:w="1032"/>
        <w:gridCol w:w="1161"/>
        <w:gridCol w:w="1161"/>
        <w:gridCol w:w="978"/>
        <w:gridCol w:w="1594"/>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94"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7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03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9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59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2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3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2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2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7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9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5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7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1362.58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733.78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628.80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22"/>
                <w:szCs w:val="24"/>
                <w:lang w:val="en-US" w:eastAsia="zh-CN" w:bidi="ar-SA"/>
              </w:rPr>
            </w:pPr>
            <w:r>
              <w:rPr>
                <w:rFonts w:hint="eastAsia" w:ascii="宋体" w:hAnsi="宋体" w:eastAsia="宋体" w:cs="宋体"/>
                <w:color w:val="000000"/>
                <w:sz w:val="22"/>
              </w:rPr>
              <w:t>201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579.33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579.33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255.86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255.86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26.00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2010308</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2010350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323.47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323.47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20509</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2050901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2070109</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3.60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37.47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52.71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52.71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2080506</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6.52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30.74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2100409</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10.65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2101102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10.10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节能环保支出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21104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自然生态保护</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2110402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528.12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525.07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207.10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2130122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207.10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321.01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317.96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67.46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67.46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253.55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250.50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2210201</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r>
    </w:tbl>
    <w:p>
      <w:r>
        <w:br w:type="page"/>
      </w:r>
    </w:p>
    <w:tbl>
      <w:tblPr>
        <w:tblStyle w:val="5"/>
        <w:tblW w:w="9584" w:type="dxa"/>
        <w:jc w:val="center"/>
        <w:tblLayout w:type="fixed"/>
        <w:tblCellMar>
          <w:top w:w="0" w:type="dxa"/>
          <w:left w:w="0" w:type="dxa"/>
          <w:bottom w:w="0" w:type="dxa"/>
          <w:right w:w="0" w:type="dxa"/>
        </w:tblCellMar>
      </w:tblPr>
      <w:tblGrid>
        <w:gridCol w:w="9584"/>
      </w:tblGrid>
      <w:tr>
        <w:tblPrEx>
          <w:tblCellMar>
            <w:top w:w="0" w:type="dxa"/>
            <w:left w:w="0" w:type="dxa"/>
            <w:bottom w:w="0" w:type="dxa"/>
            <w:right w:w="0" w:type="dxa"/>
          </w:tblCellMar>
        </w:tblPrEx>
        <w:trPr>
          <w:trHeight w:val="385" w:hRule="atLeast"/>
          <w:jc w:val="center"/>
        </w:trPr>
        <w:tc>
          <w:tcPr>
            <w:tcW w:w="9584"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4"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bidi="ar"/>
              </w:rPr>
            </w:pPr>
          </w:p>
        </w:tc>
      </w:tr>
    </w:tbl>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224"/>
              <w:gridCol w:w="456"/>
              <w:gridCol w:w="804"/>
              <w:gridCol w:w="767"/>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22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0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70"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22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0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22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0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6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22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0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6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1362.58</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636.33</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636.33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3.73</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3.73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18.00</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18.00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100.30</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100.30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30.47</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30.47</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15.00</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15.00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528.12</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528.12</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30.36</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30.36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1362.58</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1362.58</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1362.58</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1362.58</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1362.58</w:t>
                  </w:r>
                </w:p>
              </w:tc>
              <w:tc>
                <w:tcPr>
                  <w:tcW w:w="7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1362.58</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1362.58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733.78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628.80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22"/>
                <w:szCs w:val="24"/>
                <w:lang w:val="en-US" w:eastAsia="zh-CN" w:bidi="ar-SA"/>
              </w:rPr>
            </w:pPr>
            <w:r>
              <w:rPr>
                <w:rFonts w:hint="eastAsia" w:ascii="宋体" w:hAnsi="宋体" w:eastAsia="宋体" w:cs="宋体"/>
                <w:color w:val="000000"/>
                <w:sz w:val="22"/>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579.33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636.33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579.33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255.86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255.86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26.00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2010350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323.47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323.47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3.73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3.73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2050901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3.73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2070109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100.30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100.30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3.60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3.60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37.47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37.47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52.71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6.52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6.52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2100409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节能环保支出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自然生态保护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2110402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528.12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525.07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207.10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2130122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207.10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207.10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321.01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317.96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67.46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67.46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2130705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253.55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250.50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30.36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30.36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619.44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45.02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226.75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2.80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54.04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72.83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54.38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11.68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23.27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0.56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132.32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69.32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40.87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5.89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13.78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688.76</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45.02</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5.89</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5.89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5.89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sz w:val="20"/>
          <w:szCs w:val="22"/>
          <w:lang w:eastAsia="zh-CN"/>
        </w:rPr>
        <w:t>我单位无政府性基金预算财政拨款</w:t>
      </w:r>
      <w:r>
        <w:rPr>
          <w:rFonts w:hint="eastAsia" w:ascii="宋体" w:hAnsi="宋体" w:eastAsia="宋体" w:cs="宋体"/>
          <w:sz w:val="20"/>
          <w:szCs w:val="22"/>
        </w:rPr>
        <w:t>收支，则空表列示）</w:t>
      </w:r>
      <w:r>
        <w:rPr>
          <w:rFonts w:hint="eastAsia" w:ascii="宋体" w:hAnsi="宋体" w:eastAsia="宋体" w:cs="宋体"/>
          <w:sz w:val="20"/>
          <w:szCs w:val="22"/>
        </w:rPr>
        <w:tab/>
      </w:r>
      <w:r>
        <w:rPr>
          <w:rFonts w:hint="eastAsia" w:ascii="宋体" w:hAnsi="宋体" w:eastAsia="宋体" w:cs="宋体"/>
          <w:sz w:val="20"/>
          <w:szCs w:val="22"/>
        </w:rPr>
        <w:tab/>
      </w:r>
      <w:r>
        <w:rPr>
          <w:rFonts w:hint="eastAsia" w:ascii="宋体" w:hAnsi="宋体" w:eastAsia="宋体" w:cs="宋体"/>
          <w:sz w:val="20"/>
          <w:szCs w:val="22"/>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lang w:eastAsia="zh-CN"/>
        </w:rPr>
        <w:t>我单位</w:t>
      </w:r>
      <w:r>
        <w:rPr>
          <w:rFonts w:hint="eastAsia" w:ascii="宋体" w:hAnsi="宋体" w:eastAsia="宋体" w:cs="宋体"/>
        </w:rPr>
        <w:t>无国有资本经营收支，则空表列示）</w:t>
      </w:r>
    </w:p>
    <w:p>
      <w:pPr>
        <w:rPr>
          <w:rFonts w:ascii="黑体" w:hAnsi="黑体" w:eastAsia="黑体" w:cs="黑体"/>
          <w:sz w:val="56"/>
          <w:szCs w:val="72"/>
        </w:rPr>
      </w:pPr>
    </w:p>
    <w:p>
      <w:pPr>
        <w:tabs>
          <w:tab w:val="left" w:pos="235"/>
        </w:tabs>
        <w:spacing w:line="600" w:lineRule="exact"/>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zlhZmJhNGY4NDBlZGQzNTViODkwYzkyODRmZTEifQ=="/>
  </w:docVars>
  <w:rsids>
    <w:rsidRoot w:val="34C45458"/>
    <w:rsid w:val="00061A05"/>
    <w:rsid w:val="0018668E"/>
    <w:rsid w:val="001B73D2"/>
    <w:rsid w:val="001E62BF"/>
    <w:rsid w:val="00293E7B"/>
    <w:rsid w:val="002D1F4F"/>
    <w:rsid w:val="00366D90"/>
    <w:rsid w:val="003D678E"/>
    <w:rsid w:val="00801F66"/>
    <w:rsid w:val="009334BF"/>
    <w:rsid w:val="03417A6B"/>
    <w:rsid w:val="03C6175E"/>
    <w:rsid w:val="058B71E0"/>
    <w:rsid w:val="059B4C57"/>
    <w:rsid w:val="06B87E6D"/>
    <w:rsid w:val="099F1943"/>
    <w:rsid w:val="0C8547B1"/>
    <w:rsid w:val="0D4A4C61"/>
    <w:rsid w:val="0D6D0450"/>
    <w:rsid w:val="0E030E79"/>
    <w:rsid w:val="0E0571F4"/>
    <w:rsid w:val="0E29713F"/>
    <w:rsid w:val="0EA325C9"/>
    <w:rsid w:val="11BC544F"/>
    <w:rsid w:val="122C57AA"/>
    <w:rsid w:val="12E01996"/>
    <w:rsid w:val="135777A1"/>
    <w:rsid w:val="14066064"/>
    <w:rsid w:val="14307D2D"/>
    <w:rsid w:val="14ED6DF0"/>
    <w:rsid w:val="15F74CC9"/>
    <w:rsid w:val="179430DE"/>
    <w:rsid w:val="18283C1D"/>
    <w:rsid w:val="1A251586"/>
    <w:rsid w:val="1ABB1350"/>
    <w:rsid w:val="1B0700E5"/>
    <w:rsid w:val="1B3A3F27"/>
    <w:rsid w:val="1D737E3A"/>
    <w:rsid w:val="1E74009A"/>
    <w:rsid w:val="1E871D2E"/>
    <w:rsid w:val="21520AE9"/>
    <w:rsid w:val="21B90F88"/>
    <w:rsid w:val="21F86CF2"/>
    <w:rsid w:val="22355D1E"/>
    <w:rsid w:val="24021EBE"/>
    <w:rsid w:val="243F653B"/>
    <w:rsid w:val="2536015B"/>
    <w:rsid w:val="259E36EC"/>
    <w:rsid w:val="25A53D80"/>
    <w:rsid w:val="279A6B3C"/>
    <w:rsid w:val="27C3754E"/>
    <w:rsid w:val="2A845C60"/>
    <w:rsid w:val="2B990904"/>
    <w:rsid w:val="2D043616"/>
    <w:rsid w:val="2D173CD7"/>
    <w:rsid w:val="2DB812FC"/>
    <w:rsid w:val="2E267EF8"/>
    <w:rsid w:val="2FB96948"/>
    <w:rsid w:val="30CD74DC"/>
    <w:rsid w:val="31681170"/>
    <w:rsid w:val="323B4803"/>
    <w:rsid w:val="32EE47C4"/>
    <w:rsid w:val="3327616A"/>
    <w:rsid w:val="34514EDC"/>
    <w:rsid w:val="34C45458"/>
    <w:rsid w:val="35C83C42"/>
    <w:rsid w:val="36214918"/>
    <w:rsid w:val="3703035C"/>
    <w:rsid w:val="37AC39D6"/>
    <w:rsid w:val="37FA030A"/>
    <w:rsid w:val="3897364C"/>
    <w:rsid w:val="3B076A2D"/>
    <w:rsid w:val="3CB202C7"/>
    <w:rsid w:val="3CB7360E"/>
    <w:rsid w:val="3D2445C6"/>
    <w:rsid w:val="3FB06EC5"/>
    <w:rsid w:val="3FFA33C5"/>
    <w:rsid w:val="44430540"/>
    <w:rsid w:val="44602F3B"/>
    <w:rsid w:val="44752220"/>
    <w:rsid w:val="47C058B7"/>
    <w:rsid w:val="49C6007E"/>
    <w:rsid w:val="4B26221F"/>
    <w:rsid w:val="4B264A46"/>
    <w:rsid w:val="4B587D70"/>
    <w:rsid w:val="4BD13F93"/>
    <w:rsid w:val="4CF228BB"/>
    <w:rsid w:val="4D3A55F0"/>
    <w:rsid w:val="4E6A2C4C"/>
    <w:rsid w:val="4FA31F43"/>
    <w:rsid w:val="500723B1"/>
    <w:rsid w:val="50155D5F"/>
    <w:rsid w:val="507117C4"/>
    <w:rsid w:val="51A3649B"/>
    <w:rsid w:val="51D45182"/>
    <w:rsid w:val="52C61F1D"/>
    <w:rsid w:val="55141265"/>
    <w:rsid w:val="59396A2F"/>
    <w:rsid w:val="5C21717C"/>
    <w:rsid w:val="5D0C63C4"/>
    <w:rsid w:val="5FA24D11"/>
    <w:rsid w:val="635F72EC"/>
    <w:rsid w:val="63F82767"/>
    <w:rsid w:val="664B45B3"/>
    <w:rsid w:val="67ED0BA2"/>
    <w:rsid w:val="682350F3"/>
    <w:rsid w:val="684A418D"/>
    <w:rsid w:val="69092BA8"/>
    <w:rsid w:val="690D23D0"/>
    <w:rsid w:val="69AB48DF"/>
    <w:rsid w:val="6A2D765E"/>
    <w:rsid w:val="6CE3281B"/>
    <w:rsid w:val="6DE92F74"/>
    <w:rsid w:val="70631DF0"/>
    <w:rsid w:val="714105F5"/>
    <w:rsid w:val="71970D2D"/>
    <w:rsid w:val="71FB1A80"/>
    <w:rsid w:val="726C6871"/>
    <w:rsid w:val="73D824BD"/>
    <w:rsid w:val="74135D9C"/>
    <w:rsid w:val="748A0B05"/>
    <w:rsid w:val="74B97EFA"/>
    <w:rsid w:val="75DD36A5"/>
    <w:rsid w:val="75FF2ED3"/>
    <w:rsid w:val="76B2307E"/>
    <w:rsid w:val="76DC72B0"/>
    <w:rsid w:val="770D53D0"/>
    <w:rsid w:val="78F62CC1"/>
    <w:rsid w:val="7A4A4459"/>
    <w:rsid w:val="7A844794"/>
    <w:rsid w:val="7D64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bmp"/><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8105</Words>
  <Characters>10779</Characters>
  <Lines>82</Lines>
  <Paragraphs>23</Paragraphs>
  <TotalTime>0</TotalTime>
  <ScaleCrop>false</ScaleCrop>
  <LinksUpToDate>false</LinksUpToDate>
  <CharactersWithSpaces>11178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2023-11-08T04:26:46Z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65FA352BAB5146309CB066C800874C19</vt:lpwstr>
  </property>
</Properties>
</file>