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color w:val="auto"/>
          <w:sz w:val="44"/>
          <w:szCs w:val="44"/>
          <w:lang w:val="en-US" w:eastAsia="zh-CN"/>
        </w:rPr>
      </w:pPr>
      <w:r>
        <w:rPr>
          <w:rFonts w:hint="eastAsia" w:eastAsia="宋体"/>
          <w:color w:val="auto"/>
          <w:sz w:val="44"/>
          <w:szCs w:val="44"/>
          <w:lang w:val="en-US" w:eastAsia="zh-CN"/>
        </w:rPr>
        <w:t>2021年所属单位公开目录</w:t>
      </w:r>
    </w:p>
    <w:p>
      <w:pPr>
        <w:rPr>
          <w:color w:val="auto"/>
        </w:rPr>
      </w:pPr>
    </w:p>
    <w:p>
      <w:pPr>
        <w:pStyle w:val="37"/>
        <w:tabs>
          <w:tab w:val="right" w:leader="dot" w:pos="14562"/>
        </w:tabs>
        <w:rPr>
          <w:color w:val="auto"/>
        </w:rPr>
      </w:pPr>
      <w:r>
        <w:rPr>
          <w:color w:val="auto"/>
        </w:rPr>
        <w:fldChar w:fldCharType="begin"/>
      </w:r>
      <w:r>
        <w:rPr>
          <w:color w:val="auto"/>
        </w:rPr>
        <w:instrText xml:space="preserve">TOC \o "4-4" \h \z \u</w:instrText>
      </w:r>
      <w:r>
        <w:rPr>
          <w:color w:val="auto"/>
        </w:rPr>
        <w:fldChar w:fldCharType="separate"/>
      </w:r>
    </w:p>
    <w:p>
      <w:pPr>
        <w:pStyle w:val="37"/>
        <w:tabs>
          <w:tab w:val="right" w:leader="dot" w:pos="14562"/>
        </w:tabs>
        <w:rPr>
          <w:color w:val="auto"/>
        </w:rPr>
      </w:pPr>
      <w:r>
        <w:rPr>
          <w:color w:val="auto"/>
        </w:rPr>
        <w:fldChar w:fldCharType="begin"/>
      </w:r>
      <w:r>
        <w:rPr>
          <w:color w:val="auto"/>
        </w:rPr>
        <w:instrText xml:space="preserve"> HYPERLINK \l "_Toc_4_4_0000000020" </w:instrText>
      </w:r>
      <w:r>
        <w:rPr>
          <w:color w:val="auto"/>
        </w:rPr>
        <w:fldChar w:fldCharType="separate"/>
      </w:r>
      <w:r>
        <w:rPr>
          <w:rFonts w:hint="eastAsia"/>
          <w:color w:val="auto"/>
          <w:lang w:eastAsia="zh-CN"/>
        </w:rPr>
        <w:t>一</w:t>
      </w:r>
      <w:r>
        <w:rPr>
          <w:color w:val="auto"/>
        </w:rPr>
        <w:t>、保定市自然资源和规划局满城区分局本级收支预算</w:t>
      </w:r>
      <w:r>
        <w:rPr>
          <w:color w:val="auto"/>
        </w:rPr>
        <w:tab/>
      </w:r>
      <w:r>
        <w:rPr>
          <w:rFonts w:hint="eastAsia"/>
          <w:color w:val="auto"/>
          <w:lang w:val="en-US" w:eastAsia="zh-CN"/>
        </w:rPr>
        <w:t>2</w:t>
      </w:r>
      <w:r>
        <w:rPr>
          <w:color w:val="auto"/>
        </w:rPr>
        <w:fldChar w:fldCharType="end"/>
      </w:r>
    </w:p>
    <w:p>
      <w:pPr>
        <w:pStyle w:val="37"/>
        <w:keepNext w:val="0"/>
        <w:keepLines w:val="0"/>
        <w:pageBreakBefore w:val="0"/>
        <w:widowControl/>
        <w:tabs>
          <w:tab w:val="right" w:leader="dot" w:pos="14562"/>
        </w:tabs>
        <w:kinsoku/>
        <w:wordWrap/>
        <w:overflowPunct/>
        <w:topLinePunct w:val="0"/>
        <w:autoSpaceDE/>
        <w:autoSpaceDN/>
        <w:bidi w:val="0"/>
        <w:adjustRightInd/>
        <w:snapToGrid/>
        <w:ind w:firstLine="556"/>
        <w:textAlignment w:val="auto"/>
        <w:rPr>
          <w:rFonts w:hint="eastAsia" w:eastAsia="方正仿宋_GBK"/>
          <w:color w:val="auto"/>
          <w:lang w:val="en-US" w:eastAsia="zh-CN"/>
        </w:rPr>
      </w:pPr>
      <w:r>
        <w:rPr>
          <w:color w:val="auto"/>
        </w:rPr>
        <w:fldChar w:fldCharType="begin"/>
      </w:r>
      <w:r>
        <w:rPr>
          <w:color w:val="auto"/>
        </w:rPr>
        <w:instrText xml:space="preserve"> HYPERLINK \l "_Toc_4_4_0000000022" </w:instrText>
      </w:r>
      <w:r>
        <w:rPr>
          <w:color w:val="auto"/>
        </w:rPr>
        <w:fldChar w:fldCharType="separate"/>
      </w:r>
      <w:r>
        <w:rPr>
          <w:rFonts w:hint="eastAsia"/>
          <w:color w:val="auto"/>
          <w:lang w:eastAsia="zh-CN"/>
        </w:rPr>
        <w:t>二</w:t>
      </w:r>
      <w:r>
        <w:rPr>
          <w:color w:val="auto"/>
        </w:rPr>
        <w:t>、保定市自然资源和规划局满城区分局(事业全额/事业差额)收支预算</w:t>
      </w:r>
      <w:r>
        <w:rPr>
          <w:color w:val="auto"/>
        </w:rPr>
        <w:tab/>
      </w:r>
      <w:r>
        <w:rPr>
          <w:rFonts w:hint="eastAsia"/>
          <w:color w:val="auto"/>
          <w:lang w:val="en-US" w:eastAsia="zh-CN"/>
        </w:rPr>
        <w:t>4</w:t>
      </w:r>
      <w:r>
        <w:rPr>
          <w:color w:val="auto"/>
        </w:rPr>
        <w:fldChar w:fldCharType="end"/>
      </w:r>
      <w:r>
        <w:rPr>
          <w:rFonts w:hint="eastAsia"/>
          <w:color w:val="auto"/>
          <w:lang w:val="en-US" w:eastAsia="zh-CN"/>
        </w:rPr>
        <w:t>8</w:t>
      </w:r>
    </w:p>
    <w:p>
      <w:pPr>
        <w:pStyle w:val="37"/>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"_Toc_4_4_0000000023" </w:instrText>
      </w:r>
      <w:r>
        <w:rPr>
          <w:color w:val="auto"/>
        </w:rPr>
        <w:fldChar w:fldCharType="separate"/>
      </w:r>
      <w:r>
        <w:rPr>
          <w:rFonts w:hint="eastAsia"/>
          <w:color w:val="auto"/>
          <w:lang w:eastAsia="zh-CN"/>
        </w:rPr>
        <w:t>三</w:t>
      </w:r>
      <w:r>
        <w:rPr>
          <w:color w:val="auto"/>
        </w:rPr>
        <w:t>、保定市自然资源和规划局满城区分局(供养人员)收支预算</w:t>
      </w:r>
      <w:r>
        <w:rPr>
          <w:color w:val="auto"/>
        </w:rPr>
        <w:tab/>
      </w:r>
      <w:r>
        <w:rPr>
          <w:rFonts w:hint="eastAsia"/>
          <w:color w:val="auto"/>
          <w:lang w:val="en-US" w:eastAsia="zh-CN"/>
        </w:rPr>
        <w:t>7</w:t>
      </w:r>
      <w:r>
        <w:rPr>
          <w:color w:val="auto"/>
        </w:rPr>
        <w:fldChar w:fldCharType="end"/>
      </w:r>
      <w:r>
        <w:rPr>
          <w:rFonts w:hint="eastAsia"/>
          <w:color w:val="auto"/>
          <w:lang w:val="en-US" w:eastAsia="zh-CN"/>
        </w:rPr>
        <w:t>5</w:t>
      </w:r>
    </w:p>
    <w:p>
      <w:pPr>
        <w:pStyle w:val="37"/>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"_Toc_4_4_0000000024" </w:instrText>
      </w:r>
      <w:r>
        <w:rPr>
          <w:color w:val="auto"/>
        </w:rPr>
        <w:fldChar w:fldCharType="separate"/>
      </w:r>
      <w:r>
        <w:rPr>
          <w:rFonts w:hint="eastAsia"/>
          <w:color w:val="auto"/>
          <w:lang w:eastAsia="zh-CN"/>
        </w:rPr>
        <w:t>四</w:t>
      </w:r>
      <w:r>
        <w:rPr>
          <w:color w:val="auto"/>
        </w:rPr>
        <w:t>、保定市自然资源和规划局满城区分局(自收自支)收支预算</w:t>
      </w:r>
      <w:r>
        <w:rPr>
          <w:color w:val="auto"/>
        </w:rPr>
        <w:tab/>
      </w:r>
      <w:r>
        <w:rPr>
          <w:rFonts w:hint="eastAsia"/>
          <w:color w:val="auto"/>
          <w:lang w:val="en-US" w:eastAsia="zh-CN"/>
        </w:rPr>
        <w:t>9</w:t>
      </w:r>
      <w:r>
        <w:rPr>
          <w:color w:val="auto"/>
        </w:rPr>
        <w:fldChar w:fldCharType="end"/>
      </w:r>
      <w:r>
        <w:rPr>
          <w:rFonts w:hint="eastAsia"/>
          <w:color w:val="auto"/>
          <w:lang w:val="en-US" w:eastAsia="zh-CN"/>
        </w:rPr>
        <w:t>9</w:t>
      </w:r>
    </w:p>
    <w:p>
      <w:pPr>
        <w:pStyle w:val="37"/>
        <w:tabs>
          <w:tab w:val="right" w:leader="dot" w:pos="14562"/>
        </w:tabs>
        <w:rPr>
          <w:rFonts w:hint="default" w:eastAsia="方正仿宋_GBK"/>
          <w:color w:val="auto"/>
          <w:lang w:val="en-US" w:eastAsia="zh-CN"/>
        </w:rPr>
      </w:pPr>
      <w:r>
        <w:rPr>
          <w:color w:val="auto"/>
        </w:rPr>
        <w:fldChar w:fldCharType="begin"/>
      </w:r>
      <w:r>
        <w:rPr>
          <w:color w:val="auto"/>
        </w:rPr>
        <w:instrText xml:space="preserve"> HYPERLINK \l "_Toc_4_4_0000000024" </w:instrText>
      </w:r>
      <w:r>
        <w:rPr>
          <w:color w:val="auto"/>
        </w:rPr>
        <w:fldChar w:fldCharType="separate"/>
      </w:r>
      <w:r>
        <w:rPr>
          <w:rFonts w:hint="eastAsia"/>
          <w:color w:val="auto"/>
          <w:lang w:val="en-US" w:eastAsia="zh-CN"/>
        </w:rPr>
        <w:t>五</w:t>
      </w:r>
      <w:r>
        <w:rPr>
          <w:color w:val="auto"/>
        </w:rPr>
        <w:t>、保定市自然资源和规划局满城区分局(</w:t>
      </w:r>
      <w:r>
        <w:rPr>
          <w:rFonts w:hint="eastAsia"/>
          <w:color w:val="auto"/>
          <w:lang w:val="en-US" w:eastAsia="zh-CN"/>
        </w:rPr>
        <w:t>国土局部门</w:t>
      </w:r>
      <w:r>
        <w:rPr>
          <w:color w:val="auto"/>
        </w:rPr>
        <w:t>)收支预算</w:t>
      </w:r>
      <w:r>
        <w:rPr>
          <w:color w:val="auto"/>
        </w:rPr>
        <w:tab/>
      </w:r>
      <w:r>
        <w:rPr>
          <w:rFonts w:hint="eastAsia"/>
          <w:color w:val="auto"/>
          <w:lang w:val="en-US" w:eastAsia="zh-CN"/>
        </w:rPr>
        <w:t>1</w:t>
      </w:r>
      <w:r>
        <w:rPr>
          <w:color w:val="auto"/>
        </w:rPr>
        <w:fldChar w:fldCharType="end"/>
      </w:r>
      <w:r>
        <w:rPr>
          <w:rFonts w:hint="eastAsia"/>
          <w:color w:val="auto"/>
          <w:lang w:val="en-US" w:eastAsia="zh-CN"/>
        </w:rPr>
        <w:t>57</w:t>
      </w:r>
    </w:p>
    <w:p>
      <w:pPr>
        <w:pStyle w:val="37"/>
        <w:tabs>
          <w:tab w:val="right" w:leader="dot" w:pos="14562"/>
        </w:tabs>
        <w:rPr>
          <w:color w:val="auto"/>
        </w:rPr>
      </w:pPr>
      <w:r>
        <w:rPr>
          <w:color w:val="auto"/>
        </w:rPr>
        <w:fldChar w:fldCharType="begin"/>
      </w:r>
      <w:r>
        <w:rPr>
          <w:color w:val="auto"/>
        </w:rPr>
        <w:instrText xml:space="preserve"> HYPERLINK \l "_Toc_4_4_0000000025" </w:instrText>
      </w:r>
      <w:r>
        <w:rPr>
          <w:color w:val="auto"/>
        </w:rPr>
        <w:fldChar w:fldCharType="separate"/>
      </w:r>
      <w:r>
        <w:rPr>
          <w:color w:val="auto"/>
        </w:rPr>
        <w:fldChar w:fldCharType="end"/>
      </w:r>
    </w:p>
    <w:p>
      <w:pPr>
        <w:pStyle w:val="37"/>
        <w:tabs>
          <w:tab w:val="right" w:leader="dot" w:pos="14562"/>
        </w:tabs>
        <w:rPr>
          <w:color w:val="auto"/>
        </w:rPr>
      </w:pPr>
      <w:r>
        <w:rPr>
          <w:color w:val="auto"/>
        </w:rPr>
        <w:fldChar w:fldCharType="begin"/>
      </w:r>
      <w:r>
        <w:rPr>
          <w:color w:val="auto"/>
        </w:rPr>
        <w:instrText xml:space="preserve"> HYPERLINK \l "_Toc_4_4_0000000025" </w:instrText>
      </w:r>
      <w:r>
        <w:rPr>
          <w:color w:val="auto"/>
        </w:rPr>
        <w:fldChar w:fldCharType="separate"/>
      </w:r>
      <w:r>
        <w:rPr>
          <w:color w:val="auto"/>
        </w:rPr>
        <w:fldChar w:fldCharType="end"/>
      </w:r>
    </w:p>
    <w:p>
      <w:pPr>
        <w:spacing w:line="500" w:lineRule="exact"/>
        <w:ind w:firstLine="560"/>
        <w:rPr>
          <w:color w:val="auto"/>
        </w:rPr>
        <w:sectPr>
          <w:footerReference r:id="rId3" w:type="default"/>
          <w:footerReference r:id="rId4" w:type="even"/>
          <w:pgSz w:w="16840" w:h="11900" w:orient="landscape"/>
          <w:pgMar w:top="1361" w:right="1020" w:bottom="1134" w:left="1020" w:header="720" w:footer="720" w:gutter="0"/>
          <w:cols w:space="720" w:num="1"/>
        </w:sectPr>
      </w:pPr>
      <w:r>
        <w:rPr>
          <w:color w:val="auto"/>
        </w:rPr>
        <w:fldChar w:fldCharType="end"/>
      </w:r>
    </w:p>
    <w:p>
      <w:pPr>
        <w:jc w:val="center"/>
        <w:rPr>
          <w:color w:val="auto"/>
          <w:sz w:val="36"/>
          <w:szCs w:val="36"/>
        </w:rPr>
      </w:pPr>
      <w:bookmarkStart w:id="0" w:name="_Toc70244353"/>
      <w:r>
        <w:rPr>
          <w:rFonts w:hint="eastAsia" w:ascii="方正小标宋_GBK" w:hAnsi="方正小标宋_GBK" w:eastAsia="方正小标宋_GBK" w:cs="方正小标宋_GBK"/>
          <w:color w:val="auto"/>
          <w:sz w:val="36"/>
          <w:szCs w:val="36"/>
          <w:lang w:eastAsia="zh-CN"/>
        </w:rPr>
        <w:t>一</w:t>
      </w:r>
      <w:r>
        <w:rPr>
          <w:rFonts w:ascii="方正小标宋_GBK" w:hAnsi="方正小标宋_GBK" w:eastAsia="方正小标宋_GBK" w:cs="方正小标宋_GBK"/>
          <w:color w:val="auto"/>
          <w:sz w:val="36"/>
          <w:szCs w:val="36"/>
        </w:rPr>
        <w:t>、保定市自然资源和规划局满城区分局本级收支预算</w:t>
      </w:r>
    </w:p>
    <w:p>
      <w:pPr>
        <w:jc w:val="center"/>
        <w:outlineLvl w:val="4"/>
        <w:rPr>
          <w:color w:val="auto"/>
        </w:rPr>
      </w:pPr>
      <w:r>
        <w:rPr>
          <w:rFonts w:ascii="方正小标宋_GBK" w:hAnsi="方正小标宋_GBK" w:eastAsia="方正小标宋_GBK" w:cs="方正小标宋_GBK"/>
          <w:color w:val="auto"/>
          <w:sz w:val="36"/>
        </w:rPr>
        <w:t>单位预算收支总表</w:t>
      </w:r>
    </w:p>
    <w:bookmarkEnd w:id="0"/>
    <w:p>
      <w:pPr>
        <w:jc w:val="center"/>
        <w:outlineLvl w:val="1"/>
        <w:rPr>
          <w:rFonts w:hint="eastAsia" w:hAnsi="宋体"/>
          <w:color w:val="auto"/>
          <w:sz w:val="32"/>
        </w:rPr>
      </w:pPr>
    </w:p>
    <w:tbl>
      <w:tblPr>
        <w:tblStyle w:val="5"/>
        <w:tblW w:w="132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4"/>
        <w:gridCol w:w="6565"/>
        <w:gridCol w:w="57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539" w:type="dxa"/>
            <w:gridSpan w:val="2"/>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default" w:ascii="方正小标宋_GBK" w:eastAsia="方正小标宋_GBK"/>
                <w:color w:val="auto"/>
                <w:sz w:val="24"/>
                <w:lang w:val="en-US" w:eastAsia="zh-CN"/>
              </w:rPr>
            </w:pPr>
            <w:r>
              <w:rPr>
                <w:rFonts w:ascii="方正小标宋_GBK" w:eastAsia="方正小标宋_GBK"/>
                <w:color w:val="auto"/>
                <w:sz w:val="24"/>
              </w:rPr>
              <w:t>324</w:t>
            </w:r>
            <w:r>
              <w:rPr>
                <w:rFonts w:hint="eastAsia" w:ascii="方正小标宋_GBK" w:eastAsia="方正小标宋_GBK"/>
                <w:color w:val="auto"/>
                <w:sz w:val="24"/>
                <w:lang w:val="en-US" w:eastAsia="zh-CN"/>
              </w:rPr>
              <w:t>001</w:t>
            </w:r>
            <w:r>
              <w:rPr>
                <w:rFonts w:hint="eastAsia" w:ascii="方正小标宋_GBK" w:eastAsia="方正小标宋_GBK"/>
                <w:color w:val="auto"/>
                <w:sz w:val="24"/>
              </w:rPr>
              <w:t>保定市自然资源和规划局满城区分局</w:t>
            </w:r>
            <w:r>
              <w:rPr>
                <w:rFonts w:hint="eastAsia" w:ascii="方正小标宋_GBK" w:eastAsia="方正小标宋_GBK"/>
                <w:color w:val="auto"/>
                <w:sz w:val="24"/>
                <w:lang w:val="en-US" w:eastAsia="zh-CN"/>
              </w:rPr>
              <w:t xml:space="preserve">本级   </w:t>
            </w:r>
          </w:p>
        </w:tc>
        <w:tc>
          <w:tcPr>
            <w:tcW w:w="575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olor w:val="auto"/>
                <w:sz w:val="24"/>
              </w:rPr>
            </w:pPr>
            <w:r>
              <w:rPr>
                <w:rFonts w:hint="eastAsia" w:ascii="方正书宋_GBK" w:eastAsia="方正书宋_GBK"/>
                <w:color w:val="auto"/>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7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项</w:t>
            </w:r>
            <w:r>
              <w:rPr>
                <w:rFonts w:ascii="方正书宋_GBK" w:eastAsia="方正书宋_GBK"/>
                <w:b/>
                <w:color w:val="auto"/>
              </w:rPr>
              <w:t xml:space="preserve">  </w:t>
            </w:r>
            <w:r>
              <w:rPr>
                <w:rFonts w:hint="eastAsia" w:ascii="方正书宋_GBK" w:eastAsia="方正书宋_GBK"/>
                <w:b/>
                <w:color w:val="auto"/>
              </w:rPr>
              <w:t>目代</w:t>
            </w:r>
            <w:r>
              <w:rPr>
                <w:rFonts w:ascii="方正书宋_GBK" w:eastAsia="方正书宋_GBK"/>
                <w:b/>
                <w:color w:val="auto"/>
              </w:rPr>
              <w:t xml:space="preserve">  </w:t>
            </w:r>
            <w:r>
              <w:rPr>
                <w:rFonts w:hint="eastAsia" w:ascii="方正书宋_GBK" w:eastAsia="方正书宋_GBK"/>
                <w:b/>
                <w:color w:val="auto"/>
              </w:rPr>
              <w:t>码</w:t>
            </w:r>
          </w:p>
        </w:tc>
        <w:tc>
          <w:tcPr>
            <w:tcW w:w="6565"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预算收支项目</w:t>
            </w:r>
          </w:p>
        </w:tc>
        <w:tc>
          <w:tcPr>
            <w:tcW w:w="5751"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预算收入</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43499.25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本年收入</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43499.25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一般公共预算拨款</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2399.25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其中：财政拨款</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442.51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行政事业性收费</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国有资源（资产）有偿使用收入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政府住房基金收入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上级一般公共预算安排转移支付</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1956.74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一般债券</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其他</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基金预算拨款</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41100.00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其中：政府性基金收入</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41100.00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专项债券对应项目专项收入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上级政府性基金预算安排转移支付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专项债券</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3</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国有资本经营预算拨款</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其中：国有资本经营收入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上级国有资本经营预算安排转移支付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4</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财政专户核拨</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5</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其他来源收入（单位资金）</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其中：事业收入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上级补助收入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附属单位上缴收入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事业单位经营收入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其他收入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上年结转结余</w:t>
            </w:r>
          </w:p>
        </w:tc>
        <w:tc>
          <w:tcPr>
            <w:tcW w:w="5751"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一般公共预算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政府性基金预算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3</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国有资本经营预算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4</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财政专户核拨</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5</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其他来源收入（单位资金）</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预算支出</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43499.25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本年收入安排</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43499.25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基本支出</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339.59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其中：人员经费</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312.00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日常公用经费</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27.59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项目支出</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43159.66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上年结转安排</w:t>
            </w:r>
          </w:p>
        </w:tc>
        <w:tc>
          <w:tcPr>
            <w:tcW w:w="5751" w:type="dxa"/>
            <w:noWrap w:val="0"/>
            <w:vAlign w:val="center"/>
          </w:tcPr>
          <w:p>
            <w:pPr>
              <w:spacing w:line="300" w:lineRule="exact"/>
              <w:jc w:val="right"/>
              <w:rPr>
                <w:rFonts w:ascii="方正书宋_GBK" w:eastAsia="方正书宋_GBK"/>
                <w:b/>
                <w:color w:val="auto"/>
              </w:rPr>
            </w:pPr>
          </w:p>
        </w:tc>
      </w:tr>
    </w:tbl>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5"/>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4"/>
              <w:rPr>
                <w:rFonts w:hint="eastAsia" w:eastAsia="方正小标宋_GBK"/>
                <w:color w:val="auto"/>
                <w:lang w:val="en-US" w:eastAsia="zh-CN"/>
              </w:rPr>
            </w:pPr>
            <w:r>
              <w:rPr>
                <w:color w:val="auto"/>
              </w:rPr>
              <w:t>32400</w:t>
            </w:r>
            <w:r>
              <w:rPr>
                <w:rFonts w:hint="eastAsia"/>
                <w:color w:val="auto"/>
                <w:lang w:val="en-US" w:eastAsia="zh-CN"/>
              </w:rPr>
              <w:t>1</w:t>
            </w:r>
            <w:r>
              <w:rPr>
                <w:color w:val="auto"/>
              </w:rPr>
              <w:t>保定市自然资源和规划局满城区分局</w:t>
            </w:r>
            <w:r>
              <w:rPr>
                <w:rFonts w:hint="eastAsia"/>
                <w:color w:val="auto"/>
                <w:lang w:val="en-US" w:eastAsia="zh-CN"/>
              </w:rPr>
              <w:t>本级</w:t>
            </w:r>
          </w:p>
        </w:tc>
        <w:tc>
          <w:tcPr>
            <w:tcW w:w="3402" w:type="dxa"/>
            <w:gridSpan w:val="3"/>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670" w:type="dxa"/>
            <w:gridSpan w:val="5"/>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5"/>
              <w:rPr>
                <w:color w:val="auto"/>
              </w:rPr>
            </w:pPr>
            <w:r>
              <w:rPr>
                <w:color w:val="auto"/>
              </w:rPr>
              <w:t>序号</w:t>
            </w:r>
          </w:p>
        </w:tc>
        <w:tc>
          <w:tcPr>
            <w:tcW w:w="2551" w:type="dxa"/>
            <w:gridSpan w:val="2"/>
            <w:noWrap w:val="0"/>
            <w:vAlign w:val="center"/>
          </w:tcPr>
          <w:p>
            <w:pPr>
              <w:pStyle w:val="15"/>
              <w:rPr>
                <w:color w:val="auto"/>
              </w:rPr>
            </w:pPr>
            <w:r>
              <w:rPr>
                <w:color w:val="auto"/>
              </w:rPr>
              <w:t>功能分类科目</w:t>
            </w:r>
          </w:p>
        </w:tc>
        <w:tc>
          <w:tcPr>
            <w:tcW w:w="1134" w:type="dxa"/>
            <w:vMerge w:val="restart"/>
            <w:noWrap w:val="0"/>
            <w:vAlign w:val="center"/>
          </w:tcPr>
          <w:p>
            <w:pPr>
              <w:pStyle w:val="15"/>
              <w:rPr>
                <w:color w:val="auto"/>
              </w:rPr>
            </w:pPr>
            <w:r>
              <w:rPr>
                <w:color w:val="auto"/>
              </w:rPr>
              <w:t>合计</w:t>
            </w:r>
          </w:p>
        </w:tc>
        <w:tc>
          <w:tcPr>
            <w:tcW w:w="9072" w:type="dxa"/>
            <w:gridSpan w:val="8"/>
            <w:noWrap w:val="0"/>
            <w:vAlign w:val="center"/>
          </w:tcPr>
          <w:p>
            <w:pPr>
              <w:pStyle w:val="15"/>
              <w:rPr>
                <w:color w:val="auto"/>
              </w:rPr>
            </w:pPr>
            <w:r>
              <w:rPr>
                <w:color w:val="auto"/>
              </w:rPr>
              <w:t>本年收入</w:t>
            </w:r>
          </w:p>
        </w:tc>
        <w:tc>
          <w:tcPr>
            <w:tcW w:w="1134" w:type="dxa"/>
            <w:vMerge w:val="restart"/>
            <w:noWrap w:val="0"/>
            <w:vAlign w:val="center"/>
          </w:tcPr>
          <w:p>
            <w:pPr>
              <w:pStyle w:val="15"/>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pPr>
              <w:rPr>
                <w:color w:val="auto"/>
              </w:rPr>
            </w:pPr>
          </w:p>
        </w:tc>
        <w:tc>
          <w:tcPr>
            <w:tcW w:w="992" w:type="dxa"/>
            <w:noWrap w:val="0"/>
            <w:vAlign w:val="center"/>
          </w:tcPr>
          <w:p>
            <w:pPr>
              <w:pStyle w:val="15"/>
              <w:rPr>
                <w:color w:val="auto"/>
              </w:rPr>
            </w:pPr>
            <w:r>
              <w:rPr>
                <w:color w:val="auto"/>
              </w:rPr>
              <w:t>科目    编码</w:t>
            </w:r>
          </w:p>
        </w:tc>
        <w:tc>
          <w:tcPr>
            <w:tcW w:w="1559" w:type="dxa"/>
            <w:noWrap w:val="0"/>
            <w:vAlign w:val="center"/>
          </w:tcPr>
          <w:p>
            <w:pPr>
              <w:pStyle w:val="15"/>
              <w:rPr>
                <w:color w:val="auto"/>
              </w:rPr>
            </w:pPr>
            <w:r>
              <w:rPr>
                <w:color w:val="auto"/>
              </w:rPr>
              <w:t>科目名称</w:t>
            </w:r>
          </w:p>
        </w:tc>
        <w:tc>
          <w:tcPr>
            <w:tcW w:w="1134" w:type="dxa"/>
            <w:vMerge w:val="continue"/>
            <w:noWrap w:val="0"/>
            <w:vAlign w:val="top"/>
          </w:tcPr>
          <w:p>
            <w:pPr>
              <w:rPr>
                <w:color w:val="auto"/>
              </w:rPr>
            </w:pPr>
          </w:p>
        </w:tc>
        <w:tc>
          <w:tcPr>
            <w:tcW w:w="1134" w:type="dxa"/>
            <w:noWrap w:val="0"/>
            <w:vAlign w:val="center"/>
          </w:tcPr>
          <w:p>
            <w:pPr>
              <w:pStyle w:val="15"/>
              <w:rPr>
                <w:color w:val="auto"/>
              </w:rPr>
            </w:pPr>
            <w:r>
              <w:rPr>
                <w:color w:val="auto"/>
              </w:rPr>
              <w:t>小计</w:t>
            </w:r>
          </w:p>
        </w:tc>
        <w:tc>
          <w:tcPr>
            <w:tcW w:w="1134" w:type="dxa"/>
            <w:noWrap w:val="0"/>
            <w:vAlign w:val="center"/>
          </w:tcPr>
          <w:p>
            <w:pPr>
              <w:pStyle w:val="15"/>
              <w:rPr>
                <w:color w:val="auto"/>
              </w:rPr>
            </w:pPr>
            <w:r>
              <w:rPr>
                <w:color w:val="auto"/>
              </w:rPr>
              <w:t>财政拨款 收入</w:t>
            </w:r>
          </w:p>
        </w:tc>
        <w:tc>
          <w:tcPr>
            <w:tcW w:w="1134" w:type="dxa"/>
            <w:noWrap w:val="0"/>
            <w:vAlign w:val="center"/>
          </w:tcPr>
          <w:p>
            <w:pPr>
              <w:pStyle w:val="15"/>
              <w:rPr>
                <w:color w:val="auto"/>
              </w:rPr>
            </w:pPr>
            <w:r>
              <w:rPr>
                <w:color w:val="auto"/>
              </w:rPr>
              <w:t>财政专户 收入</w:t>
            </w:r>
          </w:p>
        </w:tc>
        <w:tc>
          <w:tcPr>
            <w:tcW w:w="1134" w:type="dxa"/>
            <w:noWrap w:val="0"/>
            <w:vAlign w:val="center"/>
          </w:tcPr>
          <w:p>
            <w:pPr>
              <w:pStyle w:val="15"/>
              <w:rPr>
                <w:color w:val="auto"/>
              </w:rPr>
            </w:pPr>
            <w:r>
              <w:rPr>
                <w:color w:val="auto"/>
              </w:rPr>
              <w:t>事业收入</w:t>
            </w:r>
          </w:p>
        </w:tc>
        <w:tc>
          <w:tcPr>
            <w:tcW w:w="1134" w:type="dxa"/>
            <w:noWrap w:val="0"/>
            <w:vAlign w:val="center"/>
          </w:tcPr>
          <w:p>
            <w:pPr>
              <w:pStyle w:val="15"/>
              <w:rPr>
                <w:color w:val="auto"/>
              </w:rPr>
            </w:pPr>
            <w:r>
              <w:rPr>
                <w:color w:val="auto"/>
              </w:rPr>
              <w:t>经营收入</w:t>
            </w:r>
          </w:p>
        </w:tc>
        <w:tc>
          <w:tcPr>
            <w:tcW w:w="1134" w:type="dxa"/>
            <w:noWrap w:val="0"/>
            <w:vAlign w:val="center"/>
          </w:tcPr>
          <w:p>
            <w:pPr>
              <w:pStyle w:val="15"/>
              <w:rPr>
                <w:color w:val="auto"/>
              </w:rPr>
            </w:pPr>
            <w:r>
              <w:rPr>
                <w:color w:val="auto"/>
              </w:rPr>
              <w:t>上级补助收入</w:t>
            </w:r>
          </w:p>
        </w:tc>
        <w:tc>
          <w:tcPr>
            <w:tcW w:w="1134" w:type="dxa"/>
            <w:noWrap w:val="0"/>
            <w:vAlign w:val="center"/>
          </w:tcPr>
          <w:p>
            <w:pPr>
              <w:pStyle w:val="15"/>
              <w:rPr>
                <w:color w:val="auto"/>
              </w:rPr>
            </w:pPr>
            <w:r>
              <w:rPr>
                <w:color w:val="auto"/>
              </w:rPr>
              <w:t>附属单位上缴收入</w:t>
            </w:r>
          </w:p>
        </w:tc>
        <w:tc>
          <w:tcPr>
            <w:tcW w:w="1134" w:type="dxa"/>
            <w:noWrap w:val="0"/>
            <w:vAlign w:val="center"/>
          </w:tcPr>
          <w:p>
            <w:pPr>
              <w:pStyle w:val="15"/>
              <w:rPr>
                <w:color w:val="auto"/>
              </w:rPr>
            </w:pPr>
            <w:r>
              <w:rPr>
                <w:color w:val="auto"/>
              </w:rPr>
              <w:t>其他收入</w:t>
            </w:r>
          </w:p>
        </w:tc>
        <w:tc>
          <w:tcPr>
            <w:tcW w:w="1134"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5"/>
              <w:rPr>
                <w:color w:val="auto"/>
              </w:rPr>
            </w:pPr>
            <w:r>
              <w:rPr>
                <w:color w:val="auto"/>
              </w:rPr>
              <w:t>栏次</w:t>
            </w:r>
          </w:p>
        </w:tc>
        <w:tc>
          <w:tcPr>
            <w:tcW w:w="992" w:type="dxa"/>
            <w:noWrap w:val="0"/>
            <w:vAlign w:val="center"/>
          </w:tcPr>
          <w:p>
            <w:pPr>
              <w:pStyle w:val="15"/>
              <w:rPr>
                <w:color w:val="auto"/>
              </w:rPr>
            </w:pPr>
            <w:r>
              <w:rPr>
                <w:color w:val="auto"/>
              </w:rPr>
              <w:t>1</w:t>
            </w:r>
          </w:p>
        </w:tc>
        <w:tc>
          <w:tcPr>
            <w:tcW w:w="1559" w:type="dxa"/>
            <w:noWrap w:val="0"/>
            <w:vAlign w:val="center"/>
          </w:tcPr>
          <w:p>
            <w:pPr>
              <w:pStyle w:val="15"/>
              <w:rPr>
                <w:color w:val="auto"/>
              </w:rPr>
            </w:pPr>
            <w:r>
              <w:rPr>
                <w:color w:val="auto"/>
              </w:rPr>
              <w:t>2</w:t>
            </w:r>
          </w:p>
        </w:tc>
        <w:tc>
          <w:tcPr>
            <w:tcW w:w="1134" w:type="dxa"/>
            <w:noWrap w:val="0"/>
            <w:vAlign w:val="center"/>
          </w:tcPr>
          <w:p>
            <w:pPr>
              <w:pStyle w:val="15"/>
              <w:rPr>
                <w:color w:val="auto"/>
              </w:rPr>
            </w:pPr>
            <w:r>
              <w:rPr>
                <w:color w:val="auto"/>
              </w:rPr>
              <w:t>3</w:t>
            </w:r>
          </w:p>
        </w:tc>
        <w:tc>
          <w:tcPr>
            <w:tcW w:w="1134" w:type="dxa"/>
            <w:noWrap w:val="0"/>
            <w:vAlign w:val="center"/>
          </w:tcPr>
          <w:p>
            <w:pPr>
              <w:pStyle w:val="15"/>
              <w:rPr>
                <w:color w:val="auto"/>
              </w:rPr>
            </w:pPr>
            <w:r>
              <w:rPr>
                <w:color w:val="auto"/>
              </w:rPr>
              <w:t>4</w:t>
            </w:r>
          </w:p>
        </w:tc>
        <w:tc>
          <w:tcPr>
            <w:tcW w:w="1134" w:type="dxa"/>
            <w:noWrap w:val="0"/>
            <w:vAlign w:val="center"/>
          </w:tcPr>
          <w:p>
            <w:pPr>
              <w:pStyle w:val="15"/>
              <w:rPr>
                <w:color w:val="auto"/>
              </w:rPr>
            </w:pPr>
            <w:r>
              <w:rPr>
                <w:color w:val="auto"/>
              </w:rPr>
              <w:t>5</w:t>
            </w:r>
          </w:p>
        </w:tc>
        <w:tc>
          <w:tcPr>
            <w:tcW w:w="1134" w:type="dxa"/>
            <w:noWrap w:val="0"/>
            <w:vAlign w:val="center"/>
          </w:tcPr>
          <w:p>
            <w:pPr>
              <w:pStyle w:val="15"/>
              <w:rPr>
                <w:color w:val="auto"/>
              </w:rPr>
            </w:pPr>
            <w:r>
              <w:rPr>
                <w:color w:val="auto"/>
              </w:rPr>
              <w:t>6</w:t>
            </w:r>
          </w:p>
        </w:tc>
        <w:tc>
          <w:tcPr>
            <w:tcW w:w="1134" w:type="dxa"/>
            <w:noWrap w:val="0"/>
            <w:vAlign w:val="center"/>
          </w:tcPr>
          <w:p>
            <w:pPr>
              <w:pStyle w:val="15"/>
              <w:rPr>
                <w:color w:val="auto"/>
              </w:rPr>
            </w:pPr>
            <w:r>
              <w:rPr>
                <w:color w:val="auto"/>
              </w:rPr>
              <w:t>7</w:t>
            </w:r>
          </w:p>
        </w:tc>
        <w:tc>
          <w:tcPr>
            <w:tcW w:w="1134" w:type="dxa"/>
            <w:noWrap w:val="0"/>
            <w:vAlign w:val="center"/>
          </w:tcPr>
          <w:p>
            <w:pPr>
              <w:pStyle w:val="15"/>
              <w:rPr>
                <w:color w:val="auto"/>
              </w:rPr>
            </w:pPr>
            <w:r>
              <w:rPr>
                <w:color w:val="auto"/>
              </w:rPr>
              <w:t>8</w:t>
            </w:r>
          </w:p>
        </w:tc>
        <w:tc>
          <w:tcPr>
            <w:tcW w:w="1134" w:type="dxa"/>
            <w:noWrap w:val="0"/>
            <w:vAlign w:val="center"/>
          </w:tcPr>
          <w:p>
            <w:pPr>
              <w:pStyle w:val="15"/>
              <w:rPr>
                <w:color w:val="auto"/>
              </w:rPr>
            </w:pPr>
            <w:r>
              <w:rPr>
                <w:color w:val="auto"/>
              </w:rPr>
              <w:t>9</w:t>
            </w:r>
          </w:p>
        </w:tc>
        <w:tc>
          <w:tcPr>
            <w:tcW w:w="1134" w:type="dxa"/>
            <w:noWrap w:val="0"/>
            <w:vAlign w:val="center"/>
          </w:tcPr>
          <w:p>
            <w:pPr>
              <w:pStyle w:val="15"/>
              <w:rPr>
                <w:color w:val="auto"/>
              </w:rPr>
            </w:pPr>
            <w:r>
              <w:rPr>
                <w:color w:val="auto"/>
              </w:rPr>
              <w:t>10</w:t>
            </w:r>
          </w:p>
        </w:tc>
        <w:tc>
          <w:tcPr>
            <w:tcW w:w="1134" w:type="dxa"/>
            <w:noWrap w:val="0"/>
            <w:vAlign w:val="center"/>
          </w:tcPr>
          <w:p>
            <w:pPr>
              <w:pStyle w:val="15"/>
              <w:rPr>
                <w:color w:val="auto"/>
              </w:rPr>
            </w:pPr>
            <w:r>
              <w:rPr>
                <w:color w:val="auto"/>
              </w:rPr>
              <w:t>11</w:t>
            </w:r>
          </w:p>
        </w:tc>
        <w:tc>
          <w:tcPr>
            <w:tcW w:w="1134" w:type="dxa"/>
            <w:noWrap w:val="0"/>
            <w:vAlign w:val="center"/>
          </w:tcPr>
          <w:p>
            <w:pPr>
              <w:pStyle w:val="15"/>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992" w:type="dxa"/>
            <w:noWrap w:val="0"/>
            <w:vAlign w:val="center"/>
          </w:tcPr>
          <w:p>
            <w:pPr>
              <w:jc w:val="left"/>
              <w:rPr>
                <w:color w:val="auto"/>
              </w:rPr>
            </w:pP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1134" w:type="dxa"/>
            <w:noWrap w:val="0"/>
            <w:vAlign w:val="center"/>
          </w:tcPr>
          <w:p>
            <w:pPr>
              <w:pStyle w:val="20"/>
              <w:rPr>
                <w:rFonts w:hint="default" w:eastAsia="方正书宋_GBK"/>
                <w:color w:val="auto"/>
                <w:lang w:val="en-US" w:eastAsia="zh-CN"/>
              </w:rPr>
            </w:pPr>
            <w:r>
              <w:rPr>
                <w:rFonts w:hint="eastAsia"/>
                <w:color w:val="auto"/>
                <w:lang w:val="en-US" w:eastAsia="zh-CN"/>
              </w:rPr>
              <w:t>43499.25</w:t>
            </w:r>
          </w:p>
        </w:tc>
        <w:tc>
          <w:tcPr>
            <w:tcW w:w="1134" w:type="dxa"/>
            <w:noWrap w:val="0"/>
            <w:vAlign w:val="center"/>
          </w:tcPr>
          <w:p>
            <w:pPr>
              <w:pStyle w:val="20"/>
              <w:rPr>
                <w:rFonts w:hint="default" w:eastAsia="方正书宋_GBK"/>
                <w:color w:val="auto"/>
                <w:lang w:val="en-US" w:eastAsia="zh-CN"/>
              </w:rPr>
            </w:pPr>
            <w:r>
              <w:rPr>
                <w:rFonts w:hint="eastAsia"/>
                <w:color w:val="auto"/>
                <w:lang w:val="en-US" w:eastAsia="zh-CN"/>
              </w:rPr>
              <w:t>43499.25</w:t>
            </w:r>
          </w:p>
        </w:tc>
        <w:tc>
          <w:tcPr>
            <w:tcW w:w="1134" w:type="dxa"/>
            <w:noWrap w:val="0"/>
            <w:vAlign w:val="center"/>
          </w:tcPr>
          <w:p>
            <w:pPr>
              <w:pStyle w:val="20"/>
              <w:rPr>
                <w:rFonts w:hint="default" w:eastAsia="方正书宋_GBK"/>
                <w:color w:val="auto"/>
                <w:lang w:val="en-US" w:eastAsia="zh-CN"/>
              </w:rPr>
            </w:pPr>
            <w:r>
              <w:rPr>
                <w:rFonts w:hint="eastAsia"/>
                <w:color w:val="auto"/>
                <w:lang w:val="en-US" w:eastAsia="zh-CN"/>
              </w:rPr>
              <w:t>43499.25</w:t>
            </w: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61.11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61.11</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61.11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61.61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61.61</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61.61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31.92</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31.92</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31.92</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29.19</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29.19</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29.19</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11.96</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11.96</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11.96</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4.74</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4.74</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4.74</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41113.08</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41113.08</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41113.08</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城乡社区规划与管理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8.4</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8.4</w:t>
            </w:r>
          </w:p>
        </w:tc>
        <w:tc>
          <w:tcPr>
            <w:tcW w:w="1134" w:type="dxa"/>
            <w:noWrap w:val="0"/>
            <w:vAlign w:val="center"/>
          </w:tcPr>
          <w:p>
            <w:pPr>
              <w:pStyle w:val="16"/>
              <w:rPr>
                <w:rFonts w:hint="default"/>
                <w:color w:val="auto"/>
                <w:lang w:val="en-US" w:eastAsia="zh-CN"/>
              </w:rPr>
            </w:pPr>
            <w:r>
              <w:rPr>
                <w:rFonts w:hint="eastAsia"/>
                <w:color w:val="auto"/>
                <w:lang w:val="en-US" w:eastAsia="zh-CN"/>
              </w:rPr>
              <w:t>8.4</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2120201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城乡社区规划与管理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8.4</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8.4</w:t>
            </w:r>
          </w:p>
        </w:tc>
        <w:tc>
          <w:tcPr>
            <w:tcW w:w="1134" w:type="dxa"/>
            <w:noWrap w:val="0"/>
            <w:vAlign w:val="center"/>
          </w:tcPr>
          <w:p>
            <w:pPr>
              <w:pStyle w:val="16"/>
              <w:rPr>
                <w:rFonts w:hint="default"/>
                <w:color w:val="auto"/>
                <w:lang w:val="en-US" w:eastAsia="zh-CN"/>
              </w:rPr>
            </w:pPr>
            <w:r>
              <w:rPr>
                <w:rFonts w:hint="eastAsia"/>
                <w:color w:val="auto"/>
                <w:lang w:val="en-US" w:eastAsia="zh-CN"/>
              </w:rPr>
              <w:t>8.4</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城乡社区公共设施</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4.68</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4.68</w:t>
            </w:r>
          </w:p>
        </w:tc>
        <w:tc>
          <w:tcPr>
            <w:tcW w:w="1134" w:type="dxa"/>
            <w:noWrap w:val="0"/>
            <w:vAlign w:val="center"/>
          </w:tcPr>
          <w:p>
            <w:pPr>
              <w:pStyle w:val="16"/>
              <w:rPr>
                <w:rFonts w:hint="default"/>
                <w:color w:val="auto"/>
                <w:lang w:val="en-US" w:eastAsia="zh-CN"/>
              </w:rPr>
            </w:pPr>
            <w:r>
              <w:rPr>
                <w:rFonts w:hint="eastAsia"/>
                <w:color w:val="auto"/>
                <w:lang w:val="en-US" w:eastAsia="zh-CN"/>
              </w:rPr>
              <w:t>4.68</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2120399</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4.68</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4.68</w:t>
            </w:r>
          </w:p>
        </w:tc>
        <w:tc>
          <w:tcPr>
            <w:tcW w:w="1134" w:type="dxa"/>
            <w:noWrap w:val="0"/>
            <w:vAlign w:val="center"/>
          </w:tcPr>
          <w:p>
            <w:pPr>
              <w:pStyle w:val="16"/>
              <w:rPr>
                <w:rFonts w:hint="default"/>
                <w:color w:val="auto"/>
                <w:lang w:val="en-US" w:eastAsia="zh-CN"/>
              </w:rPr>
            </w:pPr>
            <w:r>
              <w:rPr>
                <w:rFonts w:hint="eastAsia"/>
                <w:color w:val="auto"/>
                <w:lang w:val="en-US" w:eastAsia="zh-CN"/>
              </w:rPr>
              <w:t>4.68</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36439</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36439</w:t>
            </w:r>
          </w:p>
        </w:tc>
        <w:tc>
          <w:tcPr>
            <w:tcW w:w="1134" w:type="dxa"/>
            <w:noWrap w:val="0"/>
            <w:vAlign w:val="center"/>
          </w:tcPr>
          <w:p>
            <w:pPr>
              <w:pStyle w:val="16"/>
              <w:rPr>
                <w:rFonts w:hint="default"/>
                <w:color w:val="auto"/>
                <w:lang w:val="en-US" w:eastAsia="zh-CN"/>
              </w:rPr>
            </w:pPr>
            <w:r>
              <w:rPr>
                <w:rFonts w:hint="eastAsia"/>
                <w:color w:val="auto"/>
                <w:lang w:val="en-US" w:eastAsia="zh-CN"/>
              </w:rPr>
              <w:t>36439</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征地和拆迁补偿支出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31778</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31778</w:t>
            </w:r>
          </w:p>
        </w:tc>
        <w:tc>
          <w:tcPr>
            <w:tcW w:w="1134" w:type="dxa"/>
            <w:noWrap w:val="0"/>
            <w:vAlign w:val="center"/>
          </w:tcPr>
          <w:p>
            <w:pPr>
              <w:pStyle w:val="16"/>
              <w:rPr>
                <w:rFonts w:hint="default"/>
                <w:color w:val="auto"/>
                <w:lang w:val="en-US" w:eastAsia="zh-CN"/>
              </w:rPr>
            </w:pPr>
            <w:r>
              <w:rPr>
                <w:rFonts w:hint="eastAsia"/>
                <w:color w:val="auto"/>
                <w:lang w:val="en-US" w:eastAsia="zh-CN"/>
              </w:rPr>
              <w:t>31778</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134" w:type="dxa"/>
            <w:noWrap w:val="0"/>
            <w:vAlign w:val="center"/>
          </w:tcPr>
          <w:p>
            <w:pPr>
              <w:pStyle w:val="16"/>
              <w:rPr>
                <w:rFonts w:hint="default"/>
                <w:color w:val="auto"/>
                <w:lang w:val="en-US" w:eastAsia="zh-CN"/>
              </w:rPr>
            </w:pPr>
            <w:r>
              <w:rPr>
                <w:rFonts w:hint="eastAsia"/>
                <w:color w:val="auto"/>
                <w:lang w:val="en-US" w:eastAsia="zh-CN"/>
              </w:rPr>
              <w:t>4661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21210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134" w:type="dxa"/>
            <w:noWrap w:val="0"/>
            <w:vAlign w:val="center"/>
          </w:tcPr>
          <w:p>
            <w:pPr>
              <w:pStyle w:val="16"/>
              <w:rPr>
                <w:rFonts w:hint="default"/>
                <w:color w:val="auto"/>
                <w:lang w:val="en-US" w:eastAsia="zh-CN"/>
              </w:rPr>
            </w:pPr>
            <w:r>
              <w:rPr>
                <w:rFonts w:hint="eastAsia"/>
                <w:color w:val="auto"/>
                <w:lang w:val="en-US" w:eastAsia="zh-CN"/>
              </w:rPr>
              <w:t>4661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2121002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134" w:type="dxa"/>
            <w:noWrap w:val="0"/>
            <w:vAlign w:val="center"/>
          </w:tcPr>
          <w:p>
            <w:pPr>
              <w:pStyle w:val="16"/>
              <w:rPr>
                <w:rFonts w:hint="default"/>
                <w:color w:val="auto"/>
                <w:lang w:val="en-US" w:eastAsia="zh-CN"/>
              </w:rPr>
            </w:pPr>
            <w:r>
              <w:rPr>
                <w:rFonts w:hint="eastAsia"/>
                <w:color w:val="auto"/>
                <w:lang w:val="en-US" w:eastAsia="zh-CN"/>
              </w:rPr>
              <w:t>4661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农林水支出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205.89</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205.89</w:t>
            </w:r>
          </w:p>
        </w:tc>
        <w:tc>
          <w:tcPr>
            <w:tcW w:w="1134" w:type="dxa"/>
            <w:noWrap w:val="0"/>
            <w:vAlign w:val="center"/>
          </w:tcPr>
          <w:p>
            <w:pPr>
              <w:pStyle w:val="16"/>
              <w:rPr>
                <w:rFonts w:hint="default"/>
                <w:color w:val="auto"/>
                <w:lang w:val="en-US" w:eastAsia="zh-CN"/>
              </w:rPr>
            </w:pPr>
            <w:r>
              <w:rPr>
                <w:rFonts w:hint="eastAsia"/>
                <w:color w:val="auto"/>
                <w:lang w:val="en-US" w:eastAsia="zh-CN"/>
              </w:rPr>
              <w:t>205.89</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农业农村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9</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9</w:t>
            </w:r>
          </w:p>
        </w:tc>
        <w:tc>
          <w:tcPr>
            <w:tcW w:w="1134" w:type="dxa"/>
            <w:noWrap w:val="0"/>
            <w:vAlign w:val="center"/>
          </w:tcPr>
          <w:p>
            <w:pPr>
              <w:pStyle w:val="16"/>
              <w:rPr>
                <w:rFonts w:hint="default"/>
                <w:color w:val="auto"/>
                <w:lang w:val="en-US" w:eastAsia="zh-CN"/>
              </w:rPr>
            </w:pPr>
            <w:r>
              <w:rPr>
                <w:rFonts w:hint="eastAsia"/>
                <w:color w:val="auto"/>
                <w:lang w:val="en-US" w:eastAsia="zh-CN"/>
              </w:rPr>
              <w:t>9</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2130135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9</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9</w:t>
            </w:r>
          </w:p>
        </w:tc>
        <w:tc>
          <w:tcPr>
            <w:tcW w:w="1134" w:type="dxa"/>
            <w:noWrap w:val="0"/>
            <w:vAlign w:val="center"/>
          </w:tcPr>
          <w:p>
            <w:pPr>
              <w:pStyle w:val="16"/>
              <w:rPr>
                <w:rFonts w:hint="default"/>
                <w:color w:val="auto"/>
                <w:lang w:val="en-US" w:eastAsia="zh-CN"/>
              </w:rPr>
            </w:pPr>
            <w:r>
              <w:rPr>
                <w:rFonts w:hint="eastAsia"/>
                <w:color w:val="auto"/>
                <w:lang w:val="en-US" w:eastAsia="zh-CN"/>
              </w:rPr>
              <w:t>9</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林业和草原</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196.89</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196.89</w:t>
            </w:r>
          </w:p>
        </w:tc>
        <w:tc>
          <w:tcPr>
            <w:tcW w:w="1134" w:type="dxa"/>
            <w:noWrap w:val="0"/>
            <w:vAlign w:val="center"/>
          </w:tcPr>
          <w:p>
            <w:pPr>
              <w:pStyle w:val="16"/>
              <w:rPr>
                <w:rFonts w:hint="default"/>
                <w:color w:val="auto"/>
                <w:lang w:val="en-US" w:eastAsia="zh-CN"/>
              </w:rPr>
            </w:pPr>
            <w:r>
              <w:rPr>
                <w:rFonts w:hint="eastAsia"/>
                <w:color w:val="auto"/>
                <w:lang w:val="en-US" w:eastAsia="zh-CN"/>
              </w:rPr>
              <w:t>196.89</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森林资源培育</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120</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120</w:t>
            </w:r>
          </w:p>
        </w:tc>
        <w:tc>
          <w:tcPr>
            <w:tcW w:w="1134" w:type="dxa"/>
            <w:noWrap w:val="0"/>
            <w:vAlign w:val="center"/>
          </w:tcPr>
          <w:p>
            <w:pPr>
              <w:pStyle w:val="16"/>
              <w:rPr>
                <w:rFonts w:hint="default"/>
                <w:color w:val="auto"/>
                <w:lang w:val="en-US" w:eastAsia="zh-CN"/>
              </w:rPr>
            </w:pPr>
            <w:r>
              <w:rPr>
                <w:rFonts w:hint="eastAsia"/>
                <w:color w:val="auto"/>
                <w:lang w:val="en-US" w:eastAsia="zh-CN"/>
              </w:rPr>
              <w:t>120</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技术推广与转化</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50</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50</w:t>
            </w:r>
          </w:p>
        </w:tc>
        <w:tc>
          <w:tcPr>
            <w:tcW w:w="1134" w:type="dxa"/>
            <w:noWrap w:val="0"/>
            <w:vAlign w:val="center"/>
          </w:tcPr>
          <w:p>
            <w:pPr>
              <w:pStyle w:val="16"/>
              <w:rPr>
                <w:rFonts w:hint="default"/>
                <w:color w:val="auto"/>
                <w:lang w:val="en-US" w:eastAsia="zh-CN"/>
              </w:rPr>
            </w:pPr>
            <w:r>
              <w:rPr>
                <w:rFonts w:hint="eastAsia"/>
                <w:color w:val="auto"/>
                <w:lang w:val="en-US" w:eastAsia="zh-CN"/>
              </w:rPr>
              <w:t>50</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2130209</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森林生态效益补偿</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16.89</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16.89</w:t>
            </w:r>
          </w:p>
        </w:tc>
        <w:tc>
          <w:tcPr>
            <w:tcW w:w="1134" w:type="dxa"/>
            <w:noWrap w:val="0"/>
            <w:vAlign w:val="center"/>
          </w:tcPr>
          <w:p>
            <w:pPr>
              <w:pStyle w:val="16"/>
              <w:rPr>
                <w:rFonts w:hint="default"/>
                <w:color w:val="auto"/>
                <w:lang w:val="en-US" w:eastAsia="zh-CN"/>
              </w:rPr>
            </w:pPr>
            <w:r>
              <w:rPr>
                <w:rFonts w:hint="eastAsia"/>
                <w:color w:val="auto"/>
                <w:lang w:val="en-US" w:eastAsia="zh-CN"/>
              </w:rPr>
              <w:t>16.89</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2130234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林业草原防灾减灾</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10</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10</w:t>
            </w:r>
          </w:p>
        </w:tc>
        <w:tc>
          <w:tcPr>
            <w:tcW w:w="1134" w:type="dxa"/>
            <w:noWrap w:val="0"/>
            <w:vAlign w:val="center"/>
          </w:tcPr>
          <w:p>
            <w:pPr>
              <w:pStyle w:val="16"/>
              <w:rPr>
                <w:rFonts w:hint="default"/>
                <w:color w:val="auto"/>
                <w:lang w:val="en-US" w:eastAsia="zh-CN"/>
              </w:rPr>
            </w:pPr>
            <w:r>
              <w:rPr>
                <w:rFonts w:hint="eastAsia"/>
                <w:color w:val="auto"/>
                <w:lang w:val="en-US" w:eastAsia="zh-CN"/>
              </w:rPr>
              <w:t>10</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2022.36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2022.36</w:t>
            </w:r>
          </w:p>
        </w:tc>
        <w:tc>
          <w:tcPr>
            <w:tcW w:w="1134" w:type="dxa"/>
            <w:noWrap w:val="0"/>
            <w:vAlign w:val="center"/>
          </w:tcPr>
          <w:p>
            <w:pPr>
              <w:pStyle w:val="16"/>
              <w:rPr>
                <w:rFonts w:hint="default"/>
                <w:color w:val="auto"/>
                <w:lang w:val="en-US" w:eastAsia="zh-CN"/>
              </w:rPr>
            </w:pPr>
            <w:r>
              <w:rPr>
                <w:rFonts w:hint="eastAsia"/>
                <w:color w:val="auto"/>
                <w:lang w:val="en-US" w:eastAsia="zh-CN"/>
              </w:rPr>
              <w:t>2022.36</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自然资源事务</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行政运行</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249.14</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249.14</w:t>
            </w:r>
          </w:p>
        </w:tc>
        <w:tc>
          <w:tcPr>
            <w:tcW w:w="1134" w:type="dxa"/>
            <w:noWrap w:val="0"/>
            <w:vAlign w:val="center"/>
          </w:tcPr>
          <w:p>
            <w:pPr>
              <w:pStyle w:val="16"/>
              <w:rPr>
                <w:rFonts w:hint="default"/>
                <w:color w:val="auto"/>
                <w:lang w:val="en-US" w:eastAsia="zh-CN"/>
              </w:rPr>
            </w:pPr>
            <w:r>
              <w:rPr>
                <w:rFonts w:hint="eastAsia"/>
                <w:color w:val="auto"/>
                <w:lang w:val="en-US" w:eastAsia="zh-CN"/>
              </w:rPr>
              <w:t>249.14</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一般行政管理事务</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2.11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2.11</w:t>
            </w:r>
          </w:p>
        </w:tc>
        <w:tc>
          <w:tcPr>
            <w:tcW w:w="1134" w:type="dxa"/>
            <w:noWrap w:val="0"/>
            <w:vAlign w:val="center"/>
          </w:tcPr>
          <w:p>
            <w:pPr>
              <w:pStyle w:val="16"/>
              <w:rPr>
                <w:rFonts w:hint="default"/>
                <w:color w:val="auto"/>
                <w:lang w:val="en-US" w:eastAsia="zh-CN"/>
              </w:rPr>
            </w:pPr>
            <w:r>
              <w:rPr>
                <w:rFonts w:hint="eastAsia"/>
                <w:color w:val="auto"/>
                <w:lang w:val="en-US" w:eastAsia="zh-CN"/>
              </w:rPr>
              <w:t>2.11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自然资源规划及管理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20</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20</w:t>
            </w:r>
          </w:p>
        </w:tc>
        <w:tc>
          <w:tcPr>
            <w:tcW w:w="1134" w:type="dxa"/>
            <w:noWrap w:val="0"/>
            <w:vAlign w:val="center"/>
          </w:tcPr>
          <w:p>
            <w:pPr>
              <w:pStyle w:val="16"/>
              <w:rPr>
                <w:rFonts w:hint="default"/>
                <w:color w:val="auto"/>
                <w:lang w:val="en-US" w:eastAsia="zh-CN"/>
              </w:rPr>
            </w:pPr>
            <w:r>
              <w:rPr>
                <w:rFonts w:hint="eastAsia"/>
                <w:color w:val="auto"/>
                <w:lang w:val="en-US" w:eastAsia="zh-CN"/>
              </w:rPr>
              <w:t>20</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自然资源利用与保护</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w:t>
            </w:r>
          </w:p>
        </w:tc>
        <w:tc>
          <w:tcPr>
            <w:tcW w:w="1134" w:type="dxa"/>
            <w:noWrap w:val="0"/>
            <w:vAlign w:val="center"/>
          </w:tcPr>
          <w:p>
            <w:pPr>
              <w:pStyle w:val="16"/>
              <w:rPr>
                <w:rFonts w:hint="default"/>
                <w:color w:val="auto"/>
                <w:lang w:val="en-US" w:eastAsia="zh-CN"/>
              </w:rPr>
            </w:pPr>
            <w:r>
              <w:rPr>
                <w:rFonts w:hint="eastAsia"/>
                <w:color w:val="auto"/>
                <w:lang w:val="en-US" w:eastAsia="zh-CN"/>
              </w:rPr>
              <w:t>6</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1745.11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1745.11</w:t>
            </w:r>
          </w:p>
        </w:tc>
        <w:tc>
          <w:tcPr>
            <w:tcW w:w="1134" w:type="dxa"/>
            <w:noWrap w:val="0"/>
            <w:vAlign w:val="center"/>
          </w:tcPr>
          <w:p>
            <w:pPr>
              <w:pStyle w:val="16"/>
              <w:rPr>
                <w:rFonts w:hint="default"/>
                <w:color w:val="auto"/>
                <w:lang w:val="en-US" w:eastAsia="zh-CN"/>
              </w:rPr>
            </w:pPr>
            <w:r>
              <w:rPr>
                <w:rFonts w:hint="eastAsia"/>
                <w:color w:val="auto"/>
                <w:lang w:val="en-US" w:eastAsia="zh-CN"/>
              </w:rPr>
              <w:t>1745.11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2200150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事业运行</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住房保障支出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134" w:type="dxa"/>
            <w:noWrap w:val="0"/>
            <w:vAlign w:val="center"/>
          </w:tcPr>
          <w:p>
            <w:pPr>
              <w:pStyle w:val="16"/>
              <w:rPr>
                <w:rFonts w:hint="default"/>
                <w:color w:val="auto"/>
                <w:lang w:val="en-US" w:eastAsia="zh-CN"/>
              </w:rPr>
            </w:pPr>
            <w:r>
              <w:rPr>
                <w:rFonts w:hint="eastAsia"/>
                <w:color w:val="auto"/>
                <w:lang w:val="en-US" w:eastAsia="zh-CN"/>
              </w:rPr>
              <w:t>17.38</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住房改革支出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134" w:type="dxa"/>
            <w:noWrap w:val="0"/>
            <w:vAlign w:val="center"/>
          </w:tcPr>
          <w:p>
            <w:pPr>
              <w:pStyle w:val="16"/>
              <w:rPr>
                <w:rFonts w:hint="default"/>
                <w:color w:val="auto"/>
                <w:lang w:val="en-US" w:eastAsia="zh-CN"/>
              </w:rPr>
            </w:pPr>
            <w:r>
              <w:rPr>
                <w:rFonts w:hint="eastAsia"/>
                <w:color w:val="auto"/>
                <w:lang w:val="en-US" w:eastAsia="zh-CN"/>
              </w:rPr>
              <w:t>17.38</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住房公积金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134" w:type="dxa"/>
            <w:noWrap w:val="0"/>
            <w:vAlign w:val="center"/>
          </w:tcPr>
          <w:p>
            <w:pPr>
              <w:pStyle w:val="16"/>
              <w:rPr>
                <w:rFonts w:hint="default"/>
                <w:color w:val="auto"/>
                <w:lang w:val="en-US" w:eastAsia="zh-CN"/>
              </w:rPr>
            </w:pPr>
            <w:r>
              <w:rPr>
                <w:rFonts w:hint="eastAsia"/>
                <w:color w:val="auto"/>
                <w:lang w:val="en-US" w:eastAsia="zh-CN"/>
              </w:rPr>
              <w:t>17.38</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62.73</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62.73</w:t>
            </w:r>
          </w:p>
        </w:tc>
        <w:tc>
          <w:tcPr>
            <w:tcW w:w="1134" w:type="dxa"/>
            <w:noWrap w:val="0"/>
            <w:vAlign w:val="center"/>
          </w:tcPr>
          <w:p>
            <w:pPr>
              <w:pStyle w:val="16"/>
              <w:rPr>
                <w:rFonts w:hint="default"/>
                <w:color w:val="auto"/>
                <w:lang w:val="en-US" w:eastAsia="zh-CN"/>
              </w:rPr>
            </w:pPr>
            <w:r>
              <w:rPr>
                <w:rFonts w:hint="eastAsia"/>
                <w:color w:val="auto"/>
                <w:lang w:val="en-US" w:eastAsia="zh-CN"/>
              </w:rPr>
              <w:t>62.73</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自然灾害防治</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62.37</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62.37</w:t>
            </w:r>
          </w:p>
        </w:tc>
        <w:tc>
          <w:tcPr>
            <w:tcW w:w="1134" w:type="dxa"/>
            <w:noWrap w:val="0"/>
            <w:vAlign w:val="center"/>
          </w:tcPr>
          <w:p>
            <w:pPr>
              <w:pStyle w:val="16"/>
              <w:rPr>
                <w:rFonts w:hint="default"/>
                <w:color w:val="auto"/>
                <w:lang w:val="en-US" w:eastAsia="zh-CN"/>
              </w:rPr>
            </w:pPr>
            <w:r>
              <w:rPr>
                <w:rFonts w:hint="eastAsia"/>
                <w:color w:val="auto"/>
                <w:lang w:val="en-US" w:eastAsia="zh-CN"/>
              </w:rPr>
              <w:t>62.37</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地质灾害防治</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62.73</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62.73</w:t>
            </w:r>
          </w:p>
        </w:tc>
        <w:tc>
          <w:tcPr>
            <w:tcW w:w="1134" w:type="dxa"/>
            <w:noWrap w:val="0"/>
            <w:vAlign w:val="center"/>
          </w:tcPr>
          <w:p>
            <w:pPr>
              <w:pStyle w:val="16"/>
              <w:rPr>
                <w:rFonts w:hint="default"/>
                <w:color w:val="auto"/>
                <w:lang w:val="en-US" w:eastAsia="zh-CN"/>
              </w:rPr>
            </w:pPr>
            <w:r>
              <w:rPr>
                <w:rFonts w:hint="eastAsia"/>
                <w:color w:val="auto"/>
                <w:lang w:val="en-US" w:eastAsia="zh-CN"/>
              </w:rPr>
              <w:t>62.73</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p>
        </w:tc>
        <w:tc>
          <w:tcPr>
            <w:tcW w:w="992" w:type="dxa"/>
            <w:noWrap w:val="0"/>
            <w:vAlign w:val="center"/>
          </w:tcPr>
          <w:p>
            <w:pPr>
              <w:jc w:val="left"/>
              <w:rPr>
                <w:color w:val="auto"/>
              </w:rPr>
            </w:pPr>
          </w:p>
        </w:tc>
        <w:tc>
          <w:tcPr>
            <w:tcW w:w="1559" w:type="dxa"/>
            <w:noWrap w:val="0"/>
            <w:vAlign w:val="center"/>
          </w:tcPr>
          <w:p>
            <w:pPr>
              <w:keepNext w:val="0"/>
              <w:keepLines w:val="0"/>
              <w:widowControl/>
              <w:suppressLineNumbers w:val="0"/>
              <w:jc w:val="left"/>
              <w:textAlignment w:val="center"/>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rFonts w:hint="eastAsia"/>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p>
        </w:tc>
        <w:tc>
          <w:tcPr>
            <w:tcW w:w="992" w:type="dxa"/>
            <w:noWrap w:val="0"/>
            <w:vAlign w:val="center"/>
          </w:tcPr>
          <w:p>
            <w:pPr>
              <w:keepNext w:val="0"/>
              <w:keepLines w:val="0"/>
              <w:widowControl/>
              <w:suppressLineNumbers w:val="0"/>
              <w:jc w:val="left"/>
              <w:textAlignment w:val="center"/>
              <w:rPr>
                <w:color w:val="auto"/>
              </w:rPr>
            </w:pPr>
          </w:p>
        </w:tc>
        <w:tc>
          <w:tcPr>
            <w:tcW w:w="1559" w:type="dxa"/>
            <w:noWrap w:val="0"/>
            <w:vAlign w:val="center"/>
          </w:tcPr>
          <w:p>
            <w:pPr>
              <w:keepNext w:val="0"/>
              <w:keepLines w:val="0"/>
              <w:widowControl/>
              <w:suppressLineNumbers w:val="0"/>
              <w:jc w:val="left"/>
              <w:textAlignment w:val="center"/>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rFonts w:hint="eastAsia"/>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p>
        </w:tc>
        <w:tc>
          <w:tcPr>
            <w:tcW w:w="992" w:type="dxa"/>
            <w:noWrap w:val="0"/>
            <w:vAlign w:val="center"/>
          </w:tcPr>
          <w:p>
            <w:pPr>
              <w:keepNext w:val="0"/>
              <w:keepLines w:val="0"/>
              <w:widowControl/>
              <w:suppressLineNumbers w:val="0"/>
              <w:jc w:val="left"/>
              <w:textAlignment w:val="center"/>
              <w:rPr>
                <w:color w:val="auto"/>
              </w:rPr>
            </w:pPr>
          </w:p>
        </w:tc>
        <w:tc>
          <w:tcPr>
            <w:tcW w:w="1559" w:type="dxa"/>
            <w:noWrap w:val="0"/>
            <w:vAlign w:val="center"/>
          </w:tcPr>
          <w:p>
            <w:pPr>
              <w:keepNext w:val="0"/>
              <w:keepLines w:val="0"/>
              <w:widowControl/>
              <w:suppressLineNumbers w:val="0"/>
              <w:jc w:val="left"/>
              <w:textAlignment w:val="center"/>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rFonts w:hint="eastAsia"/>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5"/>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4"/>
              <w:rPr>
                <w:rFonts w:hint="eastAsia" w:eastAsia="方正小标宋_GBK"/>
                <w:color w:val="auto"/>
                <w:lang w:val="en-US" w:eastAsia="zh-CN"/>
              </w:rPr>
            </w:pPr>
            <w:r>
              <w:rPr>
                <w:color w:val="auto"/>
              </w:rPr>
              <w:t>32400</w:t>
            </w:r>
            <w:r>
              <w:rPr>
                <w:rFonts w:hint="eastAsia"/>
                <w:color w:val="auto"/>
                <w:lang w:val="en-US" w:eastAsia="zh-CN"/>
              </w:rPr>
              <w:t>1</w:t>
            </w:r>
            <w:r>
              <w:rPr>
                <w:color w:val="auto"/>
              </w:rPr>
              <w:t>保定市自然资源和规划局满城区分局</w:t>
            </w:r>
            <w:r>
              <w:rPr>
                <w:rFonts w:hint="eastAsia"/>
                <w:color w:val="auto"/>
                <w:lang w:val="en-US" w:eastAsia="zh-CN"/>
              </w:rPr>
              <w:t>本级</w:t>
            </w:r>
          </w:p>
        </w:tc>
        <w:tc>
          <w:tcPr>
            <w:tcW w:w="2722" w:type="dxa"/>
            <w:gridSpan w:val="2"/>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444" w:type="dxa"/>
            <w:gridSpan w:val="4"/>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528" w:type="dxa"/>
            <w:gridSpan w:val="2"/>
            <w:noWrap w:val="0"/>
            <w:vAlign w:val="center"/>
          </w:tcPr>
          <w:p>
            <w:pPr>
              <w:pStyle w:val="15"/>
              <w:rPr>
                <w:color w:val="auto"/>
              </w:rPr>
            </w:pPr>
            <w:r>
              <w:rPr>
                <w:color w:val="auto"/>
              </w:rPr>
              <w:t>功能分类科目</w:t>
            </w:r>
          </w:p>
        </w:tc>
        <w:tc>
          <w:tcPr>
            <w:tcW w:w="1361" w:type="dxa"/>
            <w:vMerge w:val="restart"/>
            <w:noWrap w:val="0"/>
            <w:vAlign w:val="center"/>
          </w:tcPr>
          <w:p>
            <w:pPr>
              <w:pStyle w:val="15"/>
              <w:rPr>
                <w:color w:val="auto"/>
              </w:rPr>
            </w:pPr>
            <w:r>
              <w:rPr>
                <w:color w:val="auto"/>
              </w:rPr>
              <w:t>合计</w:t>
            </w:r>
          </w:p>
        </w:tc>
        <w:tc>
          <w:tcPr>
            <w:tcW w:w="1361" w:type="dxa"/>
            <w:vMerge w:val="restart"/>
            <w:noWrap w:val="0"/>
            <w:vAlign w:val="center"/>
          </w:tcPr>
          <w:p>
            <w:pPr>
              <w:pStyle w:val="15"/>
              <w:rPr>
                <w:color w:val="auto"/>
              </w:rPr>
            </w:pPr>
            <w:r>
              <w:rPr>
                <w:color w:val="auto"/>
              </w:rPr>
              <w:t>基本支出</w:t>
            </w:r>
          </w:p>
        </w:tc>
        <w:tc>
          <w:tcPr>
            <w:tcW w:w="1361" w:type="dxa"/>
            <w:vMerge w:val="restart"/>
            <w:noWrap w:val="0"/>
            <w:vAlign w:val="center"/>
          </w:tcPr>
          <w:p>
            <w:pPr>
              <w:pStyle w:val="15"/>
              <w:rPr>
                <w:color w:val="auto"/>
              </w:rPr>
            </w:pPr>
            <w:r>
              <w:rPr>
                <w:color w:val="auto"/>
              </w:rPr>
              <w:t>项目支出</w:t>
            </w:r>
          </w:p>
        </w:tc>
        <w:tc>
          <w:tcPr>
            <w:tcW w:w="1361" w:type="dxa"/>
            <w:vMerge w:val="restart"/>
            <w:noWrap w:val="0"/>
            <w:vAlign w:val="center"/>
          </w:tcPr>
          <w:p>
            <w:pPr>
              <w:pStyle w:val="15"/>
              <w:rPr>
                <w:color w:val="auto"/>
              </w:rPr>
            </w:pPr>
            <w:r>
              <w:rPr>
                <w:color w:val="auto"/>
              </w:rPr>
              <w:t>经营支出</w:t>
            </w:r>
          </w:p>
        </w:tc>
        <w:tc>
          <w:tcPr>
            <w:tcW w:w="1361" w:type="dxa"/>
            <w:vMerge w:val="restart"/>
            <w:noWrap w:val="0"/>
            <w:vAlign w:val="center"/>
          </w:tcPr>
          <w:p>
            <w:pPr>
              <w:pStyle w:val="15"/>
              <w:rPr>
                <w:color w:val="auto"/>
              </w:rPr>
            </w:pPr>
            <w:r>
              <w:rPr>
                <w:color w:val="auto"/>
              </w:rPr>
              <w:t>上解上级     支出</w:t>
            </w:r>
          </w:p>
        </w:tc>
        <w:tc>
          <w:tcPr>
            <w:tcW w:w="1361" w:type="dxa"/>
            <w:vMerge w:val="restart"/>
            <w:noWrap w:val="0"/>
            <w:vAlign w:val="center"/>
          </w:tcPr>
          <w:p>
            <w:pPr>
              <w:pStyle w:val="15"/>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992" w:type="dxa"/>
            <w:noWrap w:val="0"/>
            <w:vAlign w:val="center"/>
          </w:tcPr>
          <w:p>
            <w:pPr>
              <w:pStyle w:val="15"/>
              <w:rPr>
                <w:color w:val="auto"/>
              </w:rPr>
            </w:pPr>
            <w:r>
              <w:rPr>
                <w:color w:val="auto"/>
              </w:rPr>
              <w:t>科目    编码</w:t>
            </w:r>
          </w:p>
        </w:tc>
        <w:tc>
          <w:tcPr>
            <w:tcW w:w="4536" w:type="dxa"/>
            <w:noWrap w:val="0"/>
            <w:vAlign w:val="center"/>
          </w:tcPr>
          <w:p>
            <w:pPr>
              <w:pStyle w:val="15"/>
              <w:rPr>
                <w:color w:val="auto"/>
              </w:rPr>
            </w:pPr>
            <w:r>
              <w:rPr>
                <w:color w:val="auto"/>
              </w:rPr>
              <w:t>科目名称</w:t>
            </w: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992" w:type="dxa"/>
            <w:noWrap w:val="0"/>
            <w:vAlign w:val="center"/>
          </w:tcPr>
          <w:p>
            <w:pPr>
              <w:pStyle w:val="15"/>
              <w:rPr>
                <w:color w:val="auto"/>
              </w:rPr>
            </w:pPr>
            <w:r>
              <w:rPr>
                <w:color w:val="auto"/>
              </w:rPr>
              <w:t>1</w:t>
            </w:r>
          </w:p>
        </w:tc>
        <w:tc>
          <w:tcPr>
            <w:tcW w:w="4536" w:type="dxa"/>
            <w:noWrap w:val="0"/>
            <w:vAlign w:val="center"/>
          </w:tcPr>
          <w:p>
            <w:pPr>
              <w:pStyle w:val="15"/>
              <w:rPr>
                <w:color w:val="auto"/>
              </w:rPr>
            </w:pPr>
            <w:r>
              <w:rPr>
                <w:color w:val="auto"/>
              </w:rPr>
              <w:t>2</w:t>
            </w:r>
          </w:p>
        </w:tc>
        <w:tc>
          <w:tcPr>
            <w:tcW w:w="1361" w:type="dxa"/>
            <w:noWrap w:val="0"/>
            <w:vAlign w:val="center"/>
          </w:tcPr>
          <w:p>
            <w:pPr>
              <w:pStyle w:val="15"/>
              <w:rPr>
                <w:color w:val="auto"/>
              </w:rPr>
            </w:pPr>
            <w:r>
              <w:rPr>
                <w:color w:val="auto"/>
              </w:rPr>
              <w:t>3</w:t>
            </w:r>
          </w:p>
        </w:tc>
        <w:tc>
          <w:tcPr>
            <w:tcW w:w="1361" w:type="dxa"/>
            <w:noWrap w:val="0"/>
            <w:vAlign w:val="center"/>
          </w:tcPr>
          <w:p>
            <w:pPr>
              <w:pStyle w:val="15"/>
              <w:rPr>
                <w:color w:val="auto"/>
              </w:rPr>
            </w:pPr>
            <w:r>
              <w:rPr>
                <w:color w:val="auto"/>
              </w:rPr>
              <w:t>4</w:t>
            </w:r>
          </w:p>
        </w:tc>
        <w:tc>
          <w:tcPr>
            <w:tcW w:w="1361" w:type="dxa"/>
            <w:noWrap w:val="0"/>
            <w:vAlign w:val="center"/>
          </w:tcPr>
          <w:p>
            <w:pPr>
              <w:pStyle w:val="15"/>
              <w:rPr>
                <w:color w:val="auto"/>
              </w:rPr>
            </w:pPr>
            <w:r>
              <w:rPr>
                <w:color w:val="auto"/>
              </w:rPr>
              <w:t>5</w:t>
            </w:r>
          </w:p>
        </w:tc>
        <w:tc>
          <w:tcPr>
            <w:tcW w:w="1361" w:type="dxa"/>
            <w:noWrap w:val="0"/>
            <w:vAlign w:val="center"/>
          </w:tcPr>
          <w:p>
            <w:pPr>
              <w:pStyle w:val="15"/>
              <w:rPr>
                <w:color w:val="auto"/>
              </w:rPr>
            </w:pPr>
            <w:r>
              <w:rPr>
                <w:color w:val="auto"/>
              </w:rPr>
              <w:t>6</w:t>
            </w:r>
          </w:p>
        </w:tc>
        <w:tc>
          <w:tcPr>
            <w:tcW w:w="1361" w:type="dxa"/>
            <w:noWrap w:val="0"/>
            <w:vAlign w:val="center"/>
          </w:tcPr>
          <w:p>
            <w:pPr>
              <w:pStyle w:val="15"/>
              <w:rPr>
                <w:color w:val="auto"/>
              </w:rPr>
            </w:pPr>
            <w:r>
              <w:rPr>
                <w:color w:val="auto"/>
              </w:rPr>
              <w:t>7</w:t>
            </w:r>
          </w:p>
        </w:tc>
        <w:tc>
          <w:tcPr>
            <w:tcW w:w="1361" w:type="dxa"/>
            <w:noWrap w:val="0"/>
            <w:vAlign w:val="center"/>
          </w:tcPr>
          <w:p>
            <w:pPr>
              <w:pStyle w:val="15"/>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992" w:type="dxa"/>
            <w:noWrap w:val="0"/>
            <w:vAlign w:val="center"/>
          </w:tcPr>
          <w:p>
            <w:pPr>
              <w:jc w:val="left"/>
              <w:rPr>
                <w:color w:val="auto"/>
              </w:rPr>
            </w:pP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1361" w:type="dxa"/>
            <w:noWrap w:val="0"/>
            <w:vAlign w:val="center"/>
          </w:tcPr>
          <w:p>
            <w:pPr>
              <w:pStyle w:val="20"/>
              <w:rPr>
                <w:color w:val="auto"/>
              </w:rPr>
            </w:pPr>
            <w:r>
              <w:rPr>
                <w:rFonts w:ascii="方正书宋_GBK" w:eastAsia="方正书宋_GBK"/>
                <w:b/>
                <w:color w:val="auto"/>
              </w:rPr>
              <w:t>43499.25</w:t>
            </w:r>
          </w:p>
        </w:tc>
        <w:tc>
          <w:tcPr>
            <w:tcW w:w="1361" w:type="dxa"/>
            <w:noWrap w:val="0"/>
            <w:vAlign w:val="center"/>
          </w:tcPr>
          <w:p>
            <w:pPr>
              <w:pStyle w:val="20"/>
              <w:rPr>
                <w:rFonts w:hint="default" w:eastAsia="方正书宋_GBK"/>
                <w:color w:val="auto"/>
                <w:lang w:val="en-US" w:eastAsia="zh-CN"/>
              </w:rPr>
            </w:pPr>
            <w:r>
              <w:rPr>
                <w:rFonts w:hint="eastAsia"/>
                <w:color w:val="auto"/>
                <w:lang w:val="en-US" w:eastAsia="zh-CN"/>
              </w:rPr>
              <w:t>339.59</w:t>
            </w:r>
          </w:p>
        </w:tc>
        <w:tc>
          <w:tcPr>
            <w:tcW w:w="1361" w:type="dxa"/>
            <w:noWrap w:val="0"/>
            <w:vAlign w:val="center"/>
          </w:tcPr>
          <w:p>
            <w:pPr>
              <w:pStyle w:val="20"/>
              <w:rPr>
                <w:rFonts w:hint="default" w:eastAsia="方正书宋_GBK"/>
                <w:color w:val="auto"/>
                <w:lang w:val="en-US" w:eastAsia="zh-CN"/>
              </w:rPr>
            </w:pPr>
            <w:r>
              <w:rPr>
                <w:rFonts w:hint="eastAsia"/>
                <w:color w:val="auto"/>
                <w:lang w:val="en-US" w:eastAsia="zh-CN"/>
              </w:rPr>
              <w:t>43159.66</w:t>
            </w:r>
          </w:p>
        </w:tc>
        <w:tc>
          <w:tcPr>
            <w:tcW w:w="1361" w:type="dxa"/>
            <w:noWrap w:val="0"/>
            <w:vAlign w:val="center"/>
          </w:tcPr>
          <w:p>
            <w:pPr>
              <w:pStyle w:val="20"/>
              <w:rPr>
                <w:color w:val="auto"/>
              </w:rPr>
            </w:pPr>
          </w:p>
        </w:tc>
        <w:tc>
          <w:tcPr>
            <w:tcW w:w="1361" w:type="dxa"/>
            <w:noWrap w:val="0"/>
            <w:vAlign w:val="center"/>
          </w:tcPr>
          <w:p>
            <w:pPr>
              <w:pStyle w:val="20"/>
              <w:rPr>
                <w:color w:val="auto"/>
              </w:rPr>
            </w:pPr>
          </w:p>
        </w:tc>
        <w:tc>
          <w:tcPr>
            <w:tcW w:w="1361"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61.11</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61.11</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61.11</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61.11</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31.92</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31.92</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29.19</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29.19</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11.96</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1361" w:type="dxa"/>
            <w:noWrap w:val="0"/>
            <w:vAlign w:val="center"/>
          </w:tcPr>
          <w:p>
            <w:pPr>
              <w:pStyle w:val="16"/>
              <w:rPr>
                <w:color w:val="auto"/>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4.74</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41113.08</w:t>
            </w: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41113.08</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城乡社区规划与管理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8.4</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8.4</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2120201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城乡社区规划与管理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8.4</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8.4</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城乡社区公共设施</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4.68</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4.68</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2120399</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1361" w:type="dxa"/>
            <w:noWrap w:val="0"/>
            <w:vAlign w:val="center"/>
          </w:tcPr>
          <w:p>
            <w:pPr>
              <w:pStyle w:val="16"/>
              <w:rPr>
                <w:rFonts w:hint="eastAsia"/>
                <w:color w:val="auto"/>
                <w:lang w:val="en-US" w:eastAsia="zh-CN"/>
              </w:rPr>
            </w:pPr>
            <w:r>
              <w:rPr>
                <w:rFonts w:hint="eastAsia"/>
                <w:color w:val="auto"/>
                <w:lang w:val="en-US" w:eastAsia="zh-CN"/>
              </w:rPr>
              <w:t>4.68</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4.68</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36439</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36439</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征地和拆迁补偿支出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31778</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31778</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土地开发支出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土地开发支出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4661</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农林水支出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205.89</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205.89</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农业农村</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9</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9</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2130135</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9</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9</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林业和草原</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196.89</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196.89</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2130205</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森林资源培育</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120</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120</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技术推广与转化</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50</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50</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2130209</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森林生态效益补偿</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16.89</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16.89</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2130234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林业草原防灾减灾</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10</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10</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1361" w:type="dxa"/>
            <w:noWrap w:val="0"/>
            <w:vAlign w:val="center"/>
          </w:tcPr>
          <w:p>
            <w:pPr>
              <w:pStyle w:val="16"/>
              <w:rPr>
                <w:rFonts w:hint="default"/>
                <w:color w:val="auto"/>
                <w:lang w:val="en-US" w:eastAsia="zh-CN"/>
              </w:rPr>
            </w:pPr>
            <w:r>
              <w:rPr>
                <w:rFonts w:hint="eastAsia"/>
                <w:color w:val="auto"/>
                <w:lang w:val="en-US" w:eastAsia="zh-CN"/>
              </w:rPr>
              <w:t>2022.36</w:t>
            </w:r>
          </w:p>
        </w:tc>
        <w:tc>
          <w:tcPr>
            <w:tcW w:w="1361" w:type="dxa"/>
            <w:noWrap w:val="0"/>
            <w:vAlign w:val="center"/>
          </w:tcPr>
          <w:p>
            <w:pPr>
              <w:pStyle w:val="16"/>
              <w:rPr>
                <w:rFonts w:hint="default"/>
                <w:color w:val="auto"/>
                <w:lang w:val="en-US" w:eastAsia="zh-CN"/>
              </w:rPr>
            </w:pPr>
            <w:r>
              <w:rPr>
                <w:rFonts w:hint="eastAsia"/>
                <w:color w:val="auto"/>
                <w:lang w:val="en-US" w:eastAsia="zh-CN"/>
              </w:rPr>
              <w:t>249.14</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1773.22</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自然资源事务</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行政运行</w:t>
            </w:r>
          </w:p>
        </w:tc>
        <w:tc>
          <w:tcPr>
            <w:tcW w:w="1361" w:type="dxa"/>
            <w:noWrap w:val="0"/>
            <w:vAlign w:val="center"/>
          </w:tcPr>
          <w:p>
            <w:pPr>
              <w:pStyle w:val="16"/>
              <w:rPr>
                <w:rFonts w:hint="eastAsia"/>
                <w:color w:val="auto"/>
                <w:lang w:val="en-US" w:eastAsia="zh-CN"/>
              </w:rPr>
            </w:pPr>
            <w:r>
              <w:rPr>
                <w:rFonts w:hint="eastAsia"/>
                <w:color w:val="auto"/>
                <w:lang w:val="en-US" w:eastAsia="zh-CN"/>
              </w:rPr>
              <w:t>249.14</w:t>
            </w:r>
          </w:p>
        </w:tc>
        <w:tc>
          <w:tcPr>
            <w:tcW w:w="1361" w:type="dxa"/>
            <w:noWrap w:val="0"/>
            <w:vAlign w:val="center"/>
          </w:tcPr>
          <w:p>
            <w:pPr>
              <w:pStyle w:val="16"/>
              <w:rPr>
                <w:rFonts w:hint="eastAsia"/>
                <w:color w:val="auto"/>
                <w:lang w:val="en-US" w:eastAsia="zh-CN"/>
              </w:rPr>
            </w:pPr>
            <w:r>
              <w:rPr>
                <w:rFonts w:hint="eastAsia"/>
                <w:color w:val="auto"/>
                <w:lang w:val="en-US" w:eastAsia="zh-CN"/>
              </w:rPr>
              <w:t>249.14</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一般行政管理事务</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2.11</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2.11</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自然资源规划及管理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20</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20</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自然资源利用与保护</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2200113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2200114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1361" w:type="dxa"/>
            <w:noWrap w:val="0"/>
            <w:vAlign w:val="center"/>
          </w:tcPr>
          <w:p>
            <w:pPr>
              <w:pStyle w:val="16"/>
              <w:rPr>
                <w:rFonts w:hint="eastAsia"/>
                <w:color w:val="auto"/>
                <w:lang w:val="en-US" w:eastAsia="zh-CN"/>
              </w:rPr>
            </w:pPr>
            <w:r>
              <w:rPr>
                <w:rFonts w:hint="eastAsia"/>
                <w:color w:val="auto"/>
                <w:lang w:val="en-US" w:eastAsia="zh-CN"/>
              </w:rPr>
              <w:t>1745.11</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1745.11</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2200150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事业运行</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住房保障支出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住房改革支出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2210201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住房公积金</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17.38</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62.73</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62.73</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自然灾害防治</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62.37</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62.37</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2240601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地质灾害防治</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62.73</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62.73</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bl>
    <w:p>
      <w:pPr>
        <w:spacing w:line="300" w:lineRule="exact"/>
        <w:jc w:val="left"/>
        <w:outlineLvl w:val="1"/>
        <w:rPr>
          <w:rFonts w:eastAsia="方正仿宋_GBK"/>
          <w:color w:val="auto"/>
          <w:sz w:val="28"/>
        </w:rPr>
        <w:sectPr>
          <w:pgSz w:w="16839" w:h="11907" w:orient="landscape"/>
          <w:pgMar w:top="1020" w:right="1361" w:bottom="1020" w:left="1361" w:header="851" w:footer="992" w:gutter="0"/>
          <w:cols w:space="720" w:num="1"/>
          <w:rtlGutter w:val="0"/>
          <w:docGrid w:type="lines" w:linePitch="328" w:charSpace="0"/>
        </w:sectPr>
      </w:pPr>
    </w:p>
    <w:p>
      <w:pPr>
        <w:jc w:val="center"/>
        <w:outlineLvl w:val="4"/>
        <w:rPr>
          <w:color w:val="auto"/>
        </w:rPr>
      </w:pPr>
      <w:bookmarkStart w:id="1" w:name="_Toc70244354"/>
      <w:r>
        <w:rPr>
          <w:rFonts w:ascii="方正小标宋_GBK" w:hAnsi="方正小标宋_GBK" w:eastAsia="方正小标宋_GBK" w:cs="方正小标宋_GBK"/>
          <w:color w:val="auto"/>
          <w:sz w:val="36"/>
        </w:rPr>
        <w:t>单位预算财政拨款收支总表</w:t>
      </w:r>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4"/>
              <w:rPr>
                <w:rFonts w:hint="eastAsia" w:eastAsia="方正小标宋_GBK"/>
                <w:color w:val="auto"/>
                <w:lang w:val="en-US" w:eastAsia="zh-CN"/>
              </w:rPr>
            </w:pPr>
            <w:r>
              <w:rPr>
                <w:color w:val="auto"/>
              </w:rPr>
              <w:t>32400</w:t>
            </w:r>
            <w:r>
              <w:rPr>
                <w:rFonts w:hint="eastAsia"/>
                <w:color w:val="auto"/>
                <w:lang w:val="en-US" w:eastAsia="zh-CN"/>
              </w:rPr>
              <w:t>1</w:t>
            </w:r>
            <w:r>
              <w:rPr>
                <w:color w:val="auto"/>
              </w:rPr>
              <w:t>保定市自然资源和规划局满城区分局</w:t>
            </w:r>
            <w:r>
              <w:rPr>
                <w:rFonts w:hint="eastAsia"/>
                <w:color w:val="auto"/>
                <w:lang w:val="en-US" w:eastAsia="zh-CN"/>
              </w:rPr>
              <w:t>本级</w:t>
            </w:r>
          </w:p>
        </w:tc>
        <w:tc>
          <w:tcPr>
            <w:tcW w:w="3402"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896" w:type="dxa"/>
            <w:gridSpan w:val="4"/>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4876" w:type="dxa"/>
            <w:gridSpan w:val="2"/>
            <w:noWrap w:val="0"/>
            <w:vAlign w:val="center"/>
          </w:tcPr>
          <w:p>
            <w:pPr>
              <w:pStyle w:val="15"/>
              <w:rPr>
                <w:color w:val="auto"/>
              </w:rPr>
            </w:pPr>
            <w:r>
              <w:rPr>
                <w:color w:val="auto"/>
              </w:rPr>
              <w:t>收入</w:t>
            </w:r>
          </w:p>
        </w:tc>
        <w:tc>
          <w:tcPr>
            <w:tcW w:w="9298" w:type="dxa"/>
            <w:gridSpan w:val="5"/>
            <w:noWrap w:val="0"/>
            <w:vAlign w:val="center"/>
          </w:tcPr>
          <w:p>
            <w:pPr>
              <w:pStyle w:val="15"/>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3402" w:type="dxa"/>
            <w:noWrap w:val="0"/>
            <w:vAlign w:val="center"/>
          </w:tcPr>
          <w:p>
            <w:pPr>
              <w:pStyle w:val="15"/>
              <w:rPr>
                <w:color w:val="auto"/>
              </w:rPr>
            </w:pPr>
            <w:r>
              <w:rPr>
                <w:color w:val="auto"/>
              </w:rPr>
              <w:t>项  目</w:t>
            </w:r>
          </w:p>
        </w:tc>
        <w:tc>
          <w:tcPr>
            <w:tcW w:w="1474" w:type="dxa"/>
            <w:noWrap w:val="0"/>
            <w:vAlign w:val="center"/>
          </w:tcPr>
          <w:p>
            <w:pPr>
              <w:pStyle w:val="15"/>
              <w:rPr>
                <w:color w:val="auto"/>
              </w:rPr>
            </w:pPr>
            <w:r>
              <w:rPr>
                <w:color w:val="auto"/>
              </w:rPr>
              <w:t>金额</w:t>
            </w:r>
          </w:p>
        </w:tc>
        <w:tc>
          <w:tcPr>
            <w:tcW w:w="3402" w:type="dxa"/>
            <w:noWrap w:val="0"/>
            <w:vAlign w:val="center"/>
          </w:tcPr>
          <w:p>
            <w:pPr>
              <w:pStyle w:val="15"/>
              <w:rPr>
                <w:color w:val="auto"/>
              </w:rPr>
            </w:pPr>
            <w:r>
              <w:rPr>
                <w:color w:val="auto"/>
              </w:rPr>
              <w:t>项  目</w:t>
            </w:r>
          </w:p>
        </w:tc>
        <w:tc>
          <w:tcPr>
            <w:tcW w:w="1474" w:type="dxa"/>
            <w:noWrap w:val="0"/>
            <w:vAlign w:val="center"/>
          </w:tcPr>
          <w:p>
            <w:pPr>
              <w:pStyle w:val="15"/>
              <w:rPr>
                <w:color w:val="auto"/>
              </w:rPr>
            </w:pPr>
            <w:r>
              <w:rPr>
                <w:color w:val="auto"/>
              </w:rPr>
              <w:t>合计</w:t>
            </w:r>
          </w:p>
        </w:tc>
        <w:tc>
          <w:tcPr>
            <w:tcW w:w="1474" w:type="dxa"/>
            <w:noWrap w:val="0"/>
            <w:vAlign w:val="center"/>
          </w:tcPr>
          <w:p>
            <w:pPr>
              <w:pStyle w:val="15"/>
              <w:rPr>
                <w:color w:val="auto"/>
              </w:rPr>
            </w:pPr>
            <w:r>
              <w:rPr>
                <w:color w:val="auto"/>
              </w:rPr>
              <w:t>一般公共预算财政拨款</w:t>
            </w:r>
          </w:p>
        </w:tc>
        <w:tc>
          <w:tcPr>
            <w:tcW w:w="1474" w:type="dxa"/>
            <w:noWrap w:val="0"/>
            <w:vAlign w:val="center"/>
          </w:tcPr>
          <w:p>
            <w:pPr>
              <w:pStyle w:val="15"/>
              <w:rPr>
                <w:color w:val="auto"/>
              </w:rPr>
            </w:pPr>
            <w:r>
              <w:rPr>
                <w:color w:val="auto"/>
              </w:rPr>
              <w:t>政府性基金预算财政    拨款</w:t>
            </w:r>
          </w:p>
        </w:tc>
        <w:tc>
          <w:tcPr>
            <w:tcW w:w="1474" w:type="dxa"/>
            <w:noWrap w:val="0"/>
            <w:vAlign w:val="center"/>
          </w:tcPr>
          <w:p>
            <w:pPr>
              <w:pStyle w:val="15"/>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3402" w:type="dxa"/>
            <w:noWrap w:val="0"/>
            <w:vAlign w:val="center"/>
          </w:tcPr>
          <w:p>
            <w:pPr>
              <w:pStyle w:val="15"/>
              <w:rPr>
                <w:color w:val="auto"/>
              </w:rPr>
            </w:pPr>
            <w:r>
              <w:rPr>
                <w:color w:val="auto"/>
              </w:rPr>
              <w:t>1</w:t>
            </w:r>
          </w:p>
        </w:tc>
        <w:tc>
          <w:tcPr>
            <w:tcW w:w="1474" w:type="dxa"/>
            <w:noWrap w:val="0"/>
            <w:vAlign w:val="center"/>
          </w:tcPr>
          <w:p>
            <w:pPr>
              <w:pStyle w:val="15"/>
              <w:rPr>
                <w:color w:val="auto"/>
              </w:rPr>
            </w:pPr>
            <w:r>
              <w:rPr>
                <w:color w:val="auto"/>
              </w:rPr>
              <w:t>2</w:t>
            </w:r>
          </w:p>
        </w:tc>
        <w:tc>
          <w:tcPr>
            <w:tcW w:w="3402" w:type="dxa"/>
            <w:noWrap w:val="0"/>
            <w:vAlign w:val="center"/>
          </w:tcPr>
          <w:p>
            <w:pPr>
              <w:pStyle w:val="15"/>
              <w:rPr>
                <w:color w:val="auto"/>
              </w:rPr>
            </w:pPr>
            <w:r>
              <w:rPr>
                <w:color w:val="auto"/>
              </w:rPr>
              <w:t>3</w:t>
            </w:r>
          </w:p>
        </w:tc>
        <w:tc>
          <w:tcPr>
            <w:tcW w:w="1474" w:type="dxa"/>
            <w:noWrap w:val="0"/>
            <w:vAlign w:val="center"/>
          </w:tcPr>
          <w:p>
            <w:pPr>
              <w:pStyle w:val="15"/>
              <w:rPr>
                <w:color w:val="auto"/>
              </w:rPr>
            </w:pPr>
            <w:r>
              <w:rPr>
                <w:color w:val="auto"/>
              </w:rPr>
              <w:t>4</w:t>
            </w:r>
          </w:p>
        </w:tc>
        <w:tc>
          <w:tcPr>
            <w:tcW w:w="1474" w:type="dxa"/>
            <w:noWrap w:val="0"/>
            <w:vAlign w:val="center"/>
          </w:tcPr>
          <w:p>
            <w:pPr>
              <w:pStyle w:val="15"/>
              <w:rPr>
                <w:color w:val="auto"/>
              </w:rPr>
            </w:pPr>
            <w:r>
              <w:rPr>
                <w:color w:val="auto"/>
              </w:rPr>
              <w:t>5</w:t>
            </w:r>
          </w:p>
        </w:tc>
        <w:tc>
          <w:tcPr>
            <w:tcW w:w="1474" w:type="dxa"/>
            <w:noWrap w:val="0"/>
            <w:vAlign w:val="center"/>
          </w:tcPr>
          <w:p>
            <w:pPr>
              <w:pStyle w:val="15"/>
              <w:rPr>
                <w:color w:val="auto"/>
              </w:rPr>
            </w:pPr>
            <w:r>
              <w:rPr>
                <w:color w:val="auto"/>
              </w:rPr>
              <w:t>6</w:t>
            </w:r>
          </w:p>
        </w:tc>
        <w:tc>
          <w:tcPr>
            <w:tcW w:w="1474" w:type="dxa"/>
            <w:noWrap w:val="0"/>
            <w:vAlign w:val="center"/>
          </w:tcPr>
          <w:p>
            <w:pPr>
              <w:pStyle w:val="15"/>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w:t>
            </w:r>
          </w:p>
        </w:tc>
        <w:tc>
          <w:tcPr>
            <w:tcW w:w="3402" w:type="dxa"/>
            <w:noWrap w:val="0"/>
            <w:vAlign w:val="center"/>
          </w:tcPr>
          <w:p>
            <w:pPr>
              <w:pStyle w:val="17"/>
              <w:rPr>
                <w:color w:val="auto"/>
              </w:rPr>
            </w:pPr>
            <w:r>
              <w:rPr>
                <w:color w:val="auto"/>
              </w:rPr>
              <w:t>一、一般公共预算拨款</w:t>
            </w:r>
          </w:p>
        </w:tc>
        <w:tc>
          <w:tcPr>
            <w:tcW w:w="1474" w:type="dxa"/>
            <w:noWrap w:val="0"/>
            <w:vAlign w:val="center"/>
          </w:tcPr>
          <w:p>
            <w:pPr>
              <w:pStyle w:val="16"/>
              <w:rPr>
                <w:rFonts w:hint="default" w:eastAsia="方正书宋_GBK"/>
                <w:color w:val="auto"/>
                <w:lang w:val="en-US" w:eastAsia="zh-CN"/>
              </w:rPr>
            </w:pPr>
            <w:r>
              <w:rPr>
                <w:rFonts w:ascii="方正书宋_GBK" w:eastAsia="方正书宋_GBK"/>
                <w:color w:val="auto"/>
              </w:rPr>
              <w:t>2399.25</w:t>
            </w:r>
          </w:p>
        </w:tc>
        <w:tc>
          <w:tcPr>
            <w:tcW w:w="3402" w:type="dxa"/>
            <w:noWrap w:val="0"/>
            <w:vAlign w:val="center"/>
          </w:tcPr>
          <w:p>
            <w:pPr>
              <w:pStyle w:val="17"/>
              <w:rPr>
                <w:color w:val="auto"/>
              </w:rPr>
            </w:pPr>
            <w:r>
              <w:rPr>
                <w:color w:val="auto"/>
              </w:rPr>
              <w:t>一、一般公共服务支出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w:t>
            </w:r>
          </w:p>
        </w:tc>
        <w:tc>
          <w:tcPr>
            <w:tcW w:w="3402" w:type="dxa"/>
            <w:noWrap w:val="0"/>
            <w:vAlign w:val="center"/>
          </w:tcPr>
          <w:p>
            <w:pPr>
              <w:pStyle w:val="17"/>
              <w:rPr>
                <w:color w:val="auto"/>
              </w:rPr>
            </w:pPr>
            <w:r>
              <w:rPr>
                <w:color w:val="auto"/>
              </w:rPr>
              <w:t>二、政府性基金预算拨款</w:t>
            </w:r>
          </w:p>
        </w:tc>
        <w:tc>
          <w:tcPr>
            <w:tcW w:w="1474" w:type="dxa"/>
            <w:noWrap w:val="0"/>
            <w:vAlign w:val="center"/>
          </w:tcPr>
          <w:p>
            <w:pPr>
              <w:pStyle w:val="16"/>
              <w:rPr>
                <w:color w:val="auto"/>
              </w:rPr>
            </w:pPr>
            <w:r>
              <w:rPr>
                <w:rFonts w:ascii="方正书宋_GBK" w:eastAsia="方正书宋_GBK"/>
                <w:color w:val="auto"/>
              </w:rPr>
              <w:t>41100.00</w:t>
            </w:r>
          </w:p>
        </w:tc>
        <w:tc>
          <w:tcPr>
            <w:tcW w:w="3402" w:type="dxa"/>
            <w:noWrap w:val="0"/>
            <w:vAlign w:val="center"/>
          </w:tcPr>
          <w:p>
            <w:pPr>
              <w:pStyle w:val="17"/>
              <w:rPr>
                <w:color w:val="auto"/>
              </w:rPr>
            </w:pPr>
            <w:r>
              <w:rPr>
                <w:color w:val="auto"/>
              </w:rPr>
              <w:t>二、外交支出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w:t>
            </w:r>
          </w:p>
        </w:tc>
        <w:tc>
          <w:tcPr>
            <w:tcW w:w="3402" w:type="dxa"/>
            <w:noWrap w:val="0"/>
            <w:vAlign w:val="center"/>
          </w:tcPr>
          <w:p>
            <w:pPr>
              <w:pStyle w:val="17"/>
              <w:rPr>
                <w:color w:val="auto"/>
              </w:rPr>
            </w:pPr>
            <w:r>
              <w:rPr>
                <w:color w:val="auto"/>
              </w:rPr>
              <w:t>三、国有资本经营预算拨款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三、国防支出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四、公共安全支出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五、教育支出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六、科学技术支出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七、文化旅游体育与传媒支出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八、社会保障和就业支出</w:t>
            </w:r>
          </w:p>
        </w:tc>
        <w:tc>
          <w:tcPr>
            <w:tcW w:w="1474" w:type="dxa"/>
            <w:noWrap w:val="0"/>
            <w:vAlign w:val="center"/>
          </w:tcPr>
          <w:p>
            <w:pPr>
              <w:pStyle w:val="16"/>
              <w:rPr>
                <w:color w:val="auto"/>
              </w:rPr>
            </w:pPr>
            <w:r>
              <w:rPr>
                <w:rFonts w:hint="eastAsia"/>
                <w:color w:val="auto"/>
                <w:lang w:val="en-US" w:eastAsia="zh-CN"/>
              </w:rPr>
              <w:t>61.11</w:t>
            </w:r>
          </w:p>
        </w:tc>
        <w:tc>
          <w:tcPr>
            <w:tcW w:w="1474" w:type="dxa"/>
            <w:noWrap w:val="0"/>
            <w:vAlign w:val="center"/>
          </w:tcPr>
          <w:p>
            <w:pPr>
              <w:pStyle w:val="16"/>
              <w:rPr>
                <w:rFonts w:hint="default" w:eastAsia="方正书宋_GBK"/>
                <w:color w:val="auto"/>
                <w:lang w:val="en-US" w:eastAsia="zh-CN"/>
              </w:rPr>
            </w:pPr>
            <w:r>
              <w:rPr>
                <w:rFonts w:hint="eastAsia"/>
                <w:color w:val="auto"/>
                <w:lang w:val="en-US" w:eastAsia="zh-CN"/>
              </w:rPr>
              <w:t>61.11</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九、社会保险基金支出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十、卫生健康支出</w:t>
            </w:r>
          </w:p>
        </w:tc>
        <w:tc>
          <w:tcPr>
            <w:tcW w:w="1474" w:type="dxa"/>
            <w:noWrap w:val="0"/>
            <w:vAlign w:val="center"/>
          </w:tcPr>
          <w:p>
            <w:pPr>
              <w:pStyle w:val="16"/>
              <w:rPr>
                <w:color w:val="auto"/>
              </w:rPr>
            </w:pPr>
            <w:r>
              <w:rPr>
                <w:rFonts w:hint="eastAsia"/>
                <w:color w:val="auto"/>
                <w:lang w:val="en-US" w:eastAsia="zh-CN"/>
              </w:rPr>
              <w:t>11.96</w:t>
            </w:r>
          </w:p>
        </w:tc>
        <w:tc>
          <w:tcPr>
            <w:tcW w:w="1474" w:type="dxa"/>
            <w:noWrap w:val="0"/>
            <w:vAlign w:val="center"/>
          </w:tcPr>
          <w:p>
            <w:pPr>
              <w:pStyle w:val="16"/>
              <w:rPr>
                <w:rFonts w:hint="default" w:eastAsia="方正书宋_GBK"/>
                <w:color w:val="auto"/>
                <w:lang w:val="en-US" w:eastAsia="zh-CN"/>
              </w:rPr>
            </w:pPr>
            <w:r>
              <w:rPr>
                <w:rFonts w:hint="eastAsia"/>
                <w:color w:val="auto"/>
                <w:lang w:val="en-US" w:eastAsia="zh-CN"/>
              </w:rPr>
              <w:t>11.96</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11</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十一、节能环保支出</w:t>
            </w:r>
          </w:p>
        </w:tc>
        <w:tc>
          <w:tcPr>
            <w:tcW w:w="1474" w:type="dxa"/>
            <w:noWrap w:val="0"/>
            <w:vAlign w:val="center"/>
          </w:tcPr>
          <w:p>
            <w:pPr>
              <w:pStyle w:val="16"/>
              <w:rPr>
                <w:color w:val="auto"/>
              </w:rPr>
            </w:pPr>
            <w:r>
              <w:rPr>
                <w:rFonts w:hint="eastAsia"/>
                <w:color w:val="auto"/>
                <w:lang w:val="en-US" w:eastAsia="zh-CN"/>
              </w:rPr>
              <w:t>4.74</w:t>
            </w:r>
          </w:p>
        </w:tc>
        <w:tc>
          <w:tcPr>
            <w:tcW w:w="1474" w:type="dxa"/>
            <w:noWrap w:val="0"/>
            <w:vAlign w:val="center"/>
          </w:tcPr>
          <w:p>
            <w:pPr>
              <w:pStyle w:val="16"/>
              <w:rPr>
                <w:color w:val="auto"/>
              </w:rPr>
            </w:pPr>
            <w:r>
              <w:rPr>
                <w:rFonts w:hint="eastAsia"/>
                <w:color w:val="auto"/>
                <w:lang w:val="en-US" w:eastAsia="zh-CN"/>
              </w:rPr>
              <w:t>4.74</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12</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十二、城乡社区支出</w:t>
            </w:r>
          </w:p>
        </w:tc>
        <w:tc>
          <w:tcPr>
            <w:tcW w:w="1474" w:type="dxa"/>
            <w:noWrap w:val="0"/>
            <w:vAlign w:val="center"/>
          </w:tcPr>
          <w:p>
            <w:pPr>
              <w:pStyle w:val="16"/>
              <w:rPr>
                <w:color w:val="auto"/>
              </w:rPr>
            </w:pPr>
            <w:r>
              <w:rPr>
                <w:rFonts w:hint="eastAsia"/>
                <w:color w:val="auto"/>
                <w:lang w:val="en-US" w:eastAsia="zh-CN"/>
              </w:rPr>
              <w:t>41113.08</w:t>
            </w:r>
          </w:p>
        </w:tc>
        <w:tc>
          <w:tcPr>
            <w:tcW w:w="1474" w:type="dxa"/>
            <w:noWrap w:val="0"/>
            <w:vAlign w:val="center"/>
          </w:tcPr>
          <w:p>
            <w:pPr>
              <w:pStyle w:val="16"/>
              <w:rPr>
                <w:rFonts w:hint="default" w:eastAsia="方正书宋_GBK"/>
                <w:color w:val="auto"/>
                <w:lang w:val="en-US" w:eastAsia="zh-CN"/>
              </w:rPr>
            </w:pPr>
            <w:r>
              <w:rPr>
                <w:rFonts w:hint="eastAsia"/>
                <w:color w:val="auto"/>
                <w:lang w:val="en-US" w:eastAsia="zh-CN"/>
              </w:rPr>
              <w:t>13.08</w:t>
            </w:r>
          </w:p>
        </w:tc>
        <w:tc>
          <w:tcPr>
            <w:tcW w:w="1474" w:type="dxa"/>
            <w:noWrap w:val="0"/>
            <w:vAlign w:val="center"/>
          </w:tcPr>
          <w:p>
            <w:pPr>
              <w:pStyle w:val="16"/>
              <w:rPr>
                <w:rFonts w:hint="default"/>
                <w:color w:val="auto"/>
                <w:lang w:val="en-US"/>
              </w:rPr>
            </w:pPr>
            <w:r>
              <w:rPr>
                <w:rFonts w:hint="eastAsia"/>
                <w:color w:val="auto"/>
                <w:lang w:val="en-US" w:eastAsia="zh-CN"/>
              </w:rPr>
              <w:t>41100.00</w:t>
            </w: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13</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十三、农林水支出</w:t>
            </w:r>
          </w:p>
        </w:tc>
        <w:tc>
          <w:tcPr>
            <w:tcW w:w="1474" w:type="dxa"/>
            <w:noWrap w:val="0"/>
            <w:vAlign w:val="center"/>
          </w:tcPr>
          <w:p>
            <w:pPr>
              <w:pStyle w:val="16"/>
              <w:rPr>
                <w:color w:val="auto"/>
              </w:rPr>
            </w:pPr>
            <w:r>
              <w:rPr>
                <w:rFonts w:hint="eastAsia"/>
                <w:color w:val="auto"/>
                <w:lang w:val="en-US" w:eastAsia="zh-CN"/>
              </w:rPr>
              <w:t>205.89</w:t>
            </w:r>
          </w:p>
        </w:tc>
        <w:tc>
          <w:tcPr>
            <w:tcW w:w="1474" w:type="dxa"/>
            <w:noWrap w:val="0"/>
            <w:vAlign w:val="center"/>
          </w:tcPr>
          <w:p>
            <w:pPr>
              <w:pStyle w:val="16"/>
              <w:rPr>
                <w:color w:val="auto"/>
              </w:rPr>
            </w:pPr>
            <w:r>
              <w:rPr>
                <w:rFonts w:hint="eastAsia"/>
                <w:color w:val="auto"/>
                <w:lang w:val="en-US" w:eastAsia="zh-CN"/>
              </w:rPr>
              <w:t>205.89</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十四、交通运输支出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十五、资源勘探工业信息等支出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十六、商业服务业等支出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十七、金融支出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十八、援助其他地区支出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十九、自然资源海洋气象等支出</w:t>
            </w:r>
          </w:p>
        </w:tc>
        <w:tc>
          <w:tcPr>
            <w:tcW w:w="1474" w:type="dxa"/>
            <w:noWrap w:val="0"/>
            <w:vAlign w:val="center"/>
          </w:tcPr>
          <w:p>
            <w:pPr>
              <w:pStyle w:val="16"/>
              <w:rPr>
                <w:color w:val="auto"/>
              </w:rPr>
            </w:pPr>
            <w:r>
              <w:rPr>
                <w:rFonts w:hint="eastAsia"/>
                <w:color w:val="auto"/>
                <w:lang w:val="en-US" w:eastAsia="zh-CN"/>
              </w:rPr>
              <w:t>2022.36</w:t>
            </w:r>
          </w:p>
        </w:tc>
        <w:tc>
          <w:tcPr>
            <w:tcW w:w="1474" w:type="dxa"/>
            <w:noWrap w:val="0"/>
            <w:vAlign w:val="center"/>
          </w:tcPr>
          <w:p>
            <w:pPr>
              <w:pStyle w:val="16"/>
              <w:rPr>
                <w:rFonts w:hint="default" w:eastAsia="方正书宋_GBK"/>
                <w:color w:val="auto"/>
                <w:lang w:val="en-US" w:eastAsia="zh-CN"/>
              </w:rPr>
            </w:pPr>
            <w:r>
              <w:rPr>
                <w:rFonts w:hint="eastAsia"/>
                <w:color w:val="auto"/>
                <w:lang w:val="en-US" w:eastAsia="zh-CN"/>
              </w:rPr>
              <w:t>2022.36</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二十、住房保障支出</w:t>
            </w:r>
          </w:p>
        </w:tc>
        <w:tc>
          <w:tcPr>
            <w:tcW w:w="1474" w:type="dxa"/>
            <w:noWrap w:val="0"/>
            <w:vAlign w:val="center"/>
          </w:tcPr>
          <w:p>
            <w:pPr>
              <w:pStyle w:val="16"/>
              <w:rPr>
                <w:color w:val="auto"/>
              </w:rPr>
            </w:pPr>
            <w:r>
              <w:rPr>
                <w:rFonts w:hint="eastAsia"/>
                <w:color w:val="auto"/>
                <w:lang w:val="en-US" w:eastAsia="zh-CN"/>
              </w:rPr>
              <w:t>17.38</w:t>
            </w:r>
          </w:p>
        </w:tc>
        <w:tc>
          <w:tcPr>
            <w:tcW w:w="1474" w:type="dxa"/>
            <w:noWrap w:val="0"/>
            <w:vAlign w:val="center"/>
          </w:tcPr>
          <w:p>
            <w:pPr>
              <w:pStyle w:val="16"/>
              <w:rPr>
                <w:rFonts w:hint="default" w:eastAsia="方正书宋_GBK"/>
                <w:color w:val="auto"/>
                <w:lang w:val="en-US" w:eastAsia="zh-CN"/>
              </w:rPr>
            </w:pPr>
            <w:r>
              <w:rPr>
                <w:rFonts w:hint="eastAsia"/>
                <w:color w:val="auto"/>
                <w:lang w:val="en-US" w:eastAsia="zh-CN"/>
              </w:rPr>
              <w:t>17.38</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21</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二十一、粮油物资储备支出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22</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二十二、国有资本经营预算支出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23</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二十三、灾害防治及应急管理支出</w:t>
            </w:r>
          </w:p>
        </w:tc>
        <w:tc>
          <w:tcPr>
            <w:tcW w:w="1474" w:type="dxa"/>
            <w:noWrap w:val="0"/>
            <w:vAlign w:val="center"/>
          </w:tcPr>
          <w:p>
            <w:pPr>
              <w:pStyle w:val="16"/>
              <w:rPr>
                <w:color w:val="auto"/>
              </w:rPr>
            </w:pPr>
            <w:r>
              <w:rPr>
                <w:rFonts w:hint="eastAsia"/>
                <w:color w:val="auto"/>
                <w:lang w:val="en-US" w:eastAsia="zh-CN"/>
              </w:rPr>
              <w:t>62.73</w:t>
            </w:r>
          </w:p>
        </w:tc>
        <w:tc>
          <w:tcPr>
            <w:tcW w:w="1474" w:type="dxa"/>
            <w:noWrap w:val="0"/>
            <w:vAlign w:val="center"/>
          </w:tcPr>
          <w:p>
            <w:pPr>
              <w:pStyle w:val="16"/>
              <w:rPr>
                <w:color w:val="auto"/>
              </w:rPr>
            </w:pPr>
            <w:r>
              <w:rPr>
                <w:rFonts w:hint="eastAsia"/>
                <w:color w:val="auto"/>
                <w:lang w:val="en-US" w:eastAsia="zh-CN"/>
              </w:rPr>
              <w:t>62.73</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二十四、预备费</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二十五、其他支出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二十六、转移性支出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二十七、债务还本支出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二十八、债务付息支出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二十九、债务发行费用支出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三十、抗疫特别国债安排的支出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31</w:t>
            </w:r>
          </w:p>
        </w:tc>
        <w:tc>
          <w:tcPr>
            <w:tcW w:w="3402" w:type="dxa"/>
            <w:noWrap w:val="0"/>
            <w:vAlign w:val="center"/>
          </w:tcPr>
          <w:p>
            <w:pPr>
              <w:pStyle w:val="19"/>
              <w:rPr>
                <w:color w:val="auto"/>
              </w:rPr>
            </w:pPr>
            <w:r>
              <w:rPr>
                <w:color w:val="auto"/>
              </w:rPr>
              <w:t>本年收入合计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43499.25</w:t>
            </w:r>
          </w:p>
        </w:tc>
        <w:tc>
          <w:tcPr>
            <w:tcW w:w="3402" w:type="dxa"/>
            <w:noWrap w:val="0"/>
            <w:vAlign w:val="center"/>
          </w:tcPr>
          <w:p>
            <w:pPr>
              <w:pStyle w:val="19"/>
              <w:rPr>
                <w:color w:val="auto"/>
              </w:rPr>
            </w:pPr>
            <w:r>
              <w:rPr>
                <w:color w:val="auto"/>
              </w:rPr>
              <w:t>本年支出合计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43499.25</w:t>
            </w:r>
          </w:p>
        </w:tc>
        <w:tc>
          <w:tcPr>
            <w:tcW w:w="1474" w:type="dxa"/>
            <w:noWrap w:val="0"/>
            <w:vAlign w:val="center"/>
          </w:tcPr>
          <w:p>
            <w:pPr>
              <w:pStyle w:val="20"/>
              <w:rPr>
                <w:rFonts w:hint="default" w:eastAsia="方正书宋_GBK"/>
                <w:color w:val="auto"/>
                <w:lang w:val="en-US" w:eastAsia="zh-CN"/>
              </w:rPr>
            </w:pPr>
            <w:r>
              <w:rPr>
                <w:rFonts w:hint="eastAsia"/>
                <w:color w:val="auto"/>
                <w:lang w:val="en-US" w:eastAsia="zh-CN"/>
              </w:rPr>
              <w:t>2399.25</w:t>
            </w:r>
          </w:p>
        </w:tc>
        <w:tc>
          <w:tcPr>
            <w:tcW w:w="1474" w:type="dxa"/>
            <w:noWrap w:val="0"/>
            <w:vAlign w:val="center"/>
          </w:tcPr>
          <w:p>
            <w:pPr>
              <w:pStyle w:val="20"/>
              <w:rPr>
                <w:rFonts w:hint="default" w:eastAsia="方正书宋_GBK"/>
                <w:color w:val="auto"/>
                <w:lang w:val="en-US" w:eastAsia="zh-CN"/>
              </w:rPr>
            </w:pPr>
            <w:r>
              <w:rPr>
                <w:rFonts w:hint="eastAsia"/>
                <w:color w:val="auto"/>
                <w:lang w:val="en-US" w:eastAsia="zh-CN"/>
              </w:rPr>
              <w:t>41100.00</w:t>
            </w:r>
          </w:p>
        </w:tc>
        <w:tc>
          <w:tcPr>
            <w:tcW w:w="1474"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32</w:t>
            </w:r>
          </w:p>
        </w:tc>
        <w:tc>
          <w:tcPr>
            <w:tcW w:w="3402" w:type="dxa"/>
            <w:noWrap w:val="0"/>
            <w:vAlign w:val="center"/>
          </w:tcPr>
          <w:p>
            <w:pPr>
              <w:pStyle w:val="17"/>
              <w:rPr>
                <w:color w:val="auto"/>
              </w:rPr>
            </w:pPr>
            <w:r>
              <w:rPr>
                <w:color w:val="auto"/>
              </w:rPr>
              <w:t>年初财政拨款结转和结余</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年末财政拨款结转和结余</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33</w:t>
            </w:r>
          </w:p>
        </w:tc>
        <w:tc>
          <w:tcPr>
            <w:tcW w:w="3402" w:type="dxa"/>
            <w:noWrap w:val="0"/>
            <w:vAlign w:val="center"/>
          </w:tcPr>
          <w:p>
            <w:pPr>
              <w:pStyle w:val="17"/>
              <w:rPr>
                <w:color w:val="auto"/>
              </w:rPr>
            </w:pPr>
            <w:r>
              <w:rPr>
                <w:color w:val="auto"/>
              </w:rPr>
              <w:t>一、一般公共预算拨款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34</w:t>
            </w:r>
          </w:p>
        </w:tc>
        <w:tc>
          <w:tcPr>
            <w:tcW w:w="3402" w:type="dxa"/>
            <w:noWrap w:val="0"/>
            <w:vAlign w:val="center"/>
          </w:tcPr>
          <w:p>
            <w:pPr>
              <w:pStyle w:val="17"/>
              <w:rPr>
                <w:color w:val="auto"/>
              </w:rPr>
            </w:pPr>
            <w:r>
              <w:rPr>
                <w:color w:val="auto"/>
              </w:rPr>
              <w:t>二、政府性基金预算拨款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35</w:t>
            </w:r>
          </w:p>
        </w:tc>
        <w:tc>
          <w:tcPr>
            <w:tcW w:w="3402" w:type="dxa"/>
            <w:noWrap w:val="0"/>
            <w:vAlign w:val="center"/>
          </w:tcPr>
          <w:p>
            <w:pPr>
              <w:pStyle w:val="17"/>
              <w:rPr>
                <w:color w:val="auto"/>
              </w:rPr>
            </w:pPr>
            <w:r>
              <w:rPr>
                <w:color w:val="auto"/>
              </w:rPr>
              <w:t>三、国有资本经营预算拨款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36</w:t>
            </w:r>
          </w:p>
        </w:tc>
        <w:tc>
          <w:tcPr>
            <w:tcW w:w="3402" w:type="dxa"/>
            <w:noWrap w:val="0"/>
            <w:vAlign w:val="center"/>
          </w:tcPr>
          <w:p>
            <w:pPr>
              <w:pStyle w:val="19"/>
              <w:rPr>
                <w:color w:val="auto"/>
              </w:rPr>
            </w:pPr>
            <w:r>
              <w:rPr>
                <w:color w:val="auto"/>
              </w:rPr>
              <w:t>收入总计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43499.25</w:t>
            </w:r>
          </w:p>
        </w:tc>
        <w:tc>
          <w:tcPr>
            <w:tcW w:w="3402" w:type="dxa"/>
            <w:noWrap w:val="0"/>
            <w:vAlign w:val="center"/>
          </w:tcPr>
          <w:p>
            <w:pPr>
              <w:pStyle w:val="19"/>
              <w:rPr>
                <w:color w:val="auto"/>
              </w:rPr>
            </w:pPr>
            <w:r>
              <w:rPr>
                <w:color w:val="auto"/>
              </w:rPr>
              <w:t>支出总计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43499.25</w:t>
            </w:r>
          </w:p>
        </w:tc>
        <w:tc>
          <w:tcPr>
            <w:tcW w:w="1474" w:type="dxa"/>
            <w:noWrap w:val="0"/>
            <w:vAlign w:val="center"/>
          </w:tcPr>
          <w:p>
            <w:pPr>
              <w:pStyle w:val="20"/>
              <w:rPr>
                <w:rFonts w:hint="default" w:eastAsia="方正书宋_GBK"/>
                <w:color w:val="auto"/>
                <w:lang w:val="en-US" w:eastAsia="zh-CN"/>
              </w:rPr>
            </w:pPr>
            <w:r>
              <w:rPr>
                <w:rFonts w:hint="eastAsia"/>
                <w:color w:val="auto"/>
                <w:lang w:val="en-US" w:eastAsia="zh-CN"/>
              </w:rPr>
              <w:t>2399.25</w:t>
            </w:r>
          </w:p>
        </w:tc>
        <w:tc>
          <w:tcPr>
            <w:tcW w:w="1474" w:type="dxa"/>
            <w:noWrap w:val="0"/>
            <w:vAlign w:val="center"/>
          </w:tcPr>
          <w:p>
            <w:pPr>
              <w:pStyle w:val="20"/>
              <w:rPr>
                <w:color w:val="auto"/>
              </w:rPr>
            </w:pPr>
            <w:r>
              <w:rPr>
                <w:rFonts w:hint="eastAsia"/>
                <w:color w:val="auto"/>
                <w:lang w:val="en-US" w:eastAsia="zh-CN"/>
              </w:rPr>
              <w:t>41100.00</w:t>
            </w:r>
          </w:p>
        </w:tc>
        <w:tc>
          <w:tcPr>
            <w:tcW w:w="1474" w:type="dxa"/>
            <w:noWrap w:val="0"/>
            <w:vAlign w:val="center"/>
          </w:tcPr>
          <w:p>
            <w:pPr>
              <w:pStyle w:val="20"/>
              <w:rPr>
                <w:color w:val="auto"/>
              </w:rPr>
            </w:pPr>
          </w:p>
        </w:tc>
      </w:tr>
    </w:tbl>
    <w:p>
      <w:pPr>
        <w:jc w:val="center"/>
        <w:outlineLvl w:val="1"/>
        <w:rPr>
          <w:rFonts w:hint="eastAsia" w:ascii="方正小标宋_GBK" w:eastAsia="方正小标宋_GBK"/>
          <w:color w:val="auto"/>
          <w:sz w:val="32"/>
          <w:lang w:val="en-US" w:eastAsia="zh-CN"/>
        </w:rPr>
      </w:pPr>
    </w:p>
    <w:bookmarkEnd w:id="1"/>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rPr>
                <w:rFonts w:hint="eastAsia" w:eastAsia="方正小标宋_GBK"/>
                <w:color w:val="auto"/>
                <w:lang w:val="en-US" w:eastAsia="zh-CN"/>
              </w:rPr>
            </w:pPr>
            <w:r>
              <w:rPr>
                <w:color w:val="auto"/>
              </w:rPr>
              <w:t>32400</w:t>
            </w:r>
            <w:r>
              <w:rPr>
                <w:rFonts w:hint="eastAsia"/>
                <w:color w:val="auto"/>
                <w:lang w:val="en-US" w:eastAsia="zh-CN"/>
              </w:rPr>
              <w:t>1</w:t>
            </w:r>
            <w:r>
              <w:rPr>
                <w:color w:val="auto"/>
              </w:rPr>
              <w:t>保定市自然资源和规划局满城区分局</w:t>
            </w:r>
            <w:r>
              <w:rPr>
                <w:rFonts w:hint="eastAsia"/>
                <w:color w:val="auto"/>
                <w:lang w:val="en-US" w:eastAsia="zh-CN"/>
              </w:rPr>
              <w:t>本级</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color w:val="auto"/>
              </w:rPr>
            </w:pP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pStyle w:val="20"/>
              <w:rPr>
                <w:rFonts w:hint="default" w:eastAsia="方正书宋_GBK"/>
                <w:color w:val="auto"/>
                <w:lang w:val="en-US" w:eastAsia="zh-CN"/>
              </w:rPr>
            </w:pPr>
            <w:r>
              <w:rPr>
                <w:rFonts w:hint="eastAsia"/>
                <w:b/>
                <w:color w:val="auto"/>
                <w:lang w:val="en-US" w:eastAsia="zh-CN"/>
              </w:rPr>
              <w:t>2399.25</w:t>
            </w:r>
          </w:p>
        </w:tc>
        <w:tc>
          <w:tcPr>
            <w:tcW w:w="2551" w:type="dxa"/>
            <w:noWrap w:val="0"/>
            <w:vAlign w:val="center"/>
          </w:tcPr>
          <w:p>
            <w:pPr>
              <w:pStyle w:val="20"/>
              <w:rPr>
                <w:color w:val="auto"/>
              </w:rPr>
            </w:pPr>
            <w:r>
              <w:rPr>
                <w:rFonts w:hint="eastAsia"/>
                <w:color w:val="auto"/>
                <w:lang w:val="en-US" w:eastAsia="zh-CN"/>
              </w:rPr>
              <w:t>339.59</w:t>
            </w:r>
          </w:p>
        </w:tc>
        <w:tc>
          <w:tcPr>
            <w:tcW w:w="2551" w:type="dxa"/>
            <w:noWrap w:val="0"/>
            <w:vAlign w:val="center"/>
          </w:tcPr>
          <w:p>
            <w:pPr>
              <w:pStyle w:val="20"/>
              <w:rPr>
                <w:rFonts w:hint="default"/>
                <w:color w:val="auto"/>
                <w:lang w:val="en-US"/>
              </w:rPr>
            </w:pPr>
            <w:r>
              <w:rPr>
                <w:rFonts w:hint="eastAsia"/>
                <w:color w:val="auto"/>
                <w:lang w:val="en-US" w:eastAsia="zh-CN"/>
              </w:rPr>
              <w:t>2059.66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2551" w:type="dxa"/>
            <w:noWrap w:val="0"/>
            <w:vAlign w:val="center"/>
          </w:tcPr>
          <w:p>
            <w:pPr>
              <w:pStyle w:val="16"/>
              <w:rPr>
                <w:color w:val="auto"/>
              </w:rPr>
            </w:pPr>
            <w:r>
              <w:rPr>
                <w:rFonts w:hint="eastAsia"/>
                <w:color w:val="auto"/>
                <w:lang w:val="en-US" w:eastAsia="zh-CN"/>
              </w:rPr>
              <w:t>61.11</w:t>
            </w:r>
          </w:p>
        </w:tc>
        <w:tc>
          <w:tcPr>
            <w:tcW w:w="2551" w:type="dxa"/>
            <w:noWrap w:val="0"/>
            <w:vAlign w:val="center"/>
          </w:tcPr>
          <w:p>
            <w:pPr>
              <w:pStyle w:val="16"/>
              <w:rPr>
                <w:color w:val="auto"/>
              </w:rPr>
            </w:pPr>
            <w:r>
              <w:rPr>
                <w:rFonts w:hint="eastAsia"/>
                <w:color w:val="auto"/>
                <w:lang w:val="en-US" w:eastAsia="zh-CN"/>
              </w:rPr>
              <w:t>61.11</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2551" w:type="dxa"/>
            <w:noWrap w:val="0"/>
            <w:vAlign w:val="center"/>
          </w:tcPr>
          <w:p>
            <w:pPr>
              <w:pStyle w:val="16"/>
              <w:rPr>
                <w:color w:val="auto"/>
              </w:rPr>
            </w:pPr>
            <w:r>
              <w:rPr>
                <w:rFonts w:hint="eastAsia"/>
                <w:color w:val="auto"/>
                <w:lang w:val="en-US" w:eastAsia="zh-CN"/>
              </w:rPr>
              <w:t>61.11</w:t>
            </w:r>
          </w:p>
        </w:tc>
        <w:tc>
          <w:tcPr>
            <w:tcW w:w="2551" w:type="dxa"/>
            <w:noWrap w:val="0"/>
            <w:vAlign w:val="center"/>
          </w:tcPr>
          <w:p>
            <w:pPr>
              <w:pStyle w:val="16"/>
              <w:rPr>
                <w:color w:val="auto"/>
              </w:rPr>
            </w:pPr>
            <w:r>
              <w:rPr>
                <w:rFonts w:hint="eastAsia"/>
                <w:color w:val="auto"/>
                <w:lang w:val="en-US" w:eastAsia="zh-CN"/>
              </w:rPr>
              <w:t>61.11</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2551" w:type="dxa"/>
            <w:noWrap w:val="0"/>
            <w:vAlign w:val="center"/>
          </w:tcPr>
          <w:p>
            <w:pPr>
              <w:pStyle w:val="16"/>
              <w:rPr>
                <w:color w:val="auto"/>
              </w:rPr>
            </w:pPr>
            <w:r>
              <w:rPr>
                <w:rFonts w:hint="eastAsia"/>
                <w:color w:val="auto"/>
                <w:lang w:val="en-US" w:eastAsia="zh-CN"/>
              </w:rPr>
              <w:t>31.92</w:t>
            </w:r>
          </w:p>
        </w:tc>
        <w:tc>
          <w:tcPr>
            <w:tcW w:w="2551" w:type="dxa"/>
            <w:noWrap w:val="0"/>
            <w:vAlign w:val="center"/>
          </w:tcPr>
          <w:p>
            <w:pPr>
              <w:pStyle w:val="16"/>
              <w:rPr>
                <w:color w:val="auto"/>
              </w:rPr>
            </w:pPr>
            <w:r>
              <w:rPr>
                <w:rFonts w:hint="eastAsia"/>
                <w:color w:val="auto"/>
                <w:lang w:val="en-US" w:eastAsia="zh-CN"/>
              </w:rPr>
              <w:t>31.92</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2551" w:type="dxa"/>
            <w:noWrap w:val="0"/>
            <w:vAlign w:val="center"/>
          </w:tcPr>
          <w:p>
            <w:pPr>
              <w:pStyle w:val="16"/>
              <w:rPr>
                <w:color w:val="auto"/>
              </w:rPr>
            </w:pPr>
            <w:r>
              <w:rPr>
                <w:rFonts w:hint="eastAsia"/>
                <w:color w:val="auto"/>
                <w:lang w:val="en-US" w:eastAsia="zh-CN"/>
              </w:rPr>
              <w:t>29.19</w:t>
            </w:r>
          </w:p>
        </w:tc>
        <w:tc>
          <w:tcPr>
            <w:tcW w:w="2551" w:type="dxa"/>
            <w:noWrap w:val="0"/>
            <w:vAlign w:val="center"/>
          </w:tcPr>
          <w:p>
            <w:pPr>
              <w:pStyle w:val="16"/>
              <w:rPr>
                <w:color w:val="auto"/>
              </w:rPr>
            </w:pPr>
            <w:r>
              <w:rPr>
                <w:rFonts w:hint="eastAsia"/>
                <w:color w:val="auto"/>
                <w:lang w:val="en-US" w:eastAsia="zh-CN"/>
              </w:rPr>
              <w:t>29.19</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2551" w:type="dxa"/>
            <w:noWrap w:val="0"/>
            <w:vAlign w:val="center"/>
          </w:tcPr>
          <w:p>
            <w:pPr>
              <w:pStyle w:val="16"/>
              <w:rPr>
                <w:color w:val="auto"/>
              </w:rPr>
            </w:pPr>
            <w:r>
              <w:rPr>
                <w:rFonts w:hint="eastAsia"/>
                <w:color w:val="auto"/>
                <w:lang w:val="en-US" w:eastAsia="zh-CN"/>
              </w:rPr>
              <w:t>11.96</w:t>
            </w:r>
          </w:p>
        </w:tc>
        <w:tc>
          <w:tcPr>
            <w:tcW w:w="2551" w:type="dxa"/>
            <w:noWrap w:val="0"/>
            <w:vAlign w:val="center"/>
          </w:tcPr>
          <w:p>
            <w:pPr>
              <w:pStyle w:val="16"/>
              <w:rPr>
                <w:color w:val="auto"/>
              </w:rPr>
            </w:pPr>
            <w:r>
              <w:rPr>
                <w:rFonts w:hint="eastAsia"/>
                <w:color w:val="auto"/>
                <w:lang w:val="en-US" w:eastAsia="zh-CN"/>
              </w:rPr>
              <w:t>11.96</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2551" w:type="dxa"/>
            <w:noWrap w:val="0"/>
            <w:vAlign w:val="center"/>
          </w:tcPr>
          <w:p>
            <w:pPr>
              <w:pStyle w:val="16"/>
              <w:rPr>
                <w:color w:val="auto"/>
              </w:rPr>
            </w:pPr>
            <w:r>
              <w:rPr>
                <w:rFonts w:hint="eastAsia"/>
                <w:color w:val="auto"/>
                <w:lang w:val="en-US" w:eastAsia="zh-CN"/>
              </w:rPr>
              <w:t>11.96</w:t>
            </w:r>
          </w:p>
        </w:tc>
        <w:tc>
          <w:tcPr>
            <w:tcW w:w="2551" w:type="dxa"/>
            <w:noWrap w:val="0"/>
            <w:vAlign w:val="center"/>
          </w:tcPr>
          <w:p>
            <w:pPr>
              <w:pStyle w:val="16"/>
              <w:rPr>
                <w:color w:val="auto"/>
              </w:rPr>
            </w:pPr>
            <w:r>
              <w:rPr>
                <w:rFonts w:hint="eastAsia"/>
                <w:color w:val="auto"/>
                <w:lang w:val="en-US" w:eastAsia="zh-CN"/>
              </w:rPr>
              <w:t>11.96</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2551" w:type="dxa"/>
            <w:noWrap w:val="0"/>
            <w:vAlign w:val="center"/>
          </w:tcPr>
          <w:p>
            <w:pPr>
              <w:pStyle w:val="16"/>
              <w:rPr>
                <w:color w:val="auto"/>
              </w:rPr>
            </w:pPr>
            <w:r>
              <w:rPr>
                <w:rFonts w:hint="eastAsia"/>
                <w:color w:val="auto"/>
                <w:lang w:val="en-US" w:eastAsia="zh-CN"/>
              </w:rPr>
              <w:t>11.96</w:t>
            </w:r>
          </w:p>
        </w:tc>
        <w:tc>
          <w:tcPr>
            <w:tcW w:w="2551" w:type="dxa"/>
            <w:noWrap w:val="0"/>
            <w:vAlign w:val="center"/>
          </w:tcPr>
          <w:p>
            <w:pPr>
              <w:pStyle w:val="16"/>
              <w:rPr>
                <w:color w:val="auto"/>
              </w:rPr>
            </w:pPr>
            <w:r>
              <w:rPr>
                <w:rFonts w:hint="eastAsia"/>
                <w:color w:val="auto"/>
                <w:lang w:val="en-US" w:eastAsia="zh-CN"/>
              </w:rPr>
              <w:t>11.96</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2551" w:type="dxa"/>
            <w:noWrap w:val="0"/>
            <w:vAlign w:val="center"/>
          </w:tcPr>
          <w:p>
            <w:pPr>
              <w:pStyle w:val="16"/>
              <w:rPr>
                <w:color w:val="auto"/>
              </w:rPr>
            </w:pPr>
            <w:r>
              <w:rPr>
                <w:rFonts w:hint="eastAsia"/>
                <w:color w:val="auto"/>
                <w:lang w:val="en-US" w:eastAsia="zh-CN"/>
              </w:rPr>
              <w:t>4.74</w:t>
            </w:r>
          </w:p>
        </w:tc>
        <w:tc>
          <w:tcPr>
            <w:tcW w:w="2551" w:type="dxa"/>
            <w:noWrap w:val="0"/>
            <w:vAlign w:val="center"/>
          </w:tcPr>
          <w:p>
            <w:pPr>
              <w:pStyle w:val="16"/>
              <w:rPr>
                <w:color w:val="auto"/>
              </w:rPr>
            </w:pPr>
          </w:p>
        </w:tc>
        <w:tc>
          <w:tcPr>
            <w:tcW w:w="2551" w:type="dxa"/>
            <w:noWrap w:val="0"/>
            <w:vAlign w:val="center"/>
          </w:tcPr>
          <w:p>
            <w:pPr>
              <w:pStyle w:val="16"/>
              <w:rPr>
                <w:color w:val="auto"/>
              </w:rPr>
            </w:pPr>
            <w:r>
              <w:rPr>
                <w:rFonts w:hint="eastAsia"/>
                <w:color w:val="auto"/>
                <w:lang w:val="en-US" w:eastAsia="zh-CN"/>
              </w:rP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2551" w:type="dxa"/>
            <w:noWrap w:val="0"/>
            <w:vAlign w:val="center"/>
          </w:tcPr>
          <w:p>
            <w:pPr>
              <w:pStyle w:val="16"/>
              <w:rPr>
                <w:color w:val="auto"/>
              </w:rPr>
            </w:pPr>
            <w:r>
              <w:rPr>
                <w:rFonts w:hint="eastAsia"/>
                <w:color w:val="auto"/>
                <w:lang w:val="en-US" w:eastAsia="zh-CN"/>
              </w:rPr>
              <w:t>4.74</w:t>
            </w:r>
          </w:p>
        </w:tc>
        <w:tc>
          <w:tcPr>
            <w:tcW w:w="2551" w:type="dxa"/>
            <w:noWrap w:val="0"/>
            <w:vAlign w:val="center"/>
          </w:tcPr>
          <w:p>
            <w:pPr>
              <w:pStyle w:val="16"/>
              <w:rPr>
                <w:color w:val="auto"/>
              </w:rPr>
            </w:pPr>
          </w:p>
        </w:tc>
        <w:tc>
          <w:tcPr>
            <w:tcW w:w="2551" w:type="dxa"/>
            <w:noWrap w:val="0"/>
            <w:vAlign w:val="center"/>
          </w:tcPr>
          <w:p>
            <w:pPr>
              <w:pStyle w:val="16"/>
              <w:rPr>
                <w:color w:val="auto"/>
              </w:rPr>
            </w:pPr>
            <w:r>
              <w:rPr>
                <w:rFonts w:hint="eastAsia"/>
                <w:color w:val="auto"/>
                <w:lang w:val="en-US" w:eastAsia="zh-CN"/>
              </w:rP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2551" w:type="dxa"/>
            <w:noWrap w:val="0"/>
            <w:vAlign w:val="center"/>
          </w:tcPr>
          <w:p>
            <w:pPr>
              <w:pStyle w:val="16"/>
              <w:rPr>
                <w:color w:val="auto"/>
              </w:rPr>
            </w:pPr>
            <w:r>
              <w:rPr>
                <w:rFonts w:hint="eastAsia"/>
                <w:color w:val="auto"/>
                <w:lang w:val="en-US" w:eastAsia="zh-CN"/>
              </w:rPr>
              <w:t>4.74</w:t>
            </w:r>
          </w:p>
        </w:tc>
        <w:tc>
          <w:tcPr>
            <w:tcW w:w="2551" w:type="dxa"/>
            <w:noWrap w:val="0"/>
            <w:vAlign w:val="center"/>
          </w:tcPr>
          <w:p>
            <w:pPr>
              <w:pStyle w:val="16"/>
              <w:rPr>
                <w:color w:val="auto"/>
              </w:rPr>
            </w:pPr>
          </w:p>
        </w:tc>
        <w:tc>
          <w:tcPr>
            <w:tcW w:w="2551" w:type="dxa"/>
            <w:noWrap w:val="0"/>
            <w:vAlign w:val="center"/>
          </w:tcPr>
          <w:p>
            <w:pPr>
              <w:pStyle w:val="16"/>
              <w:rPr>
                <w:color w:val="auto"/>
              </w:rPr>
            </w:pPr>
            <w:r>
              <w:rPr>
                <w:rFonts w:hint="eastAsia"/>
                <w:color w:val="auto"/>
                <w:lang w:val="en-US" w:eastAsia="zh-CN"/>
              </w:rPr>
              <w:t>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2551" w:type="dxa"/>
            <w:noWrap w:val="0"/>
            <w:vAlign w:val="center"/>
          </w:tcPr>
          <w:p>
            <w:pPr>
              <w:pStyle w:val="16"/>
              <w:rPr>
                <w:rFonts w:hint="default" w:eastAsia="方正书宋_GBK"/>
                <w:color w:val="auto"/>
                <w:lang w:val="en-US" w:eastAsia="zh-CN"/>
              </w:rPr>
            </w:pPr>
            <w:r>
              <w:rPr>
                <w:rFonts w:hint="eastAsia"/>
                <w:color w:val="auto"/>
                <w:lang w:val="en-US" w:eastAsia="zh-CN"/>
              </w:rPr>
              <w:t>13.08</w:t>
            </w: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r>
              <w:rPr>
                <w:rFonts w:hint="eastAsia"/>
                <w:color w:val="auto"/>
                <w:lang w:val="en-US" w:eastAsia="zh-CN"/>
              </w:rPr>
              <w:t>13.08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16</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城乡社区规划与管理</w:t>
            </w:r>
          </w:p>
        </w:tc>
        <w:tc>
          <w:tcPr>
            <w:tcW w:w="2551" w:type="dxa"/>
            <w:noWrap w:val="0"/>
            <w:vAlign w:val="center"/>
          </w:tcPr>
          <w:p>
            <w:pPr>
              <w:pStyle w:val="16"/>
              <w:rPr>
                <w:rFonts w:hint="eastAsia"/>
                <w:color w:val="auto"/>
                <w:lang w:val="en-US" w:eastAsia="zh-CN"/>
              </w:rPr>
            </w:pPr>
            <w:r>
              <w:rPr>
                <w:rFonts w:hint="eastAsia"/>
                <w:color w:val="auto"/>
                <w:lang w:val="en-US" w:eastAsia="zh-CN"/>
              </w:rPr>
              <w:t>8.4</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17</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2120201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城乡社区规划与管理</w:t>
            </w:r>
          </w:p>
        </w:tc>
        <w:tc>
          <w:tcPr>
            <w:tcW w:w="2551" w:type="dxa"/>
            <w:noWrap w:val="0"/>
            <w:vAlign w:val="center"/>
          </w:tcPr>
          <w:p>
            <w:pPr>
              <w:pStyle w:val="16"/>
              <w:rPr>
                <w:rFonts w:hint="eastAsia"/>
                <w:color w:val="auto"/>
                <w:lang w:val="en-US" w:eastAsia="zh-CN"/>
              </w:rPr>
            </w:pPr>
            <w:r>
              <w:rPr>
                <w:rFonts w:hint="eastAsia"/>
                <w:color w:val="auto"/>
                <w:lang w:val="en-US" w:eastAsia="zh-CN"/>
              </w:rPr>
              <w:t>8.4</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18</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21203</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城乡社区公共设施</w:t>
            </w:r>
          </w:p>
        </w:tc>
        <w:tc>
          <w:tcPr>
            <w:tcW w:w="2551" w:type="dxa"/>
            <w:noWrap w:val="0"/>
            <w:vAlign w:val="center"/>
          </w:tcPr>
          <w:p>
            <w:pPr>
              <w:pStyle w:val="16"/>
              <w:rPr>
                <w:rFonts w:hint="eastAsia"/>
                <w:color w:val="auto"/>
                <w:lang w:val="en-US" w:eastAsia="zh-CN"/>
              </w:rPr>
            </w:pPr>
            <w:r>
              <w:rPr>
                <w:rFonts w:hint="eastAsia"/>
                <w:color w:val="auto"/>
                <w:lang w:val="en-US" w:eastAsia="zh-CN"/>
              </w:rPr>
              <w:t>4.68</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19</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2120399</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2551" w:type="dxa"/>
            <w:noWrap w:val="0"/>
            <w:vAlign w:val="center"/>
          </w:tcPr>
          <w:p>
            <w:pPr>
              <w:pStyle w:val="16"/>
              <w:rPr>
                <w:rFonts w:hint="eastAsia"/>
                <w:color w:val="auto"/>
                <w:lang w:val="en-US" w:eastAsia="zh-CN"/>
              </w:rPr>
            </w:pPr>
            <w:r>
              <w:rPr>
                <w:rFonts w:hint="eastAsia"/>
                <w:color w:val="auto"/>
                <w:lang w:val="en-US" w:eastAsia="zh-CN"/>
              </w:rPr>
              <w:t>4.68</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20</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征地和拆迁补偿支出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23</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21210</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24</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2121002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25</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农林水支出</w:t>
            </w:r>
          </w:p>
        </w:tc>
        <w:tc>
          <w:tcPr>
            <w:tcW w:w="2551" w:type="dxa"/>
            <w:noWrap w:val="0"/>
            <w:vAlign w:val="center"/>
          </w:tcPr>
          <w:p>
            <w:pPr>
              <w:pStyle w:val="16"/>
              <w:rPr>
                <w:rFonts w:hint="eastAsia"/>
                <w:color w:val="auto"/>
                <w:lang w:val="en-US" w:eastAsia="zh-CN"/>
              </w:rPr>
            </w:pPr>
            <w:r>
              <w:rPr>
                <w:rFonts w:hint="eastAsia"/>
                <w:color w:val="auto"/>
                <w:lang w:val="en-US" w:eastAsia="zh-CN"/>
              </w:rPr>
              <w:t>205.89</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205.89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26</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农业农村</w:t>
            </w:r>
          </w:p>
        </w:tc>
        <w:tc>
          <w:tcPr>
            <w:tcW w:w="2551" w:type="dxa"/>
            <w:noWrap w:val="0"/>
            <w:vAlign w:val="center"/>
          </w:tcPr>
          <w:p>
            <w:pPr>
              <w:pStyle w:val="16"/>
              <w:rPr>
                <w:rFonts w:hint="eastAsia"/>
                <w:color w:val="auto"/>
                <w:lang w:val="en-US" w:eastAsia="zh-CN"/>
              </w:rPr>
            </w:pPr>
            <w:r>
              <w:rPr>
                <w:rFonts w:hint="eastAsia"/>
                <w:color w:val="auto"/>
                <w:lang w:val="en-US" w:eastAsia="zh-CN"/>
              </w:rPr>
              <w:t>9</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27</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2130135</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2551" w:type="dxa"/>
            <w:noWrap w:val="0"/>
            <w:vAlign w:val="center"/>
          </w:tcPr>
          <w:p>
            <w:pPr>
              <w:pStyle w:val="16"/>
              <w:rPr>
                <w:rFonts w:hint="eastAsia"/>
                <w:color w:val="auto"/>
                <w:lang w:val="en-US" w:eastAsia="zh-CN"/>
              </w:rPr>
            </w:pPr>
            <w:r>
              <w:rPr>
                <w:rFonts w:hint="eastAsia"/>
                <w:color w:val="auto"/>
                <w:lang w:val="en-US" w:eastAsia="zh-CN"/>
              </w:rPr>
              <w:t>9</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28</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林业和草原</w:t>
            </w:r>
          </w:p>
        </w:tc>
        <w:tc>
          <w:tcPr>
            <w:tcW w:w="2551" w:type="dxa"/>
            <w:noWrap w:val="0"/>
            <w:vAlign w:val="center"/>
          </w:tcPr>
          <w:p>
            <w:pPr>
              <w:pStyle w:val="16"/>
              <w:rPr>
                <w:rFonts w:hint="eastAsia"/>
                <w:color w:val="auto"/>
                <w:lang w:val="en-US" w:eastAsia="zh-CN"/>
              </w:rPr>
            </w:pPr>
            <w:r>
              <w:rPr>
                <w:rFonts w:hint="eastAsia"/>
                <w:color w:val="auto"/>
                <w:lang w:val="en-US" w:eastAsia="zh-CN"/>
              </w:rPr>
              <w:t>196.89</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196.89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29</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2130205</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森林资源培育</w:t>
            </w:r>
          </w:p>
        </w:tc>
        <w:tc>
          <w:tcPr>
            <w:tcW w:w="2551" w:type="dxa"/>
            <w:noWrap w:val="0"/>
            <w:vAlign w:val="center"/>
          </w:tcPr>
          <w:p>
            <w:pPr>
              <w:pStyle w:val="16"/>
              <w:rPr>
                <w:rFonts w:hint="eastAsia"/>
                <w:color w:val="auto"/>
                <w:lang w:val="en-US" w:eastAsia="zh-CN"/>
              </w:rPr>
            </w:pPr>
            <w:r>
              <w:rPr>
                <w:rFonts w:hint="eastAsia"/>
                <w:color w:val="auto"/>
                <w:lang w:val="en-US" w:eastAsia="zh-CN"/>
              </w:rPr>
              <w:t>120</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2130206</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技术推广与转化</w:t>
            </w:r>
          </w:p>
        </w:tc>
        <w:tc>
          <w:tcPr>
            <w:tcW w:w="2551" w:type="dxa"/>
            <w:noWrap w:val="0"/>
            <w:vAlign w:val="center"/>
          </w:tcPr>
          <w:p>
            <w:pPr>
              <w:pStyle w:val="16"/>
              <w:rPr>
                <w:rFonts w:hint="eastAsia"/>
                <w:color w:val="auto"/>
                <w:lang w:val="en-US" w:eastAsia="zh-CN"/>
              </w:rPr>
            </w:pPr>
            <w:r>
              <w:rPr>
                <w:rFonts w:hint="eastAsia"/>
                <w:color w:val="auto"/>
                <w:lang w:val="en-US" w:eastAsia="zh-CN"/>
              </w:rPr>
              <w:t>50</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31</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2130209</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森林生态效益补偿</w:t>
            </w:r>
          </w:p>
        </w:tc>
        <w:tc>
          <w:tcPr>
            <w:tcW w:w="2551" w:type="dxa"/>
            <w:noWrap w:val="0"/>
            <w:vAlign w:val="center"/>
          </w:tcPr>
          <w:p>
            <w:pPr>
              <w:pStyle w:val="16"/>
              <w:rPr>
                <w:rFonts w:hint="eastAsia"/>
                <w:color w:val="auto"/>
                <w:lang w:val="en-US" w:eastAsia="zh-CN"/>
              </w:rPr>
            </w:pPr>
            <w:r>
              <w:rPr>
                <w:rFonts w:hint="eastAsia"/>
                <w:color w:val="auto"/>
                <w:lang w:val="en-US" w:eastAsia="zh-CN"/>
              </w:rPr>
              <w:t>16.89</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16.89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32</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2130234</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林业草原防灾减灾</w:t>
            </w:r>
          </w:p>
        </w:tc>
        <w:tc>
          <w:tcPr>
            <w:tcW w:w="2551" w:type="dxa"/>
            <w:noWrap w:val="0"/>
            <w:vAlign w:val="center"/>
          </w:tcPr>
          <w:p>
            <w:pPr>
              <w:pStyle w:val="16"/>
              <w:rPr>
                <w:rFonts w:hint="eastAsia"/>
                <w:color w:val="auto"/>
                <w:lang w:val="en-US" w:eastAsia="zh-CN"/>
              </w:rPr>
            </w:pPr>
            <w:r>
              <w:rPr>
                <w:rFonts w:hint="eastAsia"/>
                <w:color w:val="auto"/>
                <w:lang w:val="en-US" w:eastAsia="zh-CN"/>
              </w:rPr>
              <w:t>10</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33</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220</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2551" w:type="dxa"/>
            <w:noWrap w:val="0"/>
            <w:vAlign w:val="center"/>
          </w:tcPr>
          <w:p>
            <w:pPr>
              <w:pStyle w:val="16"/>
              <w:rPr>
                <w:rFonts w:hint="eastAsia"/>
                <w:color w:val="auto"/>
                <w:lang w:val="en-US" w:eastAsia="zh-CN"/>
              </w:rPr>
            </w:pPr>
            <w:r>
              <w:rPr>
                <w:rFonts w:hint="eastAsia"/>
                <w:color w:val="auto"/>
                <w:lang w:val="en-US" w:eastAsia="zh-CN"/>
              </w:rPr>
              <w:t>2022.36</w:t>
            </w:r>
          </w:p>
        </w:tc>
        <w:tc>
          <w:tcPr>
            <w:tcW w:w="2551" w:type="dxa"/>
            <w:noWrap w:val="0"/>
            <w:vAlign w:val="center"/>
          </w:tcPr>
          <w:p>
            <w:pPr>
              <w:pStyle w:val="16"/>
              <w:rPr>
                <w:rFonts w:hint="eastAsia"/>
                <w:color w:val="auto"/>
                <w:lang w:val="en-US" w:eastAsia="zh-CN"/>
              </w:rPr>
            </w:pPr>
            <w:r>
              <w:rPr>
                <w:rFonts w:hint="eastAsia"/>
                <w:color w:val="auto"/>
                <w:lang w:val="en-US" w:eastAsia="zh-CN"/>
              </w:rPr>
              <w:t>249.14</w:t>
            </w:r>
          </w:p>
        </w:tc>
        <w:tc>
          <w:tcPr>
            <w:tcW w:w="2551" w:type="dxa"/>
            <w:noWrap w:val="0"/>
            <w:vAlign w:val="center"/>
          </w:tcPr>
          <w:p>
            <w:pPr>
              <w:pStyle w:val="16"/>
              <w:rPr>
                <w:color w:val="auto"/>
              </w:rPr>
            </w:pPr>
            <w:r>
              <w:rPr>
                <w:rFonts w:hint="eastAsia"/>
                <w:color w:val="auto"/>
                <w:lang w:val="en-US" w:eastAsia="zh-CN"/>
              </w:rPr>
              <w:t>1773.22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34</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22001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自然资源事务</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行政运行</w:t>
            </w:r>
          </w:p>
        </w:tc>
        <w:tc>
          <w:tcPr>
            <w:tcW w:w="2551" w:type="dxa"/>
            <w:noWrap w:val="0"/>
            <w:vAlign w:val="center"/>
          </w:tcPr>
          <w:p>
            <w:pPr>
              <w:pStyle w:val="16"/>
              <w:rPr>
                <w:rFonts w:hint="eastAsia"/>
                <w:color w:val="auto"/>
                <w:lang w:val="en-US" w:eastAsia="zh-CN"/>
              </w:rPr>
            </w:pPr>
            <w:r>
              <w:rPr>
                <w:rFonts w:hint="eastAsia"/>
                <w:color w:val="auto"/>
                <w:lang w:val="en-US" w:eastAsia="zh-CN"/>
              </w:rPr>
              <w:t>249.14</w:t>
            </w:r>
          </w:p>
        </w:tc>
        <w:tc>
          <w:tcPr>
            <w:tcW w:w="2551" w:type="dxa"/>
            <w:noWrap w:val="0"/>
            <w:vAlign w:val="center"/>
          </w:tcPr>
          <w:p>
            <w:pPr>
              <w:pStyle w:val="16"/>
              <w:rPr>
                <w:rFonts w:hint="eastAsia"/>
                <w:color w:val="auto"/>
                <w:lang w:val="en-US" w:eastAsia="zh-CN"/>
              </w:rPr>
            </w:pPr>
            <w:r>
              <w:rPr>
                <w:rFonts w:hint="eastAsia"/>
                <w:color w:val="auto"/>
                <w:lang w:val="en-US" w:eastAsia="zh-CN"/>
              </w:rPr>
              <w:t>249.14</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一般行政管理事务</w:t>
            </w:r>
          </w:p>
        </w:tc>
        <w:tc>
          <w:tcPr>
            <w:tcW w:w="2551" w:type="dxa"/>
            <w:noWrap w:val="0"/>
            <w:vAlign w:val="center"/>
          </w:tcPr>
          <w:p>
            <w:pPr>
              <w:pStyle w:val="16"/>
              <w:rPr>
                <w:rFonts w:hint="eastAsia"/>
                <w:color w:val="auto"/>
                <w:lang w:val="en-US" w:eastAsia="zh-CN"/>
              </w:rPr>
            </w:pPr>
            <w:r>
              <w:rPr>
                <w:rFonts w:hint="eastAsia"/>
                <w:color w:val="auto"/>
                <w:lang w:val="en-US" w:eastAsia="zh-CN"/>
              </w:rPr>
              <w:t>2.11</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自然资源规划及管理</w:t>
            </w:r>
          </w:p>
        </w:tc>
        <w:tc>
          <w:tcPr>
            <w:tcW w:w="2551" w:type="dxa"/>
            <w:noWrap w:val="0"/>
            <w:vAlign w:val="center"/>
          </w:tcPr>
          <w:p>
            <w:pPr>
              <w:pStyle w:val="16"/>
              <w:rPr>
                <w:rFonts w:hint="eastAsia"/>
                <w:color w:val="auto"/>
                <w:lang w:val="en-US" w:eastAsia="zh-CN"/>
              </w:rPr>
            </w:pPr>
            <w:r>
              <w:rPr>
                <w:rFonts w:hint="eastAsia"/>
                <w:color w:val="auto"/>
                <w:lang w:val="en-US" w:eastAsia="zh-CN"/>
              </w:rPr>
              <w:t>20</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38</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自然资源利用与保护</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39</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2200113</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40</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2551" w:type="dxa"/>
            <w:noWrap w:val="0"/>
            <w:vAlign w:val="center"/>
          </w:tcPr>
          <w:p>
            <w:pPr>
              <w:pStyle w:val="16"/>
              <w:rPr>
                <w:rFonts w:hint="eastAsia"/>
                <w:color w:val="auto"/>
                <w:lang w:val="en-US" w:eastAsia="zh-CN"/>
              </w:rPr>
            </w:pPr>
            <w:r>
              <w:rPr>
                <w:rFonts w:hint="eastAsia"/>
                <w:color w:val="auto"/>
                <w:lang w:val="en-US" w:eastAsia="zh-CN"/>
              </w:rPr>
              <w:t>1745.11</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1745.11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41</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2200150</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事业运行</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住房保障支出</w:t>
            </w:r>
          </w:p>
        </w:tc>
        <w:tc>
          <w:tcPr>
            <w:tcW w:w="2551" w:type="dxa"/>
            <w:noWrap w:val="0"/>
            <w:vAlign w:val="center"/>
          </w:tcPr>
          <w:p>
            <w:pPr>
              <w:pStyle w:val="16"/>
              <w:rPr>
                <w:rFonts w:hint="eastAsia"/>
                <w:color w:val="auto"/>
                <w:lang w:val="en-US" w:eastAsia="zh-CN"/>
              </w:rPr>
            </w:pPr>
            <w:r>
              <w:rPr>
                <w:rFonts w:hint="eastAsia"/>
                <w:color w:val="auto"/>
                <w:lang w:val="en-US" w:eastAsia="zh-CN"/>
              </w:rPr>
              <w:t>17.38</w:t>
            </w:r>
          </w:p>
        </w:tc>
        <w:tc>
          <w:tcPr>
            <w:tcW w:w="2551" w:type="dxa"/>
            <w:noWrap w:val="0"/>
            <w:vAlign w:val="center"/>
          </w:tcPr>
          <w:p>
            <w:pPr>
              <w:pStyle w:val="16"/>
              <w:rPr>
                <w:rFonts w:hint="eastAsia"/>
                <w:color w:val="auto"/>
                <w:lang w:val="en-US" w:eastAsia="zh-CN"/>
              </w:rPr>
            </w:pPr>
            <w:r>
              <w:rPr>
                <w:rFonts w:hint="eastAsia"/>
                <w:color w:val="auto"/>
                <w:lang w:val="en-US" w:eastAsia="zh-CN"/>
              </w:rPr>
              <w:t>17.38</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住房改革支出</w:t>
            </w:r>
          </w:p>
        </w:tc>
        <w:tc>
          <w:tcPr>
            <w:tcW w:w="2551" w:type="dxa"/>
            <w:noWrap w:val="0"/>
            <w:vAlign w:val="center"/>
          </w:tcPr>
          <w:p>
            <w:pPr>
              <w:pStyle w:val="16"/>
              <w:rPr>
                <w:rFonts w:hint="eastAsia"/>
                <w:color w:val="auto"/>
                <w:lang w:val="en-US" w:eastAsia="zh-CN"/>
              </w:rPr>
            </w:pPr>
            <w:r>
              <w:rPr>
                <w:rFonts w:hint="eastAsia"/>
                <w:color w:val="auto"/>
                <w:lang w:val="en-US" w:eastAsia="zh-CN"/>
              </w:rPr>
              <w:t>17.38</w:t>
            </w:r>
          </w:p>
        </w:tc>
        <w:tc>
          <w:tcPr>
            <w:tcW w:w="2551" w:type="dxa"/>
            <w:noWrap w:val="0"/>
            <w:vAlign w:val="center"/>
          </w:tcPr>
          <w:p>
            <w:pPr>
              <w:pStyle w:val="16"/>
              <w:rPr>
                <w:rFonts w:hint="eastAsia"/>
                <w:color w:val="auto"/>
                <w:lang w:val="en-US" w:eastAsia="zh-CN"/>
              </w:rPr>
            </w:pPr>
            <w:r>
              <w:rPr>
                <w:rFonts w:hint="eastAsia"/>
                <w:color w:val="auto"/>
                <w:lang w:val="en-US" w:eastAsia="zh-CN"/>
              </w:rPr>
              <w:t>17.38</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住房公积金</w:t>
            </w:r>
          </w:p>
        </w:tc>
        <w:tc>
          <w:tcPr>
            <w:tcW w:w="2551" w:type="dxa"/>
            <w:noWrap w:val="0"/>
            <w:vAlign w:val="center"/>
          </w:tcPr>
          <w:p>
            <w:pPr>
              <w:pStyle w:val="16"/>
              <w:rPr>
                <w:rFonts w:hint="eastAsia"/>
                <w:color w:val="auto"/>
                <w:lang w:val="en-US" w:eastAsia="zh-CN"/>
              </w:rPr>
            </w:pPr>
            <w:r>
              <w:rPr>
                <w:rFonts w:hint="eastAsia"/>
                <w:color w:val="auto"/>
                <w:lang w:val="en-US" w:eastAsia="zh-CN"/>
              </w:rPr>
              <w:t>17.38</w:t>
            </w:r>
          </w:p>
        </w:tc>
        <w:tc>
          <w:tcPr>
            <w:tcW w:w="2551" w:type="dxa"/>
            <w:noWrap w:val="0"/>
            <w:vAlign w:val="center"/>
          </w:tcPr>
          <w:p>
            <w:pPr>
              <w:pStyle w:val="16"/>
              <w:rPr>
                <w:rFonts w:hint="eastAsia"/>
                <w:color w:val="auto"/>
                <w:lang w:val="en-US" w:eastAsia="zh-CN"/>
              </w:rPr>
            </w:pPr>
            <w:r>
              <w:rPr>
                <w:rFonts w:hint="eastAsia"/>
                <w:color w:val="auto"/>
                <w:lang w:val="en-US" w:eastAsia="zh-CN"/>
              </w:rPr>
              <w:t>17.38</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2551" w:type="dxa"/>
            <w:noWrap w:val="0"/>
            <w:vAlign w:val="center"/>
          </w:tcPr>
          <w:p>
            <w:pPr>
              <w:pStyle w:val="16"/>
              <w:rPr>
                <w:rFonts w:hint="eastAsia"/>
                <w:color w:val="auto"/>
                <w:lang w:val="en-US" w:eastAsia="zh-CN"/>
              </w:rPr>
            </w:pPr>
            <w:r>
              <w:rPr>
                <w:rFonts w:hint="eastAsia"/>
                <w:color w:val="auto"/>
                <w:lang w:val="en-US" w:eastAsia="zh-CN"/>
              </w:rPr>
              <w:t>62.73</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62.73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自然灾害防治</w:t>
            </w:r>
          </w:p>
        </w:tc>
        <w:tc>
          <w:tcPr>
            <w:tcW w:w="2551" w:type="dxa"/>
            <w:noWrap w:val="0"/>
            <w:vAlign w:val="center"/>
          </w:tcPr>
          <w:p>
            <w:pPr>
              <w:pStyle w:val="16"/>
              <w:rPr>
                <w:rFonts w:hint="eastAsia"/>
                <w:color w:val="auto"/>
                <w:lang w:val="en-US" w:eastAsia="zh-CN"/>
              </w:rPr>
            </w:pPr>
            <w:r>
              <w:rPr>
                <w:rFonts w:hint="eastAsia"/>
                <w:color w:val="auto"/>
                <w:lang w:val="en-US" w:eastAsia="zh-CN"/>
              </w:rPr>
              <w:t>62.37</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62.37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地质灾害防治</w:t>
            </w:r>
          </w:p>
        </w:tc>
        <w:tc>
          <w:tcPr>
            <w:tcW w:w="2551" w:type="dxa"/>
            <w:noWrap w:val="0"/>
            <w:vAlign w:val="center"/>
          </w:tcPr>
          <w:p>
            <w:pPr>
              <w:pStyle w:val="16"/>
              <w:rPr>
                <w:rFonts w:hint="eastAsia"/>
                <w:color w:val="auto"/>
                <w:lang w:val="en-US" w:eastAsia="zh-CN"/>
              </w:rPr>
            </w:pPr>
            <w:r>
              <w:rPr>
                <w:rFonts w:hint="eastAsia"/>
                <w:color w:val="auto"/>
                <w:lang w:val="en-US" w:eastAsia="zh-CN"/>
              </w:rPr>
              <w:t>62.73</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olor w:val="auto"/>
                <w:lang w:val="en-US" w:eastAsia="zh-CN"/>
              </w:rPr>
              <w:t>62.73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19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r>
    </w:tbl>
    <w:p>
      <w:pPr>
        <w:rPr>
          <w:color w:val="auto"/>
        </w:rPr>
        <w:sectPr>
          <w:pgSz w:w="16840" w:h="11900" w:orient="landscape"/>
          <w:pgMar w:top="1361" w:right="1020" w:bottom="1134" w:left="1020" w:header="720" w:footer="720" w:gutter="0"/>
          <w:cols w:space="720" w:num="1"/>
        </w:sectPr>
      </w:pPr>
    </w:p>
    <w:p>
      <w:pPr>
        <w:jc w:val="center"/>
        <w:outlineLvl w:val="4"/>
        <w:rPr>
          <w:rFonts w:ascii="方正小标宋_GBK" w:hAnsi="方正小标宋_GBK" w:eastAsia="方正小标宋_GBK" w:cs="方正小标宋_GBK"/>
          <w:color w:val="auto"/>
          <w:sz w:val="36"/>
        </w:rPr>
      </w:pPr>
      <w:r>
        <w:rPr>
          <w:rFonts w:ascii="方正小标宋_GBK" w:hAnsi="方正小标宋_GBK" w:eastAsia="方正小标宋_GBK" w:cs="方正小标宋_GBK"/>
          <w:color w:val="auto"/>
          <w:sz w:val="36"/>
        </w:rPr>
        <w:t>单位预算一般公共预算财政拨款基本支出表</w:t>
      </w:r>
    </w:p>
    <w:tbl>
      <w:tblPr>
        <w:tblStyle w:val="5"/>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gridCol w:w="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 w:type="dxa"/>
          <w:trHeight w:val="369" w:hRule="atLeast"/>
          <w:tblHeader/>
          <w:jc w:val="center"/>
        </w:trPr>
        <w:tc>
          <w:tcPr>
            <w:tcW w:w="6576" w:type="dxa"/>
            <w:gridSpan w:val="3"/>
            <w:tcBorders>
              <w:top w:val="nil"/>
              <w:left w:val="nil"/>
              <w:bottom w:val="nil"/>
              <w:right w:val="nil"/>
            </w:tcBorders>
            <w:noWrap w:val="0"/>
            <w:vAlign w:val="center"/>
          </w:tcPr>
          <w:p>
            <w:pPr>
              <w:pStyle w:val="14"/>
              <w:rPr>
                <w:rFonts w:hint="eastAsia" w:eastAsia="方正小标宋_GBK"/>
                <w:color w:val="auto"/>
                <w:lang w:val="en-US" w:eastAsia="zh-CN"/>
              </w:rPr>
            </w:pPr>
            <w:r>
              <w:rPr>
                <w:color w:val="auto"/>
              </w:rPr>
              <w:t>32400</w:t>
            </w:r>
            <w:r>
              <w:rPr>
                <w:rFonts w:hint="eastAsia"/>
                <w:color w:val="auto"/>
                <w:lang w:val="en-US" w:eastAsia="zh-CN"/>
              </w:rPr>
              <w:t>1</w:t>
            </w:r>
            <w:r>
              <w:rPr>
                <w:color w:val="auto"/>
              </w:rPr>
              <w:t>保定市自然资源和规划局满城区分局</w:t>
            </w:r>
            <w:r>
              <w:rPr>
                <w:rFonts w:hint="eastAsia"/>
                <w:color w:val="auto"/>
                <w:lang w:val="en-US" w:eastAsia="zh-CN"/>
              </w:rPr>
              <w:t>本级</w:t>
            </w:r>
          </w:p>
        </w:tc>
        <w:tc>
          <w:tcPr>
            <w:tcW w:w="2551" w:type="dxa"/>
            <w:tcBorders>
              <w:top w:val="nil"/>
              <w:left w:val="nil"/>
              <w:bottom w:val="nil"/>
              <w:right w:val="nil"/>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nil"/>
              <w:left w:val="nil"/>
              <w:bottom w:val="nil"/>
              <w:right w:val="nil"/>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支出部门经济分类科目</w:t>
            </w:r>
          </w:p>
        </w:tc>
        <w:tc>
          <w:tcPr>
            <w:tcW w:w="7654" w:type="dxa"/>
            <w:gridSpan w:val="4"/>
            <w:noWrap w:val="0"/>
            <w:vAlign w:val="center"/>
          </w:tcPr>
          <w:p>
            <w:pPr>
              <w:pStyle w:val="15"/>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noWrap w:val="0"/>
            <w:vAlign w:val="center"/>
          </w:tcPr>
          <w:p>
            <w:pPr>
              <w:pStyle w:val="15"/>
              <w:rPr>
                <w:color w:val="auto"/>
              </w:rPr>
            </w:pPr>
            <w:r>
              <w:rPr>
                <w:color w:val="auto"/>
              </w:rPr>
              <w:t>合计</w:t>
            </w:r>
          </w:p>
        </w:tc>
        <w:tc>
          <w:tcPr>
            <w:tcW w:w="2551" w:type="dxa"/>
            <w:noWrap w:val="0"/>
            <w:vAlign w:val="center"/>
          </w:tcPr>
          <w:p>
            <w:pPr>
              <w:pStyle w:val="15"/>
              <w:rPr>
                <w:color w:val="auto"/>
              </w:rPr>
            </w:pPr>
            <w:r>
              <w:rPr>
                <w:color w:val="auto"/>
              </w:rPr>
              <w:t>人员经费</w:t>
            </w:r>
          </w:p>
        </w:tc>
        <w:tc>
          <w:tcPr>
            <w:tcW w:w="2552" w:type="dxa"/>
            <w:gridSpan w:val="2"/>
            <w:noWrap w:val="0"/>
            <w:vAlign w:val="center"/>
          </w:tcPr>
          <w:p>
            <w:pPr>
              <w:pStyle w:val="15"/>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2" w:type="dxa"/>
            <w:gridSpan w:val="2"/>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rFonts w:ascii="方正书宋_GBK" w:hAnsi="Times New Roman" w:eastAsia="方正书宋_GBK" w:cs="Times New Roman"/>
                <w:b/>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b/>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spacing w:line="300" w:lineRule="exact"/>
              <w:jc w:val="right"/>
              <w:rPr>
                <w:rFonts w:ascii="方正书宋_GBK" w:hAnsi="Times New Roman" w:eastAsia="方正书宋_GBK" w:cs="Times New Roman"/>
                <w:b/>
                <w:color w:val="auto"/>
                <w:sz w:val="24"/>
                <w:szCs w:val="24"/>
                <w:lang w:val="en-US" w:eastAsia="uk-UA" w:bidi="ar-SA"/>
              </w:rPr>
            </w:pPr>
            <w:r>
              <w:rPr>
                <w:rFonts w:ascii="方正书宋_GBK" w:eastAsia="方正书宋_GBK"/>
                <w:color w:val="auto"/>
              </w:rPr>
              <w:t>339.59</w:t>
            </w:r>
          </w:p>
        </w:tc>
        <w:tc>
          <w:tcPr>
            <w:tcW w:w="2551" w:type="dxa"/>
            <w:noWrap w:val="0"/>
            <w:vAlign w:val="center"/>
          </w:tcPr>
          <w:p>
            <w:pPr>
              <w:spacing w:line="300" w:lineRule="exact"/>
              <w:jc w:val="right"/>
              <w:rPr>
                <w:rFonts w:hint="default" w:ascii="方正书宋_GBK" w:hAnsi="Times New Roman" w:eastAsia="方正书宋_GBK" w:cs="Times New Roman"/>
                <w:b/>
                <w:color w:val="auto"/>
                <w:sz w:val="24"/>
                <w:szCs w:val="24"/>
                <w:lang w:val="en-US" w:eastAsia="zh-CN" w:bidi="ar-SA"/>
              </w:rPr>
            </w:pPr>
            <w:r>
              <w:rPr>
                <w:rFonts w:hint="eastAsia" w:ascii="方正书宋_GBK" w:eastAsia="方正书宋_GBK"/>
                <w:color w:val="auto"/>
                <w:lang w:val="en-US" w:eastAsia="zh-CN"/>
              </w:rPr>
              <w:t>312</w:t>
            </w:r>
          </w:p>
        </w:tc>
        <w:tc>
          <w:tcPr>
            <w:tcW w:w="2552" w:type="dxa"/>
            <w:gridSpan w:val="2"/>
            <w:noWrap w:val="0"/>
            <w:vAlign w:val="center"/>
          </w:tcPr>
          <w:p>
            <w:pPr>
              <w:pStyle w:val="20"/>
              <w:rPr>
                <w:rFonts w:hint="default" w:eastAsia="方正书宋_GBK"/>
                <w:color w:val="auto"/>
                <w:lang w:val="en-US" w:eastAsia="zh-CN"/>
              </w:rPr>
            </w:pPr>
            <w:r>
              <w:rPr>
                <w:rFonts w:hint="eastAsia"/>
                <w:color w:val="auto"/>
                <w:lang w:val="en-US" w:eastAsia="zh-CN"/>
              </w:rPr>
              <w:t>27.59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工资福利支出</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基本工资</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olor w:val="auto"/>
                <w:lang w:val="en-US" w:eastAsia="zh-CN"/>
              </w:rPr>
              <w:t>104.26</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olor w:val="auto"/>
                <w:lang w:val="en-US" w:eastAsia="zh-CN"/>
              </w:rPr>
              <w:t>104.26</w:t>
            </w: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30102</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津贴补贴</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77</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77</w:t>
            </w: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30103</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奖金</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8.69</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8.69</w:t>
            </w: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30107</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绩效工资</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30108</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机关事业单位基本养老保险缴费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29.19</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29.19</w:t>
            </w: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职业年金缴费</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30110</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城镇职工基本医疗保险缴费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11.68</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11.68</w:t>
            </w: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30112</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其他社会保障缴费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1.19</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1.19</w:t>
            </w: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30113</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住房公积金</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17.38</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17.38</w:t>
            </w: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其他工资福利支出</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21.12</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21.12</w:t>
            </w: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商品和服务支出</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27.59</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办公费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30205</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30206</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电费</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30207</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邮电费</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hint="eastAsia"/>
                <w:color w:val="auto"/>
                <w:lang w:val="en-US" w:eastAsia="zh-CN"/>
              </w:rPr>
              <w:t>9.18</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center"/>
          </w:tcPr>
          <w:p>
            <w:pPr>
              <w:pStyle w:val="16"/>
              <w:rPr>
                <w:rFonts w:hint="default" w:eastAsia="方正书宋_GBK"/>
                <w:color w:val="auto"/>
                <w:lang w:val="en-US" w:eastAsia="zh-CN"/>
              </w:rPr>
            </w:pPr>
            <w:r>
              <w:rPr>
                <w:rFonts w:hint="eastAsia"/>
                <w:color w:val="auto"/>
                <w:lang w:val="en-US" w:eastAsia="zh-CN"/>
              </w:rPr>
              <w:t>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30208</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取暖费</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30211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差旅费</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20</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30217</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公务接待费</w:t>
            </w:r>
          </w:p>
        </w:tc>
        <w:tc>
          <w:tcPr>
            <w:tcW w:w="2551" w:type="dxa"/>
            <w:noWrap w:val="0"/>
            <w:vAlign w:val="top"/>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0.55</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rFonts w:hint="default" w:eastAsia="方正书宋_GBK"/>
                <w:color w:val="auto"/>
                <w:lang w:val="en-US" w:eastAsia="zh-CN"/>
              </w:rPr>
            </w:pPr>
            <w:r>
              <w:rPr>
                <w:rFonts w:hint="eastAsia"/>
                <w:color w:val="auto"/>
                <w:lang w:val="en-US" w:eastAsia="zh-CN"/>
              </w:rP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21</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30229</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福利费</w:t>
            </w:r>
          </w:p>
        </w:tc>
        <w:tc>
          <w:tcPr>
            <w:tcW w:w="2551" w:type="dxa"/>
            <w:noWrap w:val="0"/>
            <w:vAlign w:val="top"/>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30231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公务用车运行维护费</w:t>
            </w:r>
          </w:p>
        </w:tc>
        <w:tc>
          <w:tcPr>
            <w:tcW w:w="2551" w:type="dxa"/>
            <w:noWrap w:val="0"/>
            <w:vAlign w:val="top"/>
          </w:tcPr>
          <w:p>
            <w:pPr>
              <w:pStyle w:val="16"/>
              <w:rPr>
                <w:rFonts w:ascii="方正书宋_GBK" w:hAnsi="方正书宋_GBK" w:eastAsia="方正书宋_GBK" w:cs="方正书宋_GBK"/>
                <w:color w:val="auto"/>
                <w:sz w:val="21"/>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30239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其他交通费用</w:t>
            </w:r>
          </w:p>
        </w:tc>
        <w:tc>
          <w:tcPr>
            <w:tcW w:w="2551" w:type="dxa"/>
            <w:noWrap w:val="0"/>
            <w:vAlign w:val="top"/>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14.7</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gridSpan w:val="2"/>
            <w:noWrap w:val="0"/>
            <w:vAlign w:val="top"/>
          </w:tcPr>
          <w:p>
            <w:pPr>
              <w:pStyle w:val="16"/>
              <w:rPr>
                <w:rFonts w:hint="default" w:eastAsia="方正书宋_GBK"/>
                <w:color w:val="auto"/>
                <w:lang w:val="en-US" w:eastAsia="zh-CN"/>
              </w:rPr>
            </w:pPr>
            <w:r>
              <w:rPr>
                <w:rFonts w:hint="eastAsia"/>
                <w:color w:val="auto"/>
                <w:lang w:val="en-US" w:eastAsia="zh-CN"/>
              </w:rP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其他商品和服务支出</w:t>
            </w:r>
          </w:p>
        </w:tc>
        <w:tc>
          <w:tcPr>
            <w:tcW w:w="2551" w:type="dxa"/>
            <w:noWrap w:val="0"/>
            <w:vAlign w:val="top"/>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3.16</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rFonts w:hint="default" w:eastAsia="方正书宋_GBK"/>
                <w:color w:val="auto"/>
                <w:lang w:val="en-US" w:eastAsia="zh-CN"/>
              </w:rPr>
            </w:pPr>
            <w:r>
              <w:rPr>
                <w:rFonts w:hint="eastAsia"/>
                <w:color w:val="auto"/>
                <w:lang w:val="en-US" w:eastAsia="zh-CN"/>
              </w:rPr>
              <w:t>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对个人和家庭的补助</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30302</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退休费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31.92</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31.92</w:t>
            </w: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30305</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生活补助</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奖励金</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0.16</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0.16</w:t>
            </w: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其他对个人和家庭的补助</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9.41</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9.41</w:t>
            </w: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jc w:val="left"/>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gridSpan w:val="2"/>
            <w:noWrap w:val="0"/>
            <w:vAlign w:val="top"/>
          </w:tcPr>
          <w:p>
            <w:pPr>
              <w:pStyle w:val="16"/>
              <w:rPr>
                <w:color w:val="auto"/>
              </w:rPr>
            </w:pPr>
          </w:p>
        </w:tc>
      </w:tr>
    </w:tbl>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rPr>
                <w:rFonts w:hint="eastAsia" w:eastAsia="方正小标宋_GBK"/>
                <w:color w:val="auto"/>
                <w:lang w:val="en-US" w:eastAsia="zh-CN"/>
              </w:rPr>
            </w:pPr>
            <w:r>
              <w:rPr>
                <w:color w:val="auto"/>
              </w:rPr>
              <w:t>32400</w:t>
            </w:r>
            <w:r>
              <w:rPr>
                <w:rFonts w:hint="eastAsia"/>
                <w:color w:val="auto"/>
                <w:lang w:val="en-US" w:eastAsia="zh-CN"/>
              </w:rPr>
              <w:t>1</w:t>
            </w:r>
            <w:r>
              <w:rPr>
                <w:color w:val="auto"/>
              </w:rPr>
              <w:t>保定市自然资源和规划局满城区分局</w:t>
            </w:r>
            <w:r>
              <w:rPr>
                <w:rFonts w:hint="eastAsia"/>
                <w:color w:val="auto"/>
                <w:lang w:val="en-US" w:eastAsia="zh-CN"/>
              </w:rPr>
              <w:t>本级</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color w:val="auto"/>
              </w:rPr>
            </w:pP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41100.00</w:t>
            </w: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r>
              <w:rPr>
                <w:rFonts w:hint="eastAsia"/>
                <w:color w:val="auto"/>
                <w:lang w:val="en-US" w:eastAsia="zh-CN"/>
              </w:rPr>
              <w:t>41100.00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41100.00</w:t>
            </w: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r>
              <w:rPr>
                <w:rFonts w:hint="eastAsia"/>
                <w:color w:val="auto"/>
                <w:lang w:val="en-US" w:eastAsia="zh-CN"/>
              </w:rPr>
              <w:t>41100.00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2551" w:type="dxa"/>
            <w:noWrap w:val="0"/>
            <w:vAlign w:val="center"/>
          </w:tcPr>
          <w:p>
            <w:pPr>
              <w:pStyle w:val="16"/>
              <w:rPr>
                <w:rFonts w:ascii="方正书宋_GBK" w:hAnsi="方正书宋_GBK" w:eastAsia="方正书宋_GBK" w:cs="方正书宋_GBK"/>
                <w:color w:val="auto"/>
                <w:sz w:val="21"/>
                <w:szCs w:val="24"/>
                <w:lang w:val="en-US" w:eastAsia="uk-UA" w:bidi="ar-SA"/>
              </w:rPr>
            </w:pPr>
            <w:r>
              <w:rPr>
                <w:rFonts w:hint="eastAsia"/>
                <w:color w:val="auto"/>
                <w:lang w:val="en-US" w:eastAsia="zh-CN"/>
              </w:rPr>
              <w:t>36439</w:t>
            </w:r>
          </w:p>
        </w:tc>
        <w:tc>
          <w:tcPr>
            <w:tcW w:w="2551" w:type="dxa"/>
            <w:noWrap w:val="0"/>
            <w:vAlign w:val="center"/>
          </w:tcPr>
          <w:p>
            <w:pPr>
              <w:pStyle w:val="16"/>
              <w:rPr>
                <w:color w:val="auto"/>
              </w:rPr>
            </w:pPr>
          </w:p>
        </w:tc>
        <w:tc>
          <w:tcPr>
            <w:tcW w:w="2551" w:type="dxa"/>
            <w:noWrap w:val="0"/>
            <w:vAlign w:val="center"/>
          </w:tcPr>
          <w:p>
            <w:pPr>
              <w:pStyle w:val="16"/>
              <w:rPr>
                <w:rFonts w:ascii="方正书宋_GBK" w:hAnsi="方正书宋_GBK" w:eastAsia="方正书宋_GBK" w:cs="方正书宋_GBK"/>
                <w:color w:val="auto"/>
                <w:sz w:val="21"/>
                <w:szCs w:val="24"/>
                <w:lang w:val="en-US" w:eastAsia="uk-UA" w:bidi="ar-SA"/>
              </w:rPr>
            </w:pPr>
            <w:r>
              <w:rPr>
                <w:rFonts w:hint="eastAsia"/>
                <w:color w:val="auto"/>
                <w:lang w:val="en-US" w:eastAsia="zh-CN"/>
              </w:rPr>
              <w:t>36439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征地和拆迁补偿支出</w:t>
            </w:r>
          </w:p>
        </w:tc>
        <w:tc>
          <w:tcPr>
            <w:tcW w:w="2551" w:type="dxa"/>
            <w:noWrap w:val="0"/>
            <w:vAlign w:val="center"/>
          </w:tcPr>
          <w:p>
            <w:pPr>
              <w:pStyle w:val="16"/>
              <w:rPr>
                <w:rFonts w:ascii="方正书宋_GBK" w:hAnsi="方正书宋_GBK" w:eastAsia="方正书宋_GBK" w:cs="方正书宋_GBK"/>
                <w:color w:val="auto"/>
                <w:sz w:val="21"/>
                <w:szCs w:val="24"/>
                <w:lang w:val="en-US" w:eastAsia="uk-UA" w:bidi="ar-SA"/>
              </w:rPr>
            </w:pPr>
            <w:r>
              <w:rPr>
                <w:rFonts w:hint="eastAsia"/>
                <w:color w:val="auto"/>
                <w:lang w:val="en-US" w:eastAsia="zh-CN"/>
              </w:rPr>
              <w:t>31778</w:t>
            </w:r>
          </w:p>
        </w:tc>
        <w:tc>
          <w:tcPr>
            <w:tcW w:w="2551" w:type="dxa"/>
            <w:noWrap w:val="0"/>
            <w:vAlign w:val="center"/>
          </w:tcPr>
          <w:p>
            <w:pPr>
              <w:pStyle w:val="16"/>
              <w:rPr>
                <w:color w:val="auto"/>
              </w:rPr>
            </w:pPr>
          </w:p>
        </w:tc>
        <w:tc>
          <w:tcPr>
            <w:tcW w:w="2551" w:type="dxa"/>
            <w:noWrap w:val="0"/>
            <w:vAlign w:val="center"/>
          </w:tcPr>
          <w:p>
            <w:pPr>
              <w:pStyle w:val="16"/>
              <w:rPr>
                <w:rFonts w:ascii="方正书宋_GBK" w:hAnsi="方正书宋_GBK" w:eastAsia="方正书宋_GBK" w:cs="方正书宋_GBK"/>
                <w:color w:val="auto"/>
                <w:sz w:val="21"/>
                <w:szCs w:val="24"/>
                <w:lang w:val="en-US" w:eastAsia="uk-UA" w:bidi="ar-SA"/>
              </w:rPr>
            </w:pPr>
            <w:r>
              <w:rPr>
                <w:rFonts w:hint="eastAsia"/>
                <w:color w:val="auto"/>
                <w:lang w:val="en-US" w:eastAsia="zh-CN"/>
              </w:rPr>
              <w:t>31778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ascii="方正书宋_GBK" w:hAnsi="方正书宋_GBK" w:eastAsia="方正书宋_GBK" w:cs="方正书宋_GBK"/>
                <w:color w:val="auto"/>
                <w:sz w:val="21"/>
                <w:szCs w:val="24"/>
                <w:lang w:val="en-US" w:eastAsia="uk-UA" w:bidi="ar-SA"/>
              </w:rPr>
            </w:pPr>
            <w:r>
              <w:rPr>
                <w:rFonts w:hint="eastAsia"/>
                <w:color w:val="auto"/>
                <w:lang w:val="en-US" w:eastAsia="zh-CN"/>
              </w:rPr>
              <w:t>4661</w:t>
            </w:r>
          </w:p>
        </w:tc>
        <w:tc>
          <w:tcPr>
            <w:tcW w:w="2551" w:type="dxa"/>
            <w:noWrap w:val="0"/>
            <w:vAlign w:val="center"/>
          </w:tcPr>
          <w:p>
            <w:pPr>
              <w:pStyle w:val="16"/>
              <w:rPr>
                <w:color w:val="auto"/>
              </w:rPr>
            </w:pPr>
          </w:p>
        </w:tc>
        <w:tc>
          <w:tcPr>
            <w:tcW w:w="2551" w:type="dxa"/>
            <w:noWrap w:val="0"/>
            <w:vAlign w:val="center"/>
          </w:tcPr>
          <w:p>
            <w:pPr>
              <w:pStyle w:val="16"/>
              <w:rPr>
                <w:rFonts w:ascii="方正书宋_GBK" w:hAnsi="方正书宋_GBK" w:eastAsia="方正书宋_GBK" w:cs="方正书宋_GBK"/>
                <w:color w:val="auto"/>
                <w:sz w:val="21"/>
                <w:szCs w:val="24"/>
                <w:lang w:val="en-US" w:eastAsia="uk-UA" w:bidi="ar-SA"/>
              </w:rPr>
            </w:pPr>
            <w:r>
              <w:rPr>
                <w:rFonts w:hint="eastAsia"/>
                <w:color w:val="auto"/>
                <w:lang w:val="en-US" w:eastAsia="zh-CN"/>
              </w:rPr>
              <w:t>4661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119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w:t>
            </w:r>
          </w:p>
        </w:tc>
        <w:tc>
          <w:tcPr>
            <w:tcW w:w="453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2551" w:type="dxa"/>
            <w:noWrap w:val="0"/>
            <w:vAlign w:val="center"/>
          </w:tcPr>
          <w:p>
            <w:pPr>
              <w:pStyle w:val="16"/>
              <w:rPr>
                <w:rFonts w:ascii="方正书宋_GBK" w:hAnsi="方正书宋_GBK" w:eastAsia="方正书宋_GBK" w:cs="方正书宋_GBK"/>
                <w:color w:val="auto"/>
                <w:sz w:val="21"/>
                <w:szCs w:val="24"/>
                <w:lang w:val="en-US" w:eastAsia="uk-UA" w:bidi="ar-SA"/>
              </w:rPr>
            </w:pPr>
            <w:r>
              <w:rPr>
                <w:rFonts w:hint="eastAsia"/>
                <w:color w:val="auto"/>
                <w:lang w:val="en-US" w:eastAsia="zh-CN"/>
              </w:rPr>
              <w:t>4661</w:t>
            </w:r>
          </w:p>
        </w:tc>
        <w:tc>
          <w:tcPr>
            <w:tcW w:w="2551" w:type="dxa"/>
            <w:noWrap w:val="0"/>
            <w:vAlign w:val="center"/>
          </w:tcPr>
          <w:p>
            <w:pPr>
              <w:pStyle w:val="16"/>
              <w:rPr>
                <w:color w:val="auto"/>
              </w:rPr>
            </w:pPr>
          </w:p>
        </w:tc>
        <w:tc>
          <w:tcPr>
            <w:tcW w:w="2551" w:type="dxa"/>
            <w:noWrap w:val="0"/>
            <w:vAlign w:val="center"/>
          </w:tcPr>
          <w:p>
            <w:pPr>
              <w:pStyle w:val="16"/>
              <w:rPr>
                <w:rFonts w:ascii="方正书宋_GBK" w:hAnsi="方正书宋_GBK" w:eastAsia="方正书宋_GBK" w:cs="方正书宋_GBK"/>
                <w:color w:val="auto"/>
                <w:sz w:val="21"/>
                <w:szCs w:val="24"/>
                <w:lang w:val="en-US" w:eastAsia="uk-UA" w:bidi="ar-SA"/>
              </w:rPr>
            </w:pPr>
            <w:r>
              <w:rPr>
                <w:rFonts w:hint="eastAsia"/>
                <w:color w:val="auto"/>
                <w:lang w:val="en-US" w:eastAsia="zh-CN"/>
              </w:rPr>
              <w:t>4661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w:t>
            </w:r>
          </w:p>
        </w:tc>
        <w:tc>
          <w:tcPr>
            <w:tcW w:w="119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2121002</w:t>
            </w:r>
          </w:p>
        </w:tc>
        <w:tc>
          <w:tcPr>
            <w:tcW w:w="453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ascii="方正书宋_GBK" w:hAnsi="方正书宋_GBK" w:eastAsia="方正书宋_GBK" w:cs="方正书宋_GBK"/>
                <w:color w:val="auto"/>
                <w:sz w:val="21"/>
                <w:szCs w:val="24"/>
                <w:lang w:val="en-US" w:eastAsia="uk-UA" w:bidi="ar-SA"/>
              </w:rPr>
            </w:pPr>
            <w:r>
              <w:rPr>
                <w:rFonts w:hint="eastAsia"/>
                <w:color w:val="auto"/>
                <w:lang w:val="en-US" w:eastAsia="zh-CN"/>
              </w:rPr>
              <w:t>4661</w:t>
            </w:r>
          </w:p>
        </w:tc>
        <w:tc>
          <w:tcPr>
            <w:tcW w:w="2551" w:type="dxa"/>
            <w:noWrap w:val="0"/>
            <w:vAlign w:val="center"/>
          </w:tcPr>
          <w:p>
            <w:pPr>
              <w:pStyle w:val="16"/>
              <w:rPr>
                <w:color w:val="auto"/>
              </w:rPr>
            </w:pPr>
          </w:p>
        </w:tc>
        <w:tc>
          <w:tcPr>
            <w:tcW w:w="2551" w:type="dxa"/>
            <w:noWrap w:val="0"/>
            <w:vAlign w:val="center"/>
          </w:tcPr>
          <w:p>
            <w:pPr>
              <w:pStyle w:val="16"/>
              <w:rPr>
                <w:rFonts w:ascii="方正书宋_GBK" w:hAnsi="方正书宋_GBK" w:eastAsia="方正书宋_GBK" w:cs="方正书宋_GBK"/>
                <w:color w:val="auto"/>
                <w:sz w:val="21"/>
                <w:szCs w:val="24"/>
                <w:lang w:val="en-US" w:eastAsia="uk-UA" w:bidi="ar-SA"/>
              </w:rPr>
            </w:pPr>
            <w:r>
              <w:rPr>
                <w:rFonts w:hint="eastAsia"/>
                <w:color w:val="auto"/>
                <w:lang w:val="en-US" w:eastAsia="zh-CN"/>
              </w:rPr>
              <w:t>4661</w:t>
            </w: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rPr>
                <w:rFonts w:hint="eastAsia" w:eastAsia="方正小标宋_GBK"/>
                <w:color w:val="auto"/>
                <w:lang w:val="en-US" w:eastAsia="zh-CN"/>
              </w:rPr>
            </w:pPr>
            <w:r>
              <w:rPr>
                <w:color w:val="auto"/>
              </w:rPr>
              <w:t>32400</w:t>
            </w:r>
            <w:r>
              <w:rPr>
                <w:rFonts w:hint="eastAsia"/>
                <w:color w:val="auto"/>
                <w:lang w:val="en-US" w:eastAsia="zh-CN"/>
              </w:rPr>
              <w:t>1</w:t>
            </w:r>
            <w:r>
              <w:rPr>
                <w:color w:val="auto"/>
              </w:rPr>
              <w:t>保定市自然资源和规划局满城区分局</w:t>
            </w:r>
            <w:r>
              <w:rPr>
                <w:rFonts w:hint="eastAsia"/>
                <w:color w:val="auto"/>
                <w:lang w:val="en-US" w:eastAsia="zh-CN"/>
              </w:rPr>
              <w:t>本级</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pStyle w:val="17"/>
              <w:rPr>
                <w:color w:val="auto"/>
              </w:rPr>
            </w:pPr>
          </w:p>
        </w:tc>
        <w:tc>
          <w:tcPr>
            <w:tcW w:w="4535" w:type="dxa"/>
            <w:noWrap w:val="0"/>
            <w:vAlign w:val="center"/>
          </w:tcPr>
          <w:p>
            <w:pPr>
              <w:pStyle w:val="17"/>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eastAsia="方正书宋_GBK"/>
                <w:color w:val="auto"/>
              </w:rPr>
            </w:pPr>
          </w:p>
        </w:tc>
        <w:tc>
          <w:tcPr>
            <w:tcW w:w="2551" w:type="dxa"/>
            <w:noWrap w:val="0"/>
            <w:vAlign w:val="center"/>
          </w:tcPr>
          <w:p>
            <w:pPr>
              <w:pStyle w:val="16"/>
              <w:rPr>
                <w:rFonts w:ascii="方正书宋_GBK" w:eastAsia="方正书宋_GBK"/>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1"/>
        <w:rPr>
          <w:rFonts w:hint="eastAsia" w:hAnsi="宋体"/>
          <w:color w:val="auto"/>
          <w:sz w:val="32"/>
        </w:rPr>
      </w:pPr>
      <w:bookmarkStart w:id="2" w:name="_Toc70244357"/>
      <w:r>
        <w:rPr>
          <w:rFonts w:hint="eastAsia" w:ascii="方正小标宋_GBK" w:eastAsia="方正小标宋_GBK"/>
          <w:color w:val="auto"/>
          <w:sz w:val="32"/>
          <w:lang w:val="en-US" w:eastAsia="zh-CN"/>
        </w:rPr>
        <w:t>单位</w:t>
      </w:r>
      <w:r>
        <w:rPr>
          <w:rFonts w:hint="cs" w:ascii="方正小标宋_GBK" w:eastAsia="方正小标宋_GBK"/>
          <w:color w:val="auto"/>
          <w:sz w:val="32"/>
          <w:cs/>
        </w:rPr>
        <w:t>“</w:t>
      </w:r>
      <w:r>
        <w:rPr>
          <w:rFonts w:hint="eastAsia" w:ascii="方正小标宋_GBK" w:eastAsia="方正小标宋_GBK"/>
          <w:color w:val="auto"/>
          <w:sz w:val="32"/>
        </w:rPr>
        <w:t>三公</w:t>
      </w:r>
      <w:r>
        <w:rPr>
          <w:rFonts w:hint="cs" w:ascii="方正小标宋_GBK" w:eastAsia="方正小标宋_GBK"/>
          <w:color w:val="auto"/>
          <w:sz w:val="32"/>
          <w:cs/>
        </w:rPr>
        <w:t>”</w:t>
      </w:r>
      <w:r>
        <w:rPr>
          <w:rFonts w:hint="eastAsia" w:ascii="方正小标宋_GBK" w:eastAsia="方正小标宋_GBK"/>
          <w:color w:val="auto"/>
          <w:sz w:val="32"/>
        </w:rPr>
        <w:t>及会议培训经费预算</w:t>
      </w:r>
      <w:bookmarkEnd w:id="2"/>
    </w:p>
    <w:tbl>
      <w:tblPr>
        <w:tblStyle w:val="5"/>
        <w:tblW w:w="143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02"/>
        <w:gridCol w:w="1843"/>
        <w:gridCol w:w="1814"/>
        <w:gridCol w:w="1814"/>
        <w:gridCol w:w="1814"/>
        <w:gridCol w:w="1814"/>
        <w:gridCol w:w="1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873" w:type="dxa"/>
            <w:gridSpan w:val="4"/>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color w:val="auto"/>
                <w:sz w:val="24"/>
              </w:rPr>
            </w:pPr>
            <w:r>
              <w:rPr>
                <w:rFonts w:ascii="方正小标宋_GBK" w:eastAsia="方正小标宋_GBK"/>
                <w:color w:val="auto"/>
                <w:sz w:val="24"/>
              </w:rPr>
              <w:t>324</w:t>
            </w:r>
            <w:r>
              <w:rPr>
                <w:rFonts w:hint="eastAsia" w:ascii="方正小标宋_GBK" w:eastAsia="方正小标宋_GBK"/>
                <w:color w:val="auto"/>
                <w:sz w:val="24"/>
                <w:lang w:val="en-US" w:eastAsia="zh-CN"/>
              </w:rPr>
              <w:t>001</w:t>
            </w:r>
            <w:r>
              <w:rPr>
                <w:rFonts w:hint="eastAsia" w:ascii="方正小标宋_GBK" w:eastAsia="方正小标宋_GBK"/>
                <w:color w:val="auto"/>
                <w:sz w:val="24"/>
              </w:rPr>
              <w:t>保定市自然资源和规划局满城区分局</w:t>
            </w:r>
            <w:r>
              <w:rPr>
                <w:rFonts w:hint="eastAsia" w:ascii="方正小标宋_GBK" w:eastAsia="方正小标宋_GBK"/>
                <w:color w:val="auto"/>
                <w:sz w:val="24"/>
                <w:lang w:val="en-US" w:eastAsia="zh-CN"/>
              </w:rPr>
              <w:t xml:space="preserve">本级               </w:t>
            </w:r>
            <w:r>
              <w:rPr>
                <w:color w:val="auto"/>
              </w:rPr>
              <w:t>预算年度：202</w:t>
            </w:r>
            <w:r>
              <w:rPr>
                <w:rFonts w:hint="eastAsia"/>
                <w:color w:val="auto"/>
                <w:lang w:val="en-US" w:eastAsia="zh-CN"/>
              </w:rPr>
              <w:t>1</w:t>
            </w:r>
          </w:p>
        </w:tc>
        <w:tc>
          <w:tcPr>
            <w:tcW w:w="5442" w:type="dxa"/>
            <w:gridSpan w:val="3"/>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olor w:val="auto"/>
                <w:sz w:val="24"/>
              </w:rPr>
            </w:pPr>
            <w:r>
              <w:rPr>
                <w:rFonts w:hint="eastAsia" w:ascii="方正书宋_GBK" w:eastAsia="方正书宋_GBK"/>
                <w:color w:val="auto"/>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3402" w:type="dxa"/>
            <w:vMerge w:val="restart"/>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支出内容</w:t>
            </w:r>
          </w:p>
        </w:tc>
        <w:tc>
          <w:tcPr>
            <w:tcW w:w="10913" w:type="dxa"/>
            <w:gridSpan w:val="6"/>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资</w:t>
            </w:r>
            <w:r>
              <w:rPr>
                <w:rFonts w:ascii="方正书宋_GBK" w:eastAsia="方正书宋_GBK"/>
                <w:b/>
                <w:color w:val="auto"/>
              </w:rPr>
              <w:t xml:space="preserve"> </w:t>
            </w:r>
            <w:r>
              <w:rPr>
                <w:rFonts w:hint="eastAsia" w:ascii="方正书宋_GBK" w:eastAsia="方正书宋_GBK"/>
                <w:b/>
                <w:color w:val="auto"/>
              </w:rPr>
              <w:t>金</w:t>
            </w:r>
            <w:r>
              <w:rPr>
                <w:rFonts w:ascii="方正书宋_GBK" w:eastAsia="方正书宋_GBK"/>
                <w:b/>
                <w:color w:val="auto"/>
              </w:rPr>
              <w:t xml:space="preserve"> </w:t>
            </w:r>
            <w:r>
              <w:rPr>
                <w:rFonts w:hint="eastAsia" w:ascii="方正书宋_GBK" w:eastAsia="方正书宋_GBK"/>
                <w:b/>
                <w:color w:val="auto"/>
              </w:rPr>
              <w:t>来</w:t>
            </w:r>
            <w:r>
              <w:rPr>
                <w:rFonts w:ascii="方正书宋_GBK" w:eastAsia="方正书宋_GBK"/>
                <w:b/>
                <w:color w:val="auto"/>
              </w:rPr>
              <w:t xml:space="preserve"> </w:t>
            </w:r>
            <w:r>
              <w:rPr>
                <w:rFonts w:hint="eastAsia" w:ascii="方正书宋_GBK" w:eastAsia="方正书宋_GBK"/>
                <w:b/>
                <w:color w:val="auto"/>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3402" w:type="dxa"/>
            <w:vMerge w:val="continue"/>
            <w:noWrap w:val="0"/>
            <w:vAlign w:val="center"/>
          </w:tcPr>
          <w:p>
            <w:pPr>
              <w:spacing w:line="300" w:lineRule="exact"/>
              <w:jc w:val="left"/>
              <w:outlineLvl w:val="1"/>
              <w:rPr>
                <w:rFonts w:eastAsia="方正仿宋_GBK"/>
                <w:color w:val="auto"/>
                <w:sz w:val="28"/>
              </w:rPr>
            </w:pPr>
          </w:p>
        </w:tc>
        <w:tc>
          <w:tcPr>
            <w:tcW w:w="1843"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合计</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一般公共预算</w:t>
            </w:r>
            <w:r>
              <w:rPr>
                <w:rFonts w:ascii="方正书宋_GBK" w:eastAsia="方正书宋_GBK"/>
                <w:b/>
                <w:color w:val="auto"/>
              </w:rPr>
              <w:t xml:space="preserve">  </w:t>
            </w:r>
            <w:r>
              <w:rPr>
                <w:rFonts w:hint="eastAsia" w:ascii="方正书宋_GBK" w:eastAsia="方正书宋_GBK"/>
                <w:b/>
                <w:color w:val="auto"/>
              </w:rPr>
              <w:t>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基金预算拨款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国有资本经营</w:t>
            </w:r>
            <w:r>
              <w:rPr>
                <w:rFonts w:ascii="方正书宋_GBK" w:eastAsia="方正书宋_GBK"/>
                <w:b/>
                <w:color w:val="auto"/>
              </w:rPr>
              <w:t xml:space="preserve">  </w:t>
            </w:r>
            <w:r>
              <w:rPr>
                <w:rFonts w:hint="eastAsia" w:ascii="方正书宋_GBK" w:eastAsia="方正书宋_GBK"/>
                <w:b/>
                <w:color w:val="auto"/>
              </w:rPr>
              <w:t>预算拨款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财政专户核拨</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合计</w:t>
            </w:r>
          </w:p>
        </w:tc>
        <w:tc>
          <w:tcPr>
            <w:tcW w:w="1843"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center"/>
              <w:rPr>
                <w:rFonts w:hint="eastAsia" w:ascii="方正书宋_GBK" w:eastAsia="方正书宋_GBK"/>
                <w:b/>
                <w:color w:val="auto"/>
              </w:rPr>
            </w:pPr>
            <w:r>
              <w:rPr>
                <w:rFonts w:hint="cs" w:ascii="方正书宋_GBK" w:eastAsia="方正书宋_GBK"/>
                <w:b/>
                <w:color w:val="auto"/>
                <w:cs/>
              </w:rPr>
              <w:t>“</w:t>
            </w:r>
            <w:r>
              <w:rPr>
                <w:rFonts w:hint="eastAsia" w:ascii="方正书宋_GBK" w:eastAsia="方正书宋_GBK"/>
                <w:b/>
                <w:color w:val="auto"/>
              </w:rPr>
              <w:t>三公</w:t>
            </w:r>
            <w:r>
              <w:rPr>
                <w:rFonts w:hint="cs" w:ascii="方正书宋_GBK" w:eastAsia="方正书宋_GBK"/>
                <w:b/>
                <w:color w:val="auto"/>
                <w:cs/>
              </w:rPr>
              <w:t>”</w:t>
            </w:r>
            <w:r>
              <w:rPr>
                <w:rFonts w:hint="eastAsia" w:ascii="方正书宋_GBK" w:eastAsia="方正书宋_GBK"/>
                <w:b/>
                <w:color w:val="auto"/>
              </w:rPr>
              <w:t>经费小计</w:t>
            </w:r>
          </w:p>
        </w:tc>
        <w:tc>
          <w:tcPr>
            <w:tcW w:w="1843" w:type="dxa"/>
            <w:noWrap w:val="0"/>
            <w:vAlign w:val="center"/>
          </w:tcPr>
          <w:p>
            <w:pPr>
              <w:spacing w:line="300" w:lineRule="exact"/>
              <w:jc w:val="right"/>
              <w:rPr>
                <w:rFonts w:hint="default" w:ascii="方正书宋_GBK" w:eastAsia="方正书宋_GBK"/>
                <w:b/>
                <w:color w:val="auto"/>
                <w:lang w:val="en-US" w:eastAsia="zh-CN"/>
              </w:rPr>
            </w:pPr>
            <w:r>
              <w:rPr>
                <w:rFonts w:hint="eastAsia" w:ascii="方正书宋_GBK" w:eastAsia="方正书宋_GBK"/>
                <w:b/>
                <w:color w:val="auto"/>
                <w:lang w:val="en-US" w:eastAsia="zh-CN"/>
              </w:rPr>
              <w:t>0.55</w:t>
            </w:r>
          </w:p>
        </w:tc>
        <w:tc>
          <w:tcPr>
            <w:tcW w:w="1814" w:type="dxa"/>
            <w:noWrap w:val="0"/>
            <w:vAlign w:val="center"/>
          </w:tcPr>
          <w:p>
            <w:pPr>
              <w:spacing w:line="300" w:lineRule="exact"/>
              <w:jc w:val="right"/>
              <w:rPr>
                <w:rFonts w:hint="default" w:ascii="方正书宋_GBK" w:eastAsia="方正书宋_GBK"/>
                <w:b/>
                <w:color w:val="auto"/>
                <w:lang w:val="en-US" w:eastAsia="zh-CN"/>
              </w:rPr>
            </w:pPr>
            <w:r>
              <w:rPr>
                <w:rFonts w:hint="eastAsia" w:ascii="方正书宋_GBK" w:eastAsia="方正书宋_GBK"/>
                <w:b/>
                <w:color w:val="auto"/>
                <w:lang w:val="en-US" w:eastAsia="zh-CN"/>
              </w:rPr>
              <w:t>0.55</w:t>
            </w: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cs" w:ascii="方正书宋_GBK" w:eastAsia="方正书宋_GBK"/>
                <w:color w:val="auto"/>
                <w:cs/>
              </w:rPr>
            </w:pPr>
            <w:r>
              <w:rPr>
                <w:rFonts w:hint="eastAsia" w:ascii="方正书宋_GBK" w:eastAsia="方正书宋_GBK"/>
                <w:color w:val="auto"/>
              </w:rPr>
              <w:t>一、因公出国（境）费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二、公务用车购置及运维费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ascii="方正书宋_GBK" w:eastAsia="方正书宋_GBK"/>
                <w:color w:val="auto"/>
              </w:rPr>
              <w:t xml:space="preserve">    </w:t>
            </w:r>
            <w:r>
              <w:rPr>
                <w:rFonts w:hint="eastAsia" w:ascii="方正书宋_GBK" w:eastAsia="方正书宋_GBK"/>
                <w:color w:val="auto"/>
              </w:rPr>
              <w:t>其中：公务用车购置费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ascii="方正书宋_GBK" w:eastAsia="方正书宋_GBK"/>
                <w:color w:val="auto"/>
              </w:rPr>
            </w:pPr>
            <w:r>
              <w:rPr>
                <w:rFonts w:ascii="方正书宋_GBK" w:eastAsia="方正书宋_GBK"/>
                <w:color w:val="auto"/>
              </w:rPr>
              <w:t xml:space="preserve">        </w:t>
            </w:r>
            <w:r>
              <w:rPr>
                <w:rFonts w:hint="eastAsia" w:ascii="方正书宋_GBK" w:eastAsia="方正书宋_GBK"/>
                <w:color w:val="auto"/>
              </w:rPr>
              <w:t>公务用车运行维护费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ascii="方正书宋_GBK" w:eastAsia="方正书宋_GBK"/>
                <w:color w:val="auto"/>
              </w:rPr>
            </w:pPr>
            <w:r>
              <w:rPr>
                <w:rFonts w:hint="eastAsia" w:ascii="方正书宋_GBK" w:eastAsia="方正书宋_GBK"/>
                <w:color w:val="auto"/>
              </w:rPr>
              <w:t>三、公务接待费</w:t>
            </w:r>
          </w:p>
        </w:tc>
        <w:tc>
          <w:tcPr>
            <w:tcW w:w="1843"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0.55</w:t>
            </w:r>
          </w:p>
        </w:tc>
        <w:tc>
          <w:tcPr>
            <w:tcW w:w="1814"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0.55</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四、会议费</w:t>
            </w:r>
          </w:p>
        </w:tc>
        <w:tc>
          <w:tcPr>
            <w:tcW w:w="1843"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五、培训费</w:t>
            </w:r>
          </w:p>
        </w:tc>
        <w:tc>
          <w:tcPr>
            <w:tcW w:w="1843"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bl>
    <w:p>
      <w:pPr>
        <w:spacing w:line="300" w:lineRule="exact"/>
        <w:jc w:val="left"/>
        <w:outlineLvl w:val="1"/>
        <w:rPr>
          <w:rFonts w:eastAsia="方正仿宋_GBK"/>
          <w:color w:val="auto"/>
          <w:sz w:val="28"/>
        </w:rPr>
        <w:sectPr>
          <w:pgSz w:w="16839" w:h="11907" w:orient="landscape"/>
          <w:pgMar w:top="1361" w:right="1020" w:bottom="1361" w:left="1020" w:header="851" w:footer="992" w:gutter="0"/>
          <w:cols w:space="720" w:num="1"/>
          <w:docGrid w:type="lines" w:linePitch="312" w:charSpace="0"/>
        </w:sectPr>
      </w:pPr>
    </w:p>
    <w:p>
      <w:pPr>
        <w:jc w:val="center"/>
        <w:outlineLvl w:val="4"/>
        <w:rPr>
          <w:color w:val="auto"/>
          <w:sz w:val="36"/>
          <w:szCs w:val="36"/>
        </w:rPr>
      </w:pPr>
      <w:r>
        <w:rPr>
          <w:rFonts w:ascii="方正小标宋_GBK" w:hAnsi="方正小标宋_GBK" w:eastAsia="方正小标宋_GBK" w:cs="方正小标宋_GBK"/>
          <w:color w:val="auto"/>
          <w:sz w:val="36"/>
          <w:szCs w:val="36"/>
        </w:rPr>
        <w:t>保定市自然资源和规划局满城区分局本级202</w:t>
      </w:r>
      <w:r>
        <w:rPr>
          <w:rFonts w:hint="eastAsia" w:ascii="方正小标宋_GBK" w:hAnsi="方正小标宋_GBK" w:eastAsia="方正小标宋_GBK" w:cs="方正小标宋_GBK"/>
          <w:color w:val="auto"/>
          <w:sz w:val="36"/>
          <w:szCs w:val="36"/>
          <w:lang w:val="en-US" w:eastAsia="zh-CN"/>
        </w:rPr>
        <w:t>1</w:t>
      </w:r>
      <w:r>
        <w:rPr>
          <w:rFonts w:ascii="方正小标宋_GBK" w:hAnsi="方正小标宋_GBK" w:eastAsia="方正小标宋_GBK" w:cs="方正小标宋_GBK"/>
          <w:color w:val="auto"/>
          <w:sz w:val="36"/>
          <w:szCs w:val="36"/>
        </w:rPr>
        <w:t>年单位预算信息公开情况说明</w:t>
      </w:r>
    </w:p>
    <w:p>
      <w:pPr>
        <w:spacing w:line="500" w:lineRule="exact"/>
        <w:ind w:firstLine="560"/>
        <w:rPr>
          <w:color w:val="auto"/>
        </w:rPr>
      </w:pPr>
      <w:r>
        <w:rPr>
          <w:rFonts w:eastAsia="方正仿宋_GBK"/>
          <w:color w:val="auto"/>
          <w:sz w:val="28"/>
        </w:rPr>
        <w:t>按照《</w:t>
      </w:r>
      <w:r>
        <w:rPr>
          <w:rFonts w:hint="eastAsia" w:eastAsia="方正仿宋_GBK"/>
          <w:color w:val="auto"/>
          <w:sz w:val="28"/>
          <w:lang w:eastAsia="zh-CN"/>
        </w:rPr>
        <w:t>中华人民共和国预算法</w:t>
      </w:r>
      <w:r>
        <w:rPr>
          <w:rFonts w:eastAsia="方正仿宋_GBK"/>
          <w:color w:val="auto"/>
          <w:sz w:val="28"/>
        </w:rPr>
        <w:t>》、《地方预决算公开操作规程》和《关于进一步推进预算公开工作的实施意见》规定，现将保定市自然资源和规划局满城区分局本级202</w:t>
      </w:r>
      <w:r>
        <w:rPr>
          <w:rFonts w:hint="eastAsia" w:eastAsia="方正仿宋_GBK"/>
          <w:color w:val="auto"/>
          <w:sz w:val="28"/>
          <w:lang w:val="en-US" w:eastAsia="zh-CN"/>
        </w:rPr>
        <w:t>1</w:t>
      </w:r>
      <w:r>
        <w:rPr>
          <w:rFonts w:eastAsia="方正仿宋_GBK"/>
          <w:color w:val="auto"/>
          <w:sz w:val="28"/>
        </w:rPr>
        <w:t>年单位预算公开如下：</w:t>
      </w:r>
    </w:p>
    <w:p>
      <w:pPr>
        <w:spacing w:before="10" w:after="10"/>
        <w:ind w:firstLine="640"/>
        <w:outlineLvl w:val="5"/>
        <w:rPr>
          <w:color w:val="auto"/>
        </w:rPr>
      </w:pPr>
      <w:r>
        <w:rPr>
          <w:rFonts w:ascii="黑体" w:hAnsi="黑体" w:eastAsia="黑体" w:cs="黑体"/>
          <w:color w:val="auto"/>
          <w:sz w:val="32"/>
        </w:rPr>
        <w:t>一、单位职责及机构设置情况</w:t>
      </w:r>
    </w:p>
    <w:p>
      <w:pPr>
        <w:ind w:firstLine="640"/>
        <w:rPr>
          <w:color w:val="auto"/>
        </w:rPr>
      </w:pPr>
      <w:r>
        <w:rPr>
          <w:rFonts w:ascii="方正楷体_GBK" w:hAnsi="方正楷体_GBK" w:eastAsia="方正楷体_GBK" w:cs="方正楷体_GBK"/>
          <w:b/>
          <w:color w:val="auto"/>
          <w:sz w:val="32"/>
        </w:rPr>
        <w:t>单位职责：</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1、组织编制和实施全</w:t>
      </w:r>
      <w:r>
        <w:rPr>
          <w:rFonts w:hint="eastAsia"/>
          <w:color w:val="auto"/>
          <w:lang w:eastAsia="zh-CN"/>
        </w:rPr>
        <w:t>区</w:t>
      </w:r>
      <w:r>
        <w:rPr>
          <w:color w:val="auto"/>
        </w:rPr>
        <w:t>土地利用总体规划和其他专项规划；参与审核报本级政府和上级政府审批的城镇总体规划；指导、审核各乡（镇）、村土地利用总体规划；组织矿产资源的调查评价，编制全</w:t>
      </w:r>
      <w:r>
        <w:rPr>
          <w:rFonts w:hint="eastAsia"/>
          <w:color w:val="auto"/>
          <w:lang w:eastAsia="zh-CN"/>
        </w:rPr>
        <w:t>区</w:t>
      </w:r>
      <w:r>
        <w:rPr>
          <w:color w:val="auto"/>
        </w:rPr>
        <w:t>矿产资源的保护与合理利用规划、地质勘查规划、地质灾害防治和地质遗迹保护规划；</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2、组织编制和实施全</w:t>
      </w:r>
      <w:r>
        <w:rPr>
          <w:rFonts w:hint="eastAsia"/>
          <w:color w:val="auto"/>
          <w:lang w:eastAsia="zh-CN"/>
        </w:rPr>
        <w:t>区</w:t>
      </w:r>
      <w:r>
        <w:rPr>
          <w:color w:val="auto"/>
        </w:rPr>
        <w:t>土地利用总体规划和其他专项规划；参与审核报本级政府和上级政府审批的城镇总体规划；指导、审核各乡（镇）、村土地利用总体规划；</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3、组织矿产资源的调查评价，编制全</w:t>
      </w:r>
      <w:r>
        <w:rPr>
          <w:rFonts w:hint="eastAsia"/>
          <w:color w:val="auto"/>
          <w:lang w:eastAsia="zh-CN"/>
        </w:rPr>
        <w:t>区</w:t>
      </w:r>
      <w:r>
        <w:rPr>
          <w:color w:val="auto"/>
        </w:rPr>
        <w:t>矿产资源的保护与合理利用规划、地质勘查规划、地质灾害防治和地质遗迹保护规划。监督检查全</w:t>
      </w:r>
      <w:r>
        <w:rPr>
          <w:rFonts w:hint="eastAsia"/>
          <w:color w:val="auto"/>
          <w:lang w:eastAsia="zh-CN"/>
        </w:rPr>
        <w:t>区</w:t>
      </w:r>
      <w:r>
        <w:rPr>
          <w:color w:val="auto"/>
        </w:rPr>
        <w:t>土地资源和矿产资源规划执行情况；依法保护土地、矿产资源所有者和使用者的合法权益，承办并组织调处本县的权属纠纷，查处违法案件；</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4、拟订并实施全</w:t>
      </w:r>
      <w:r>
        <w:rPr>
          <w:rFonts w:hint="eastAsia"/>
          <w:color w:val="auto"/>
          <w:lang w:eastAsia="zh-CN"/>
        </w:rPr>
        <w:t>区</w:t>
      </w:r>
      <w:r>
        <w:rPr>
          <w:color w:val="auto"/>
        </w:rPr>
        <w:t>耕地特殊保护和鼓励耕地开发政策；实施农用地用途管制，组织基本农田保护，指导未利用土地开发、土地整理、土地复垦和开发耕地监督工作，确保耕地面积只能增加、不能减少；</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5、管理全</w:t>
      </w:r>
      <w:r>
        <w:rPr>
          <w:rFonts w:hint="eastAsia"/>
          <w:color w:val="auto"/>
          <w:lang w:eastAsia="zh-CN"/>
        </w:rPr>
        <w:t>区</w:t>
      </w:r>
      <w:r>
        <w:rPr>
          <w:color w:val="auto"/>
        </w:rPr>
        <w:t>城乡地籍工作，实施地籍管理办法；组织土地资源调查、地籍调查、土地统计和动态监测；负责土地确权、土地纠纷调处、城乡地籍和土地登记、发证等工作；</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6、按规定组织实施土地使用权出让、租赁、作价出资、转让、交易和政府收购管理办法；负责农村集体非农用地使用权流转工作；</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7、负责全</w:t>
      </w:r>
      <w:r>
        <w:rPr>
          <w:rFonts w:hint="eastAsia"/>
          <w:color w:val="auto"/>
          <w:lang w:eastAsia="zh-CN"/>
        </w:rPr>
        <w:t>区</w:t>
      </w:r>
      <w:r>
        <w:rPr>
          <w:color w:val="auto"/>
        </w:rPr>
        <w:t>土地的分等定级和基准地价、标定地价评测；审核评估机构从事土地评估的资格；承担报国务院、省、市、区政府审批的各类用地审查报批工作；</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8、依法管理全</w:t>
      </w:r>
      <w:r>
        <w:rPr>
          <w:rFonts w:hint="eastAsia"/>
          <w:color w:val="auto"/>
          <w:lang w:eastAsia="zh-CN"/>
        </w:rPr>
        <w:t>区</w:t>
      </w:r>
      <w:r>
        <w:rPr>
          <w:color w:val="auto"/>
        </w:rPr>
        <w:t>矿产资源探矿权、采矿权的初审、登记发证和转让初审登记；对矿产资源开发、利用、保护实施监督管理；承担矿产资源储量管理工作，管理地质资料；实施全</w:t>
      </w:r>
      <w:r>
        <w:rPr>
          <w:rFonts w:hint="eastAsia"/>
          <w:color w:val="auto"/>
          <w:lang w:eastAsia="zh-CN"/>
        </w:rPr>
        <w:t>区</w:t>
      </w:r>
      <w:r>
        <w:rPr>
          <w:color w:val="auto"/>
        </w:rPr>
        <w:t>地质勘查行业管理，审查确定地质勘查单位资格，管理地勘成果；</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9、组织协调本行政区域内地质灾害防治；保护地质环境；按权限认定并管理具有重要价值的地质遗迹保护区；</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10、贯彻执行国家《</w:t>
      </w:r>
      <w:r>
        <w:rPr>
          <w:rFonts w:hint="eastAsia"/>
          <w:color w:val="auto"/>
          <w:lang w:eastAsia="zh-CN"/>
        </w:rPr>
        <w:t>中华人民共和国预算法</w:t>
      </w:r>
      <w:r>
        <w:rPr>
          <w:color w:val="auto"/>
        </w:rPr>
        <w:t>》等法律法规，对本行政区域内的测绘规划及其实施情况依法进行管理和监督检查；按法定权限对测绘基准、测绘系统、测绘成果进行管理；对界限测绘进行初审；按法定权限负责标志的保护工作；依法查处违反国家</w:t>
      </w:r>
      <w:r>
        <w:rPr>
          <w:rFonts w:hint="eastAsia"/>
          <w:color w:val="auto"/>
          <w:lang w:eastAsia="zh-CN"/>
        </w:rPr>
        <w:t>中华人民共和国预算法</w:t>
      </w:r>
      <w:r>
        <w:rPr>
          <w:color w:val="auto"/>
        </w:rPr>
        <w:t>律法规的违法行为；</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11、依法征收有关专项规费并负责专项管理；</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12、组织开展土地资源、矿产资源等自然资源的对外合作与交流；</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13、承办</w:t>
      </w:r>
      <w:r>
        <w:rPr>
          <w:rFonts w:hint="eastAsia"/>
          <w:color w:val="auto"/>
          <w:lang w:eastAsia="zh-CN"/>
        </w:rPr>
        <w:t>区</w:t>
      </w:r>
      <w:r>
        <w:rPr>
          <w:color w:val="auto"/>
        </w:rPr>
        <w:t>政府交办的其他事项；</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color w:val="auto"/>
        </w:rPr>
        <w:t>14、拟定区本级不动产登记相关工作办法、规定；指导监督全区土地、房屋、林地等不动产确权、登记、发证工作；负责组织开展区本级不动产确权、登记、发证等工作；负责全区不动产权利证书的监管；规范、监管不动产登记中介组织和行为；负责区本级各类不动产登记资料的收集、整理、共享、汇交管理和归档，指导开展不动产登记资料社会查询服务；牵头建立区本级不动产登记信息管理基础平台；调处本行政区域内的土地权属纠纷；组织区本级不动产权籍调查工作。</w:t>
      </w:r>
    </w:p>
    <w:p>
      <w:pPr>
        <w:ind w:firstLine="640"/>
        <w:rPr>
          <w:rFonts w:ascii="方正楷体_GBK" w:hAnsi="方正楷体_GBK" w:eastAsia="方正楷体_GBK" w:cs="方正楷体_GBK"/>
          <w:b/>
          <w:color w:val="auto"/>
          <w:sz w:val="32"/>
        </w:rPr>
      </w:pPr>
    </w:p>
    <w:p>
      <w:pPr>
        <w:pStyle w:val="30"/>
        <w:rPr>
          <w:color w:val="auto"/>
        </w:rPr>
      </w:pPr>
    </w:p>
    <w:p>
      <w:pPr>
        <w:ind w:firstLine="640"/>
        <w:rPr>
          <w:color w:val="auto"/>
        </w:rPr>
      </w:pPr>
      <w:r>
        <w:rPr>
          <w:rFonts w:ascii="方正楷体_GBK" w:hAnsi="方正楷体_GBK" w:eastAsia="方正楷体_GBK" w:cs="方正楷体_GBK"/>
          <w:b/>
          <w:color w:val="auto"/>
          <w:sz w:val="32"/>
        </w:rPr>
        <w:t>机构设置：</w:t>
      </w:r>
    </w:p>
    <w:p>
      <w:pPr>
        <w:jc w:val="center"/>
        <w:rPr>
          <w:color w:val="auto"/>
        </w:rPr>
      </w:pPr>
      <w:r>
        <w:rPr>
          <w:rFonts w:ascii="方正小标宋_GBK" w:hAnsi="方正小标宋_GBK" w:eastAsia="方正小标宋_GBK" w:cs="方正小标宋_GBK"/>
          <w:color w:val="auto"/>
          <w:sz w:val="32"/>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5"/>
              <w:rPr>
                <w:color w:val="auto"/>
              </w:rPr>
            </w:pPr>
            <w:r>
              <w:rPr>
                <w:color w:val="auto"/>
              </w:rPr>
              <w:t>单位名称</w:t>
            </w:r>
          </w:p>
        </w:tc>
        <w:tc>
          <w:tcPr>
            <w:tcW w:w="1843" w:type="dxa"/>
            <w:noWrap w:val="0"/>
            <w:vAlign w:val="center"/>
          </w:tcPr>
          <w:p>
            <w:pPr>
              <w:pStyle w:val="15"/>
              <w:rPr>
                <w:color w:val="auto"/>
              </w:rPr>
            </w:pPr>
            <w:r>
              <w:rPr>
                <w:color w:val="auto"/>
              </w:rPr>
              <w:t>单位性质</w:t>
            </w:r>
          </w:p>
        </w:tc>
        <w:tc>
          <w:tcPr>
            <w:tcW w:w="2126" w:type="dxa"/>
            <w:noWrap w:val="0"/>
            <w:vAlign w:val="center"/>
          </w:tcPr>
          <w:p>
            <w:pPr>
              <w:pStyle w:val="15"/>
              <w:rPr>
                <w:color w:val="auto"/>
              </w:rPr>
            </w:pPr>
            <w:r>
              <w:rPr>
                <w:color w:val="auto"/>
              </w:rPr>
              <w:t>单位规格</w:t>
            </w:r>
          </w:p>
        </w:tc>
        <w:tc>
          <w:tcPr>
            <w:tcW w:w="3827" w:type="dxa"/>
            <w:noWrap w:val="0"/>
            <w:vAlign w:val="center"/>
          </w:tcPr>
          <w:p>
            <w:pPr>
              <w:pStyle w:val="15"/>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7"/>
              <w:rPr>
                <w:color w:val="auto"/>
              </w:rPr>
            </w:pPr>
            <w:r>
              <w:rPr>
                <w:color w:val="auto"/>
              </w:rPr>
              <w:t>保定市自然资源和规划局满城区分局本级</w:t>
            </w:r>
          </w:p>
        </w:tc>
        <w:tc>
          <w:tcPr>
            <w:tcW w:w="1843" w:type="dxa"/>
            <w:noWrap w:val="0"/>
            <w:vAlign w:val="center"/>
          </w:tcPr>
          <w:p>
            <w:pPr>
              <w:pStyle w:val="18"/>
              <w:rPr>
                <w:color w:val="auto"/>
              </w:rPr>
            </w:pPr>
            <w:r>
              <w:rPr>
                <w:color w:val="auto"/>
              </w:rPr>
              <w:t>行政</w:t>
            </w:r>
          </w:p>
        </w:tc>
        <w:tc>
          <w:tcPr>
            <w:tcW w:w="2126" w:type="dxa"/>
            <w:noWrap w:val="0"/>
            <w:vAlign w:val="center"/>
          </w:tcPr>
          <w:p>
            <w:pPr>
              <w:pStyle w:val="18"/>
              <w:rPr>
                <w:color w:val="auto"/>
              </w:rPr>
            </w:pPr>
            <w:r>
              <w:rPr>
                <w:color w:val="auto"/>
              </w:rPr>
              <w:t>正科级</w:t>
            </w:r>
          </w:p>
        </w:tc>
        <w:tc>
          <w:tcPr>
            <w:tcW w:w="3827" w:type="dxa"/>
            <w:noWrap w:val="0"/>
            <w:vAlign w:val="center"/>
          </w:tcPr>
          <w:p>
            <w:pPr>
              <w:pStyle w:val="18"/>
              <w:rPr>
                <w:color w:val="auto"/>
              </w:rPr>
            </w:pPr>
            <w:r>
              <w:rPr>
                <w:color w:val="auto"/>
              </w:rPr>
              <w:t>财政拨款</w:t>
            </w:r>
          </w:p>
        </w:tc>
      </w:tr>
    </w:tbl>
    <w:p>
      <w:pPr>
        <w:spacing w:before="10" w:after="10"/>
        <w:ind w:firstLine="640"/>
        <w:outlineLvl w:val="5"/>
        <w:rPr>
          <w:color w:val="auto"/>
        </w:rPr>
      </w:pPr>
      <w:r>
        <w:rPr>
          <w:rFonts w:ascii="黑体" w:hAnsi="黑体" w:eastAsia="黑体" w:cs="黑体"/>
          <w:color w:val="auto"/>
          <w:sz w:val="32"/>
        </w:rPr>
        <w:t>二、单位预算安排的总体情况</w:t>
      </w:r>
    </w:p>
    <w:p>
      <w:pPr>
        <w:spacing w:line="500" w:lineRule="exact"/>
        <w:ind w:firstLine="560"/>
        <w:rPr>
          <w:rFonts w:eastAsia="方正仿宋_GBK"/>
          <w:color w:val="auto"/>
          <w:sz w:val="28"/>
        </w:rPr>
      </w:pPr>
      <w:r>
        <w:rPr>
          <w:rFonts w:eastAsia="方正仿宋_GBK"/>
          <w:color w:val="auto"/>
          <w:sz w:val="28"/>
        </w:rPr>
        <w:t>按照预算管理有关规定，目前我单位预算的编制实行综合预算管理，即全部收入和支出都反映在预算中。</w:t>
      </w:r>
    </w:p>
    <w:p>
      <w:pPr>
        <w:pStyle w:val="2"/>
        <w:spacing w:before="6"/>
        <w:ind w:firstLine="640" w:firstLineChars="200"/>
        <w:rPr>
          <w:color w:val="auto"/>
        </w:rPr>
      </w:pPr>
      <w:r>
        <w:rPr>
          <w:color w:val="auto"/>
        </w:rPr>
        <w:t>1、收入说明</w:t>
      </w:r>
    </w:p>
    <w:p>
      <w:pPr>
        <w:pStyle w:val="2"/>
        <w:spacing w:before="149"/>
        <w:ind w:firstLine="608" w:firstLineChars="200"/>
        <w:rPr>
          <w:color w:val="auto"/>
          <w:spacing w:val="-3"/>
          <w:w w:val="95"/>
        </w:rPr>
      </w:pPr>
      <w:r>
        <w:rPr>
          <w:color w:val="auto"/>
          <w:w w:val="95"/>
        </w:rPr>
        <w:t>反映本</w:t>
      </w:r>
      <w:r>
        <w:rPr>
          <w:rFonts w:hint="eastAsia"/>
          <w:color w:val="auto"/>
          <w:w w:val="95"/>
          <w:lang w:eastAsia="zh-CN"/>
        </w:rPr>
        <w:t>单位</w:t>
      </w:r>
      <w:r>
        <w:rPr>
          <w:color w:val="auto"/>
          <w:w w:val="95"/>
        </w:rPr>
        <w:t>当年全部收入。202</w:t>
      </w:r>
      <w:r>
        <w:rPr>
          <w:rFonts w:hint="eastAsia"/>
          <w:color w:val="auto"/>
          <w:w w:val="95"/>
          <w:lang w:val="en-US" w:eastAsia="zh-CN"/>
        </w:rPr>
        <w:t>1</w:t>
      </w:r>
      <w:r>
        <w:rPr>
          <w:color w:val="auto"/>
          <w:spacing w:val="10"/>
          <w:w w:val="95"/>
        </w:rPr>
        <w:t xml:space="preserve"> 年预算收入</w:t>
      </w:r>
      <w:r>
        <w:rPr>
          <w:rFonts w:ascii="方正书宋_GBK" w:eastAsia="方正书宋_GBK"/>
          <w:b w:val="0"/>
          <w:bCs/>
          <w:color w:val="auto"/>
        </w:rPr>
        <w:t>43499.25</w:t>
      </w:r>
      <w:r>
        <w:rPr>
          <w:color w:val="auto"/>
          <w:spacing w:val="2"/>
          <w:w w:val="95"/>
        </w:rPr>
        <w:t xml:space="preserve">万元，其中：一般公共预算收入 </w:t>
      </w:r>
      <w:r>
        <w:rPr>
          <w:rFonts w:hint="eastAsia"/>
          <w:color w:val="auto"/>
          <w:w w:val="95"/>
          <w:lang w:val="en-US" w:eastAsia="zh-CN"/>
        </w:rPr>
        <w:t>2269.09</w:t>
      </w:r>
      <w:r>
        <w:rPr>
          <w:color w:val="auto"/>
          <w:spacing w:val="9"/>
          <w:w w:val="95"/>
        </w:rPr>
        <w:t>万元</w:t>
      </w:r>
      <w:r>
        <w:rPr>
          <w:rFonts w:hint="eastAsia"/>
          <w:color w:val="auto"/>
          <w:spacing w:val="9"/>
          <w:w w:val="95"/>
          <w:lang w:eastAsia="zh-CN"/>
        </w:rPr>
        <w:t>，</w:t>
      </w:r>
      <w:r>
        <w:rPr>
          <w:rFonts w:hint="eastAsia"/>
          <w:color w:val="auto"/>
          <w:spacing w:val="9"/>
          <w:w w:val="95"/>
        </w:rPr>
        <w:t>政府</w:t>
      </w:r>
      <w:r>
        <w:rPr>
          <w:color w:val="auto"/>
          <w:spacing w:val="-1"/>
          <w:w w:val="95"/>
        </w:rPr>
        <w:t>基金预算收入</w:t>
      </w:r>
      <w:r>
        <w:rPr>
          <w:rFonts w:ascii="方正书宋_GBK" w:eastAsia="方正书宋_GBK"/>
          <w:color w:val="auto"/>
        </w:rPr>
        <w:t>41100.00</w:t>
      </w:r>
      <w:r>
        <w:rPr>
          <w:color w:val="auto"/>
          <w:w w:val="95"/>
        </w:rPr>
        <w:t>万元，国有资本经营预算收入 0 万元，财政专户核拨收入 0 万元，单位资金收入 0 万元，</w:t>
      </w:r>
      <w:r>
        <w:rPr>
          <w:color w:val="auto"/>
          <w:spacing w:val="-2"/>
          <w:w w:val="95"/>
        </w:rPr>
        <w:t xml:space="preserve">上年结转结余 </w:t>
      </w:r>
      <w:r>
        <w:rPr>
          <w:color w:val="auto"/>
          <w:w w:val="95"/>
        </w:rPr>
        <w:t>0</w:t>
      </w:r>
      <w:r>
        <w:rPr>
          <w:color w:val="auto"/>
          <w:spacing w:val="-3"/>
          <w:w w:val="95"/>
        </w:rPr>
        <w:t xml:space="preserve"> 万元。</w:t>
      </w:r>
    </w:p>
    <w:p>
      <w:pPr>
        <w:pStyle w:val="2"/>
        <w:spacing w:before="149"/>
        <w:ind w:firstLine="640" w:firstLineChars="200"/>
        <w:rPr>
          <w:color w:val="auto"/>
        </w:rPr>
      </w:pPr>
      <w:r>
        <w:rPr>
          <w:color w:val="auto"/>
        </w:rPr>
        <w:t>2、支出说明</w:t>
      </w:r>
    </w:p>
    <w:p>
      <w:pPr>
        <w:pStyle w:val="2"/>
        <w:spacing w:before="3" w:line="328" w:lineRule="auto"/>
        <w:ind w:right="739" w:firstLine="640" w:firstLineChars="200"/>
        <w:jc w:val="both"/>
        <w:rPr>
          <w:color w:val="auto"/>
        </w:rPr>
      </w:pPr>
      <w:r>
        <w:rPr>
          <w:color w:val="auto"/>
        </w:rPr>
        <w:t>收支预算总表支出栏、基本支出表、项目支出表按经济分类和支出功能分类科目编制，反映保定市</w:t>
      </w:r>
      <w:r>
        <w:rPr>
          <w:rFonts w:hint="eastAsia"/>
          <w:color w:val="auto"/>
        </w:rPr>
        <w:t>自然资源和规划局满城区分局</w:t>
      </w:r>
      <w:r>
        <w:rPr>
          <w:color w:val="auto"/>
          <w:w w:val="95"/>
        </w:rPr>
        <w:t>年度</w:t>
      </w:r>
      <w:r>
        <w:rPr>
          <w:rFonts w:hint="eastAsia"/>
          <w:color w:val="auto"/>
          <w:w w:val="95"/>
          <w:lang w:eastAsia="zh-CN"/>
        </w:rPr>
        <w:t>单位</w:t>
      </w:r>
      <w:r>
        <w:rPr>
          <w:color w:val="auto"/>
          <w:w w:val="95"/>
        </w:rPr>
        <w:t>预算中支出预算的总体情况。202</w:t>
      </w:r>
      <w:r>
        <w:rPr>
          <w:rFonts w:hint="eastAsia"/>
          <w:color w:val="auto"/>
          <w:w w:val="95"/>
          <w:lang w:val="en-US" w:eastAsia="zh-CN"/>
        </w:rPr>
        <w:t>1</w:t>
      </w:r>
      <w:r>
        <w:rPr>
          <w:color w:val="auto"/>
          <w:spacing w:val="40"/>
          <w:w w:val="95"/>
        </w:rPr>
        <w:t>年支出预算</w:t>
      </w:r>
      <w:r>
        <w:rPr>
          <w:rFonts w:ascii="方正书宋_GBK" w:eastAsia="方正书宋_GBK"/>
          <w:b w:val="0"/>
          <w:bCs/>
          <w:color w:val="auto"/>
        </w:rPr>
        <w:t>43499.25</w:t>
      </w:r>
      <w:r>
        <w:rPr>
          <w:color w:val="auto"/>
          <w:spacing w:val="14"/>
          <w:w w:val="95"/>
        </w:rPr>
        <w:t>万元，其中基本支</w:t>
      </w:r>
      <w:r>
        <w:rPr>
          <w:color w:val="auto"/>
          <w:spacing w:val="1"/>
          <w:w w:val="95"/>
        </w:rPr>
        <w:t>出</w:t>
      </w:r>
      <w:r>
        <w:rPr>
          <w:rFonts w:ascii="方正书宋_GBK" w:eastAsia="方正书宋_GBK"/>
          <w:color w:val="auto"/>
        </w:rPr>
        <w:t>339.59</w:t>
      </w:r>
      <w:r>
        <w:rPr>
          <w:color w:val="auto"/>
          <w:w w:val="95"/>
        </w:rPr>
        <w:t>万元</w:t>
      </w:r>
      <w:r>
        <w:rPr>
          <w:rFonts w:hint="eastAsia"/>
          <w:color w:val="auto"/>
          <w:w w:val="95"/>
          <w:lang w:eastAsia="zh-CN"/>
        </w:rPr>
        <w:t>，包括人员经费预算为</w:t>
      </w:r>
      <w:r>
        <w:rPr>
          <w:rFonts w:hint="eastAsia"/>
          <w:color w:val="auto"/>
          <w:w w:val="95"/>
          <w:lang w:val="en-US" w:eastAsia="zh-CN"/>
        </w:rPr>
        <w:t>312万元和日常公用经费27.59万元</w:t>
      </w:r>
      <w:r>
        <w:rPr>
          <w:color w:val="auto"/>
          <w:w w:val="95"/>
        </w:rPr>
        <w:t>；项目支出</w:t>
      </w:r>
      <w:r>
        <w:rPr>
          <w:rFonts w:ascii="方正书宋_GBK" w:eastAsia="方正书宋_GBK"/>
          <w:color w:val="auto"/>
        </w:rPr>
        <w:t>43159.66</w:t>
      </w:r>
      <w:r>
        <w:rPr>
          <w:color w:val="auto"/>
          <w:w w:val="95"/>
        </w:rPr>
        <w:t>万元，</w:t>
      </w:r>
      <w:r>
        <w:rPr>
          <w:rFonts w:hint="eastAsia"/>
          <w:color w:val="auto"/>
          <w:w w:val="95"/>
          <w:lang w:eastAsia="zh-CN"/>
        </w:rPr>
        <w:t>包括一般公共预算项目支出</w:t>
      </w:r>
      <w:r>
        <w:rPr>
          <w:rFonts w:hint="eastAsia"/>
          <w:color w:val="auto"/>
          <w:w w:val="95"/>
          <w:lang w:val="en-US" w:eastAsia="zh-CN"/>
        </w:rPr>
        <w:t>2049.66万元和</w:t>
      </w:r>
      <w:r>
        <w:rPr>
          <w:rFonts w:hint="eastAsia"/>
          <w:color w:val="auto"/>
          <w:w w:val="95"/>
        </w:rPr>
        <w:t>政府基金</w:t>
      </w:r>
      <w:r>
        <w:rPr>
          <w:rFonts w:hint="eastAsia"/>
          <w:color w:val="auto"/>
          <w:w w:val="95"/>
          <w:lang w:eastAsia="zh-CN"/>
        </w:rPr>
        <w:t>预算</w:t>
      </w:r>
      <w:r>
        <w:rPr>
          <w:rFonts w:hint="eastAsia"/>
          <w:color w:val="auto"/>
          <w:w w:val="95"/>
        </w:rPr>
        <w:t>支出</w:t>
      </w:r>
      <w:r>
        <w:rPr>
          <w:rFonts w:hint="eastAsia"/>
          <w:color w:val="auto"/>
          <w:lang w:val="en-US" w:eastAsia="zh-CN"/>
        </w:rPr>
        <w:t>41110</w:t>
      </w:r>
      <w:r>
        <w:rPr>
          <w:rFonts w:hint="eastAsia"/>
          <w:color w:val="auto"/>
          <w:w w:val="95"/>
        </w:rPr>
        <w:t>万元。</w:t>
      </w:r>
    </w:p>
    <w:p>
      <w:pPr>
        <w:pStyle w:val="2"/>
        <w:numPr>
          <w:ilvl w:val="0"/>
          <w:numId w:val="0"/>
        </w:numPr>
        <w:spacing w:line="405" w:lineRule="exact"/>
        <w:ind w:firstLine="640" w:firstLineChars="200"/>
        <w:rPr>
          <w:color w:val="auto"/>
        </w:rPr>
      </w:pPr>
      <w:r>
        <w:rPr>
          <w:rFonts w:hint="eastAsia"/>
          <w:color w:val="auto"/>
          <w:lang w:val="en-US" w:eastAsia="zh-CN"/>
        </w:rPr>
        <w:t>3、</w:t>
      </w:r>
      <w:r>
        <w:rPr>
          <w:color w:val="auto"/>
        </w:rPr>
        <w:t>比上年增减情况</w:t>
      </w:r>
    </w:p>
    <w:p>
      <w:pPr>
        <w:pStyle w:val="2"/>
        <w:spacing w:before="3" w:line="328" w:lineRule="auto"/>
        <w:ind w:right="739" w:firstLine="640" w:firstLineChars="200"/>
        <w:jc w:val="both"/>
        <w:rPr>
          <w:color w:val="auto"/>
          <w:lang w:val="en-US" w:eastAsia="uk-UA"/>
        </w:rPr>
      </w:pPr>
      <w:r>
        <w:rPr>
          <w:color w:val="auto"/>
          <w:lang w:val="en-US" w:eastAsia="uk-UA"/>
        </w:rPr>
        <w:t>202</w:t>
      </w:r>
      <w:r>
        <w:rPr>
          <w:rFonts w:hint="eastAsia"/>
          <w:color w:val="auto"/>
          <w:lang w:val="en-US" w:eastAsia="zh-CN"/>
        </w:rPr>
        <w:t>1</w:t>
      </w:r>
      <w:r>
        <w:rPr>
          <w:color w:val="auto"/>
          <w:lang w:val="en-US" w:eastAsia="uk-UA"/>
        </w:rPr>
        <w:t xml:space="preserve">年预算收支安排 </w:t>
      </w:r>
      <w:r>
        <w:rPr>
          <w:rFonts w:hint="eastAsia"/>
          <w:color w:val="auto"/>
          <w:lang w:val="en-US" w:eastAsia="zh-CN"/>
        </w:rPr>
        <w:t>43499.25</w:t>
      </w:r>
      <w:r>
        <w:rPr>
          <w:color w:val="auto"/>
          <w:lang w:val="en-US" w:eastAsia="uk-UA"/>
        </w:rPr>
        <w:t>万元，</w:t>
      </w:r>
      <w:r>
        <w:rPr>
          <w:rFonts w:hint="eastAsia"/>
          <w:color w:val="auto"/>
          <w:lang w:val="en-US" w:eastAsia="zh-CN"/>
        </w:rPr>
        <w:t>较上年减少2061.63万元，</w:t>
      </w:r>
      <w:r>
        <w:rPr>
          <w:color w:val="auto"/>
          <w:lang w:val="en-US" w:eastAsia="uk-UA"/>
        </w:rPr>
        <w:t>主要为人员</w:t>
      </w:r>
      <w:r>
        <w:rPr>
          <w:rFonts w:hint="eastAsia"/>
          <w:color w:val="auto"/>
          <w:lang w:val="en-US" w:eastAsia="uk-UA"/>
        </w:rPr>
        <w:t>调出</w:t>
      </w:r>
      <w:r>
        <w:rPr>
          <w:rFonts w:hint="eastAsia"/>
          <w:color w:val="auto"/>
          <w:lang w:val="en-US" w:eastAsia="zh-CN"/>
        </w:rPr>
        <w:t>、</w:t>
      </w:r>
      <w:r>
        <w:rPr>
          <w:rFonts w:hint="eastAsia"/>
          <w:color w:val="auto"/>
          <w:lang w:val="en-US" w:eastAsia="uk-UA"/>
        </w:rPr>
        <w:t>增加矿山恢复治理项目</w:t>
      </w:r>
      <w:r>
        <w:rPr>
          <w:rFonts w:hint="eastAsia"/>
          <w:color w:val="auto"/>
          <w:lang w:val="en-US" w:eastAsia="zh-CN"/>
        </w:rPr>
        <w:t>、征地和拆迁补偿</w:t>
      </w:r>
      <w:r>
        <w:rPr>
          <w:rFonts w:hint="eastAsia"/>
          <w:color w:val="auto"/>
          <w:lang w:val="en-US" w:eastAsia="uk-UA"/>
        </w:rPr>
        <w:t>支出</w:t>
      </w:r>
      <w:r>
        <w:rPr>
          <w:rFonts w:hint="eastAsia"/>
          <w:color w:val="auto"/>
          <w:lang w:val="en-US" w:eastAsia="zh-CN"/>
        </w:rPr>
        <w:t>、土地开发支出</w:t>
      </w:r>
      <w:r>
        <w:rPr>
          <w:color w:val="auto"/>
          <w:lang w:val="en-US" w:eastAsia="uk-UA"/>
        </w:rPr>
        <w:t>等。</w:t>
      </w:r>
    </w:p>
    <w:p>
      <w:pPr>
        <w:pStyle w:val="2"/>
        <w:spacing w:before="3" w:line="328" w:lineRule="auto"/>
        <w:ind w:right="739" w:firstLine="640" w:firstLineChars="200"/>
        <w:jc w:val="both"/>
        <w:rPr>
          <w:color w:val="auto"/>
        </w:rPr>
        <w:sectPr>
          <w:pgSz w:w="16840" w:h="11900" w:orient="landscape"/>
          <w:pgMar w:top="1100" w:right="958" w:bottom="981" w:left="924" w:header="0" w:footer="709" w:gutter="0"/>
          <w:cols w:space="720" w:num="1"/>
          <w:rtlGutter w:val="0"/>
          <w:docGrid w:linePitch="1" w:charSpace="0"/>
        </w:sectPr>
      </w:pPr>
    </w:p>
    <w:p>
      <w:pPr>
        <w:numPr>
          <w:ilvl w:val="0"/>
          <w:numId w:val="1"/>
        </w:numPr>
        <w:spacing w:before="10" w:after="10"/>
        <w:ind w:firstLine="640"/>
        <w:outlineLvl w:val="5"/>
        <w:rPr>
          <w:rFonts w:ascii="黑体" w:hAnsi="黑体" w:eastAsia="黑体" w:cs="黑体"/>
          <w:color w:val="auto"/>
          <w:sz w:val="32"/>
        </w:rPr>
      </w:pPr>
      <w:r>
        <w:rPr>
          <w:rFonts w:ascii="黑体" w:hAnsi="黑体" w:eastAsia="黑体" w:cs="黑体"/>
          <w:color w:val="auto"/>
          <w:sz w:val="32"/>
        </w:rPr>
        <w:t>机关运行经费安排情况</w:t>
      </w:r>
    </w:p>
    <w:p>
      <w:pPr>
        <w:pStyle w:val="2"/>
        <w:spacing w:before="110" w:line="292" w:lineRule="auto"/>
        <w:ind w:right="737" w:firstLine="608" w:firstLineChars="200"/>
        <w:rPr>
          <w:color w:val="auto"/>
        </w:rPr>
      </w:pPr>
      <w:r>
        <w:rPr>
          <w:color w:val="auto"/>
          <w:w w:val="95"/>
        </w:rPr>
        <w:t>202</w:t>
      </w:r>
      <w:r>
        <w:rPr>
          <w:rFonts w:hint="eastAsia"/>
          <w:color w:val="auto"/>
          <w:w w:val="95"/>
          <w:lang w:val="en-US" w:eastAsia="zh-CN"/>
        </w:rPr>
        <w:t>1</w:t>
      </w:r>
      <w:r>
        <w:rPr>
          <w:color w:val="auto"/>
          <w:spacing w:val="12"/>
          <w:w w:val="95"/>
        </w:rPr>
        <w:t>年，我</w:t>
      </w:r>
      <w:r>
        <w:rPr>
          <w:rFonts w:hint="eastAsia"/>
          <w:color w:val="auto"/>
          <w:spacing w:val="12"/>
          <w:w w:val="95"/>
          <w:lang w:eastAsia="zh-CN"/>
        </w:rPr>
        <w:t>单位</w:t>
      </w:r>
      <w:r>
        <w:rPr>
          <w:color w:val="auto"/>
          <w:spacing w:val="12"/>
          <w:w w:val="95"/>
        </w:rPr>
        <w:t>运行经费共计安排</w:t>
      </w:r>
      <w:r>
        <w:rPr>
          <w:rFonts w:hint="eastAsia"/>
          <w:color w:val="auto"/>
          <w:lang w:val="en-US" w:eastAsia="zh-CN"/>
        </w:rPr>
        <w:t>27.59</w:t>
      </w:r>
      <w:r>
        <w:rPr>
          <w:color w:val="auto"/>
          <w:w w:val="95"/>
        </w:rPr>
        <w:t>万元，主要用于日常办公费、办公用房水电费、办公用房取暖</w:t>
      </w:r>
      <w:r>
        <w:rPr>
          <w:color w:val="auto"/>
        </w:rPr>
        <w:t>费、等日常运行支出。</w:t>
      </w:r>
    </w:p>
    <w:p>
      <w:pPr>
        <w:pStyle w:val="2"/>
        <w:numPr>
          <w:ilvl w:val="0"/>
          <w:numId w:val="1"/>
        </w:numPr>
        <w:spacing w:before="110" w:line="292" w:lineRule="auto"/>
        <w:ind w:left="0" w:leftChars="0" w:right="737" w:firstLine="640" w:firstLineChars="0"/>
        <w:rPr>
          <w:rFonts w:ascii="黑体" w:hAnsi="黑体" w:eastAsia="黑体" w:cs="黑体"/>
          <w:color w:val="auto"/>
          <w:sz w:val="32"/>
        </w:rPr>
      </w:pPr>
      <w:r>
        <w:rPr>
          <w:rFonts w:ascii="黑体" w:hAnsi="黑体" w:eastAsia="黑体" w:cs="黑体"/>
          <w:color w:val="auto"/>
          <w:sz w:val="32"/>
        </w:rPr>
        <w:t>财政拨款“三公”经费预算情况及增减变化原因</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rFonts w:ascii="Times New Roman" w:hAnsi="Times New Roman" w:eastAsia="方正仿宋_GBK" w:cs="Times New Roman"/>
          <w:color w:val="auto"/>
          <w:sz w:val="28"/>
          <w:szCs w:val="24"/>
          <w:lang w:val="en-US" w:eastAsia="uk-UA" w:bidi="ar-SA"/>
        </w:rPr>
      </w:pPr>
      <w:r>
        <w:rPr>
          <w:color w:val="auto"/>
          <w:w w:val="95"/>
          <w:lang w:val="en-US" w:eastAsia="uk-UA"/>
        </w:rPr>
        <w:t>202</w:t>
      </w:r>
      <w:r>
        <w:rPr>
          <w:rFonts w:hint="eastAsia"/>
          <w:color w:val="auto"/>
          <w:w w:val="95"/>
          <w:lang w:val="en-US" w:eastAsia="zh-CN"/>
        </w:rPr>
        <w:t>1</w:t>
      </w:r>
      <w:r>
        <w:rPr>
          <w:color w:val="auto"/>
          <w:w w:val="95"/>
          <w:lang w:val="en-US" w:eastAsia="uk-UA"/>
        </w:rPr>
        <w:t>年</w:t>
      </w:r>
      <w:r>
        <w:rPr>
          <w:rFonts w:hint="eastAsia"/>
          <w:color w:val="auto"/>
          <w:w w:val="95"/>
          <w:lang w:val="en-US" w:eastAsia="zh-CN"/>
        </w:rPr>
        <w:t>，</w:t>
      </w:r>
      <w:r>
        <w:rPr>
          <w:color w:val="auto"/>
          <w:w w:val="95"/>
          <w:lang w:val="en-US" w:eastAsia="uk-UA"/>
        </w:rPr>
        <w:t>我</w:t>
      </w:r>
      <w:r>
        <w:rPr>
          <w:rFonts w:hint="eastAsia"/>
          <w:color w:val="auto"/>
          <w:w w:val="95"/>
          <w:lang w:val="en-US" w:eastAsia="zh-CN"/>
        </w:rPr>
        <w:t>单位</w:t>
      </w:r>
      <w:r>
        <w:rPr>
          <w:color w:val="auto"/>
          <w:w w:val="95"/>
          <w:lang w:val="en-US" w:eastAsia="uk-UA"/>
        </w:rPr>
        <w:t>财政拨款“三公”经费预算安排</w:t>
      </w:r>
      <w:r>
        <w:rPr>
          <w:rFonts w:hint="eastAsia"/>
          <w:color w:val="auto"/>
          <w:w w:val="95"/>
          <w:lang w:val="en-US" w:eastAsia="zh-CN"/>
        </w:rPr>
        <w:t>0.55</w:t>
      </w:r>
      <w:r>
        <w:rPr>
          <w:color w:val="auto"/>
          <w:w w:val="95"/>
          <w:lang w:val="en-US" w:eastAsia="uk-UA"/>
        </w:rPr>
        <w:t>万元，</w:t>
      </w:r>
      <w:r>
        <w:rPr>
          <w:rFonts w:hint="eastAsia"/>
          <w:color w:val="auto"/>
          <w:w w:val="95"/>
          <w:lang w:val="en-US" w:eastAsia="zh-CN"/>
        </w:rPr>
        <w:t>全部为公务接待费,全部为新增。</w:t>
      </w:r>
    </w:p>
    <w:p>
      <w:pPr>
        <w:numPr>
          <w:ilvl w:val="0"/>
          <w:numId w:val="1"/>
        </w:numPr>
        <w:spacing w:before="10" w:after="10"/>
        <w:ind w:left="0" w:leftChars="0" w:firstLine="640" w:firstLineChars="0"/>
        <w:outlineLvl w:val="5"/>
        <w:rPr>
          <w:rFonts w:ascii="黑体" w:hAnsi="黑体" w:eastAsia="黑体" w:cs="黑体"/>
          <w:color w:val="auto"/>
          <w:sz w:val="32"/>
        </w:rPr>
      </w:pPr>
      <w:r>
        <w:rPr>
          <w:rFonts w:ascii="黑体" w:hAnsi="黑体" w:eastAsia="黑体" w:cs="黑体"/>
          <w:color w:val="auto"/>
          <w:sz w:val="32"/>
        </w:rPr>
        <w:t>预算绩效信息</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第一部分</w:t>
      </w:r>
      <w:r>
        <w:rPr>
          <w:rFonts w:hint="eastAsia"/>
          <w:color w:val="auto"/>
          <w:w w:val="95"/>
          <w:lang w:val="en-US" w:eastAsia="zh-CN"/>
        </w:rPr>
        <w:t>单位</w:t>
      </w:r>
      <w:r>
        <w:rPr>
          <w:color w:val="auto"/>
          <w:w w:val="95"/>
          <w:lang w:val="en-US" w:eastAsia="uk-UA"/>
        </w:rPr>
        <w:t>整体绩效目标</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一</w:t>
      </w:r>
      <w:r>
        <w:rPr>
          <w:rFonts w:hint="eastAsia"/>
          <w:color w:val="auto"/>
          <w:w w:val="95"/>
          <w:lang w:val="en-US" w:eastAsia="zh-CN"/>
        </w:rPr>
        <w:t>、</w:t>
      </w:r>
      <w:r>
        <w:rPr>
          <w:color w:val="auto"/>
          <w:w w:val="95"/>
          <w:lang w:val="en-US" w:eastAsia="uk-UA"/>
        </w:rPr>
        <w:t>总体绩效目标</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202</w:t>
      </w:r>
      <w:r>
        <w:rPr>
          <w:rFonts w:hint="eastAsia"/>
          <w:color w:val="auto"/>
          <w:w w:val="95"/>
          <w:lang w:val="en-US" w:eastAsia="zh-CN"/>
        </w:rPr>
        <w:t>1</w:t>
      </w:r>
      <w:r>
        <w:rPr>
          <w:color w:val="auto"/>
          <w:w w:val="95"/>
          <w:lang w:val="en-US" w:eastAsia="uk-UA"/>
        </w:rPr>
        <w:t>年是落实</w:t>
      </w:r>
      <w:r>
        <w:rPr>
          <w:rFonts w:hint="eastAsia"/>
          <w:color w:val="auto"/>
          <w:w w:val="95"/>
          <w:lang w:val="en-US" w:eastAsia="zh-CN"/>
        </w:rPr>
        <w:t>党的</w:t>
      </w:r>
      <w:r>
        <w:rPr>
          <w:color w:val="auto"/>
          <w:w w:val="95"/>
          <w:lang w:val="en-US" w:eastAsia="uk-UA"/>
        </w:rPr>
        <w:t>十九大精神的重要一年，也是京津冀协同发展全面推进的关键之年，也是打造保定西花园、建设京南保西魅力新区的夯基固本之年。我们要围绕区委区政府中心工作和省厅的部署要求，牢固树立和贯彻落实新发展理念，适应把握引领经济发展新常态，坚持尽职尽责保护国土资源、节约集约利用国土资源、尽心尽力维护群众权益，加强管理，深化改革，扎实开展作风整顿，为“把保定建设成为创新驱动经济强市、实现保定崛起和复兴”</w:t>
      </w:r>
      <w:r>
        <w:rPr>
          <w:rFonts w:hint="eastAsia"/>
          <w:color w:val="auto"/>
          <w:w w:val="95"/>
          <w:lang w:val="en-US" w:eastAsia="zh-CN"/>
        </w:rPr>
        <w:t>作</w:t>
      </w:r>
      <w:r>
        <w:rPr>
          <w:color w:val="auto"/>
          <w:w w:val="95"/>
          <w:lang w:val="en-US" w:eastAsia="uk-UA"/>
        </w:rPr>
        <w:t>出更大贡献。</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rFonts w:hint="eastAsia"/>
          <w:color w:val="auto"/>
          <w:w w:val="95"/>
          <w:lang w:val="en-US" w:eastAsia="zh-CN"/>
        </w:rPr>
        <w:t>（</w:t>
      </w:r>
      <w:r>
        <w:rPr>
          <w:color w:val="auto"/>
          <w:w w:val="95"/>
          <w:lang w:val="en-US" w:eastAsia="uk-UA"/>
        </w:rPr>
        <w:t>一</w:t>
      </w:r>
      <w:r>
        <w:rPr>
          <w:rFonts w:hint="eastAsia"/>
          <w:color w:val="auto"/>
          <w:w w:val="95"/>
          <w:lang w:val="en-US" w:eastAsia="zh-CN"/>
        </w:rPr>
        <w:t>）</w:t>
      </w:r>
      <w:r>
        <w:rPr>
          <w:color w:val="auto"/>
          <w:w w:val="95"/>
          <w:lang w:val="en-US" w:eastAsia="uk-UA"/>
        </w:rPr>
        <w:t>关于土地整治工作。</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1、认真贯彻落实《中共中央国务院关于加强耕地保护和改进占补平衡的意见》，坚持补充耕地数量与提高质量并重的原则，严格落实耕地占补平衡主体责任，强化补充耕地任务，对没立项的抓紧立项，已立项的占补项目要确保质量、抓紧实施，拓展补充耕地渠道，统筹实施土地整治，新增耕地经核定后可用于落实补充耕地任务。</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2、要做好基本农田保护工作。全面落实永久基本农田划定“落地块、明责任、设标志、建表册、入图库”五项任务，及时做好数据库审核备案。</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二）关于露天矿山污染深度整治工作。在去年工作的基础上，做好已完工项目的后期监管与维护，加强矿山地质环境恢复治理日常监管，督促生产矿山企业严格落实矿产资源开发利用方案、矿山土质环境保护与土地复垦方案，实现边开采、边治理、边恢复、边复垦。</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（三）关于执法监察工作。一是对202</w:t>
      </w:r>
      <w:r>
        <w:rPr>
          <w:rFonts w:hint="eastAsia"/>
          <w:color w:val="auto"/>
          <w:w w:val="95"/>
          <w:lang w:val="en-US" w:eastAsia="zh-CN"/>
        </w:rPr>
        <w:t>1</w:t>
      </w:r>
      <w:r>
        <w:rPr>
          <w:color w:val="auto"/>
          <w:w w:val="95"/>
          <w:lang w:val="en-US" w:eastAsia="uk-UA"/>
        </w:rPr>
        <w:t>年度以前的违法用地继续完成“清零”任务，能拆则拆，能补则补，对符合规划的要抓紧完善用地手续，确保202</w:t>
      </w:r>
      <w:r>
        <w:rPr>
          <w:rFonts w:hint="eastAsia"/>
          <w:color w:val="auto"/>
          <w:w w:val="95"/>
          <w:lang w:val="en-US" w:eastAsia="zh-CN"/>
        </w:rPr>
        <w:t>1</w:t>
      </w:r>
      <w:r>
        <w:rPr>
          <w:color w:val="auto"/>
          <w:w w:val="95"/>
          <w:lang w:val="en-US" w:eastAsia="uk-UA"/>
        </w:rPr>
        <w:t>年全年占用耕地“零”违法。二是严厉打击新增违法用地、非法采矿、盗采砂石行为，建立“网格化”监管机制，重拳出击，以雷霆之力迅速拆除违法建筑及设施，将违法占地行为消除在萌芽状态。</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四）关于不动产统一登记工作。全力推进不动产登记工作，完善工作流程，实现登记机构、登记簿册、登记依据、信息平台“四统一”。建立归属清晰、权责明确、保护严格、流转顺畅的不动产统一登记体系。推进农村宅基地和集体建设用地确权发证工作。</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五）关于土地节约集约利用工作。积极开展开发区内土地集约利用评价工作和耕地质量更新评价工作；积极跑部进厅，争取新增建设用地指标；深入挖潜盘活建设用地存量，全力推进新民居建设的拆旧工作，破解增减挂钩政策；加大对闲置土地的处置力度，提高低效土地利用率，多渠道保障项目用地。对批而未供土地进行逐宗梳理，根据每个地块的情况制定供地方案，对有条件的地块加快供地进度，确保供地率。</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六）关于露天矿山企业主动退出工作。严格落实《中共保定市满城区委保定市满城区人民政府关于鼓励露天矿山主动关闭退出工作的实施意见》（满字[2016]12号）文件，加快推进露天矿山企业有序退出。探索矿山企业“去产能”工程，构建交易平台，通过矿山整合集中和矿山减量化管理，大力消减矿山企业数量，缓解矿山退出政府资金压力。</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七）关于地理信息工作。“数字满城地理空间框架建设”项目，要积极做好地理信息服务保障工作，认真做好完善维护测绘基准、基础地理信息数据生产、开展地理国情监测、建立应急测绘保障体系、丰富地理信息公共服务产品等工作，为促进“十三五”基础测绘发展奠定基础。</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八）关于安全生产和地质灾害防治工作。加强对全区地质灾害隐患点的监管，严格落实省厅对警示牌的相关要求，重新设立地质灾害警示牌，全面落实群测群防和巡查监测制度，坚持雨前排查、雨中巡查、雨后复查，切实加强预警预报，开展地质灾害知识培训和应急演练，做好应急处置，有效避免或减轻地质灾害造成的人员伤亡和财产损失。</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九）关于信访稳定工作。一是强化重点人员的排查稳控，制定有效稳控措施，确保不出现漏查失控问题。二是推进“入村访宣”工作，主动开展重点约访、带案下访，最大限度地把矛盾解决在基层，把人员吸附在当地。</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二</w:t>
      </w:r>
      <w:r>
        <w:rPr>
          <w:rFonts w:hint="eastAsia"/>
          <w:color w:val="auto"/>
          <w:w w:val="95"/>
          <w:lang w:val="en-US" w:eastAsia="zh-CN"/>
        </w:rPr>
        <w:t>、</w:t>
      </w:r>
      <w:r>
        <w:rPr>
          <w:color w:val="auto"/>
          <w:w w:val="95"/>
          <w:lang w:val="en-US" w:eastAsia="uk-UA"/>
        </w:rPr>
        <w:t>分项绩效目标</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(一)贯彻执行国家、省、市有关法律、行政法规和政策保证其在本行政区域内的有效实施;拟订土地资源、矿产资源等自然资源规范性文件和政策性规定,并负责实施和监督检查;负责有关行政复议工作。</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二)组织编制和实施全区土地利用总体规划和其他专项规划;参与审核报本级政府和上级政府审批的城镇总体规划;指导审核各乡(镇)村土地利用总体规划;组织矿产资源的调查评价,编制全区矿产资源的保护与合理利用规划、地质勘查规划、地质灾害防治和地质遗迹保护规划。</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(三)监督检查全区土地资源和矿产资源规划执行情况;依法保护土地、矿产资源所有者和使用者的合法权益,承办并组织调处本区的权属纠纷,查处违法案件。</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(四)拟订并实施全县耕地特殊保护和鼓励耕地开发政策实施农用地用途管制,组织基本农田保护,指导未利用土地开发、土地整理、土地复垦和开发耕地监督工作,确保耕地面积只能增加、不能减少。</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(五)管理全区城乡地籍工作,实施地管理办法;组织土地资源调查、地籍调查、土地统计和动态监测;负责土地确权、土地纠纷调处、城乡地籍和土地登记、发证等工作。</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(六)按规定组织实施土地使用权出让、租货、作价出资转让、交易和政府收购管理办法;负责农村集体非农用地使用权流转工作。</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(七)负责全县土地的分等定级和基准地价标定地价评测;审核评估机构从事土地评估的资格;承担报国务院、省和市政府审批的各类用地审查报批工作。</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八)依法管理全县矿产资源探矿权、采矿权的初审、登记发证和转让初审登记;对矿产资源开发、利用、保护实施监督管理;承担矿产资源储量管理工作,管理地质资料;实施全县地质勘查行业管理,审查确定地质勘查单位资格,管理地勘成果。</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(九)组织协调本行政区域内地质灾害防治;保护地质环境；按权限认定并管理具有重要价值的地质遗迹保护区。</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(十)贯彻执行国家《</w:t>
      </w:r>
      <w:r>
        <w:rPr>
          <w:rFonts w:hint="eastAsia"/>
          <w:color w:val="auto"/>
          <w:w w:val="95"/>
          <w:lang w:val="en-US" w:eastAsia="zh-CN"/>
        </w:rPr>
        <w:t>中华人民共和国预算法</w:t>
      </w:r>
      <w:r>
        <w:rPr>
          <w:color w:val="auto"/>
          <w:w w:val="95"/>
          <w:lang w:val="en-US" w:eastAsia="uk-UA"/>
        </w:rPr>
        <w:t>》等法律法规,对本行政区域内的测绘规划及其实施情况依法进行管理和监督检查;按法定权限对测绘基准、测绘系统、测绘成果进行管理;对界限测绘进行初审;按法定权限负责标志的保护工作;依法查处违反国家</w:t>
      </w:r>
      <w:r>
        <w:rPr>
          <w:rFonts w:hint="eastAsia"/>
          <w:color w:val="auto"/>
          <w:w w:val="95"/>
          <w:lang w:val="en-US" w:eastAsia="zh-CN"/>
        </w:rPr>
        <w:t>中华人民共和国预算法</w:t>
      </w:r>
      <w:r>
        <w:rPr>
          <w:color w:val="auto"/>
          <w:w w:val="95"/>
          <w:lang w:val="en-US" w:eastAsia="uk-UA"/>
        </w:rPr>
        <w:t>律法规的违法行为。</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(十一)依法征收有关专项规费并负责专项管理。</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(十二)组织开展土地资源、矿产资源等自然资源的对外合作与交流。</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三</w:t>
      </w:r>
      <w:r>
        <w:rPr>
          <w:rFonts w:hint="eastAsia"/>
          <w:color w:val="auto"/>
          <w:w w:val="95"/>
          <w:lang w:val="en-US" w:eastAsia="zh-CN"/>
        </w:rPr>
        <w:t>、</w:t>
      </w:r>
      <w:r>
        <w:rPr>
          <w:color w:val="auto"/>
          <w:w w:val="95"/>
          <w:lang w:val="en-US" w:eastAsia="uk-UA"/>
        </w:rPr>
        <w:t>工作保障措施</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rFonts w:hint="eastAsia"/>
          <w:color w:val="auto"/>
          <w:w w:val="95"/>
          <w:lang w:val="en-US" w:eastAsia="zh-CN"/>
        </w:rPr>
        <w:t>（一）</w:t>
      </w:r>
      <w:r>
        <w:rPr>
          <w:color w:val="auto"/>
          <w:w w:val="95"/>
          <w:lang w:val="en-US" w:eastAsia="uk-UA"/>
        </w:rPr>
        <w:t>完善自然资源法制化建设</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全面深入贯彻党的依法治国的基本方略，建立内容协调、程序严谨、衔接有序、高效实用的自然资源和规划法制化体系。建立权责明晰、行为规范、监督有力的执法体制机制，明确职权法定工作机制，严守权力边界，依照法定权限行使权力。建立健全权力清单、责任清单制度。运用法治思维推动自然资源和规划事业发展，结合本地实际，加强法制建设。实行法律顾问制度，加强普法教育，树立法治思维、依法行政，精准执法。</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rFonts w:hint="eastAsia"/>
          <w:color w:val="auto"/>
          <w:w w:val="95"/>
          <w:lang w:val="en-US" w:eastAsia="zh-CN"/>
        </w:rPr>
        <w:t>（二）</w:t>
      </w:r>
      <w:r>
        <w:rPr>
          <w:color w:val="auto"/>
          <w:w w:val="95"/>
          <w:lang w:val="en-US" w:eastAsia="uk-UA"/>
        </w:rPr>
        <w:t>加强预算绩效管理</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落实全面预算绩效管理要求，将事前绩效评估、绩效目标设定、绩效跟踪、绩效评价及结果运用纳入预算编制、执行、监督全过程。围绕部门职责、发展规划设定绩效目标，按要求开展部门预算绩效评价工作，对评价中发现的问题及时整改，推动提高部门整体绩效管理水平。</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rFonts w:hint="eastAsia"/>
          <w:color w:val="auto"/>
          <w:w w:val="95"/>
          <w:lang w:val="en-US" w:eastAsia="zh-CN"/>
        </w:rPr>
        <w:t>（三）</w:t>
      </w:r>
      <w:r>
        <w:rPr>
          <w:color w:val="auto"/>
          <w:w w:val="95"/>
          <w:lang w:val="en-US" w:eastAsia="uk-UA"/>
        </w:rPr>
        <w:t>精准编制预算</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对政策规定和标准调整的支出据实编制，保障部门履行职责所需经费，精准测算，科学编制，明确业务单位预算绩效管理职责，督促有关单位加快执行进度。规范财政资金使用和管理，强化内部控制制度建设，更好地发挥财政资金的使用效益。</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rFonts w:hint="eastAsia"/>
          <w:color w:val="auto"/>
          <w:w w:val="95"/>
          <w:lang w:val="en-US" w:eastAsia="zh-CN"/>
        </w:rPr>
        <w:t>（四）</w:t>
      </w:r>
      <w:r>
        <w:rPr>
          <w:color w:val="auto"/>
          <w:w w:val="95"/>
          <w:lang w:val="en-US" w:eastAsia="uk-UA"/>
        </w:rPr>
        <w:t>加强人才队伍建设</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通过优化机构配置，学习相关政策法规，不断加强人才队伍建设。</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rFonts w:hint="eastAsia"/>
          <w:color w:val="auto"/>
          <w:w w:val="95"/>
          <w:lang w:val="en-US" w:eastAsia="zh-CN"/>
        </w:rPr>
        <w:t>（五）</w:t>
      </w:r>
      <w:r>
        <w:rPr>
          <w:color w:val="auto"/>
          <w:w w:val="95"/>
          <w:lang w:val="en-US" w:eastAsia="uk-UA"/>
        </w:rPr>
        <w:t>加强内控、规范财务资产管理</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08" w:firstLineChars="200"/>
        <w:jc w:val="both"/>
        <w:textAlignment w:val="auto"/>
        <w:rPr>
          <w:color w:val="auto"/>
          <w:w w:val="95"/>
          <w:lang w:val="en-US" w:eastAsia="uk-UA"/>
        </w:rPr>
      </w:pPr>
      <w:r>
        <w:rPr>
          <w:color w:val="auto"/>
          <w:w w:val="95"/>
          <w:lang w:val="en-US" w:eastAsia="uk-UA"/>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numPr>
          <w:ilvl w:val="0"/>
          <w:numId w:val="0"/>
        </w:numPr>
        <w:spacing w:before="10" w:after="10"/>
        <w:ind w:firstLine="2570" w:firstLineChars="800"/>
        <w:outlineLvl w:val="5"/>
        <w:rPr>
          <w:rFonts w:hint="default" w:eastAsia="宋体"/>
          <w:b/>
          <w:bCs/>
          <w:color w:val="auto"/>
          <w:lang w:val="en-US" w:eastAsia="zh-CN"/>
        </w:rPr>
      </w:pPr>
      <w:r>
        <w:rPr>
          <w:rFonts w:hint="eastAsia" w:eastAsia="宋体"/>
          <w:b/>
          <w:bCs/>
          <w:color w:val="auto"/>
          <w:sz w:val="32"/>
          <w:szCs w:val="32"/>
          <w:lang w:eastAsia="zh-CN"/>
        </w:rPr>
        <w:t>第二</w:t>
      </w:r>
      <w:r>
        <w:rPr>
          <w:rFonts w:hint="eastAsia" w:eastAsia="宋体"/>
          <w:b/>
          <w:bCs/>
          <w:color w:val="auto"/>
          <w:sz w:val="32"/>
          <w:szCs w:val="32"/>
          <w:lang w:val="en-US" w:eastAsia="zh-CN"/>
        </w:rPr>
        <w:t>单位项目绩效目标</w:t>
      </w:r>
    </w:p>
    <w:p>
      <w:pPr>
        <w:ind w:firstLine="560" w:firstLineChars="200"/>
        <w:jc w:val="left"/>
        <w:outlineLvl w:val="3"/>
        <w:rPr>
          <w:rFonts w:ascii="宋体" w:hAnsi="宋体" w:cs="Times New Roman"/>
          <w:b w:val="0"/>
          <w:bCs/>
          <w:color w:val="auto"/>
          <w:kern w:val="2"/>
          <w:sz w:val="28"/>
          <w:szCs w:val="24"/>
        </w:rPr>
      </w:pPr>
      <w:bookmarkStart w:id="3" w:name="_Toc70322049"/>
      <w:r>
        <w:rPr>
          <w:rFonts w:hint="eastAsia" w:ascii="宋体" w:hAnsi="宋体" w:cs="Times New Roman"/>
          <w:b w:val="0"/>
          <w:bCs/>
          <w:color w:val="auto"/>
          <w:kern w:val="2"/>
          <w:sz w:val="28"/>
          <w:szCs w:val="24"/>
        </w:rPr>
        <w:t>1.2021年省级矿山地质环境治理恢复项目保财资环（2020）145号绩效目标表</w:t>
      </w:r>
      <w:bookmarkEnd w:id="3"/>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1、2021年省级矿山地质环境治理恢复项目保财资环（2020）145号绩效目标表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1306212107ON61SGG4WO1</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年省级矿山地质环境治理恢复项目保财资环（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145</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1745.11</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1745.11</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w:t>
            </w:r>
            <w:r>
              <w:rPr>
                <w:rFonts w:ascii="宋体" w:hAnsi="宋体" w:cs="Times New Roman"/>
                <w:b w:val="0"/>
                <w:bCs/>
                <w:color w:val="auto"/>
                <w:kern w:val="2"/>
                <w:szCs w:val="24"/>
              </w:rPr>
              <w:t>2021</w:t>
            </w:r>
            <w:r>
              <w:rPr>
                <w:rFonts w:hint="eastAsia" w:ascii="宋体" w:hAnsi="宋体" w:cs="Times New Roman"/>
                <w:b w:val="0"/>
                <w:bCs/>
                <w:color w:val="auto"/>
                <w:kern w:val="2"/>
                <w:szCs w:val="24"/>
              </w:rPr>
              <w:t>年责任主体灭失矿山迹地治理。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75.00%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消除地质灾害隐患，恢复生态环境。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完成责任主体灭失矿山</w:t>
            </w:r>
            <w:r>
              <w:rPr>
                <w:rFonts w:ascii="宋体" w:hAnsi="宋体" w:cs="Times New Roman"/>
                <w:b w:val="0"/>
                <w:bCs/>
                <w:color w:val="auto"/>
                <w:kern w:val="2"/>
                <w:szCs w:val="24"/>
              </w:rPr>
              <w:t>16</w:t>
            </w:r>
            <w:r>
              <w:rPr>
                <w:rFonts w:hint="eastAsia" w:ascii="宋体" w:hAnsi="宋体" w:cs="Times New Roman"/>
                <w:b w:val="0"/>
                <w:bCs/>
                <w:color w:val="auto"/>
                <w:kern w:val="2"/>
                <w:szCs w:val="24"/>
              </w:rPr>
              <w:t>处，面积</w:t>
            </w:r>
            <w:r>
              <w:rPr>
                <w:rFonts w:ascii="宋体" w:hAnsi="宋体" w:cs="Times New Roman"/>
                <w:b w:val="0"/>
                <w:bCs/>
                <w:color w:val="auto"/>
                <w:kern w:val="2"/>
                <w:szCs w:val="24"/>
              </w:rPr>
              <w:t>2053</w:t>
            </w:r>
            <w:r>
              <w:rPr>
                <w:rFonts w:hint="eastAsia" w:ascii="宋体" w:hAnsi="宋体" w:cs="Times New Roman"/>
                <w:b w:val="0"/>
                <w:bCs/>
                <w:color w:val="auto"/>
                <w:kern w:val="2"/>
                <w:szCs w:val="24"/>
              </w:rPr>
              <w:t>亩，资金及时拨付到位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治理面积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治理责任主体灭失矿山的面积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2053</w:t>
            </w:r>
            <w:r>
              <w:rPr>
                <w:rFonts w:hint="eastAsia" w:ascii="宋体" w:hAnsi="宋体" w:cs="Times New Roman"/>
                <w:b w:val="0"/>
                <w:bCs/>
                <w:color w:val="auto"/>
                <w:kern w:val="2"/>
                <w:szCs w:val="24"/>
              </w:rPr>
              <w:t>亩</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修复治理的程度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修复治理后的地质环境稳定程度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显著提升</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及时编制方案</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按时编制并启动</w:t>
            </w:r>
            <w:r>
              <w:rPr>
                <w:rFonts w:ascii="宋体" w:hAnsi="宋体" w:cs="Times New Roman"/>
                <w:b w:val="0"/>
                <w:bCs/>
                <w:color w:val="auto"/>
                <w:kern w:val="2"/>
                <w:szCs w:val="24"/>
              </w:rPr>
              <w:t>2021</w:t>
            </w:r>
            <w:r>
              <w:rPr>
                <w:rFonts w:hint="eastAsia" w:ascii="宋体" w:hAnsi="宋体" w:cs="Times New Roman"/>
                <w:b w:val="0"/>
                <w:bCs/>
                <w:color w:val="auto"/>
                <w:kern w:val="2"/>
                <w:szCs w:val="24"/>
              </w:rPr>
              <w:t>年度实施方案</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补助标准</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治理修复矿山每亩的补助标准</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8500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实施区域历史遗留工矿废弃地复垦利用率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实施区域矿山地质灾害隐患</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实施区域矿山地质灾害隐患</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下降</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实施区域受益人群满意度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80%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4" w:name="_Toc70322050"/>
      <w:r>
        <w:rPr>
          <w:rFonts w:hint="eastAsia" w:ascii="宋体" w:hAnsi="宋体" w:cs="Times New Roman"/>
          <w:b w:val="0"/>
          <w:bCs/>
          <w:color w:val="auto"/>
          <w:kern w:val="2"/>
          <w:sz w:val="28"/>
          <w:szCs w:val="24"/>
        </w:rPr>
        <w:t>2.2016—2019年满城区耕地质量等级调查评价更新工作费用绩效目标表</w:t>
      </w:r>
      <w:bookmarkEnd w:id="4"/>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2、2016—2019年满城区耕地质量等级调查评价更新工作费用绩效目标表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130621212G5H6D8B4TG9Z</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2016—2019</w:t>
            </w:r>
            <w:r>
              <w:rPr>
                <w:rFonts w:hint="eastAsia" w:ascii="宋体" w:hAnsi="宋体" w:cs="Times New Roman"/>
                <w:b w:val="0"/>
                <w:bCs/>
                <w:color w:val="auto"/>
                <w:kern w:val="2"/>
                <w:szCs w:val="24"/>
              </w:rPr>
              <w:t>年满城区耕地质量等级调查评价更新工作费用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用于耕地质量等级调查评价更新工作经费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核实耕地质量等级变化</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更新评价数据库并形成报告</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更新数量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更新耕地质量等级数据库的数量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个</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准确率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耕地质量等级调查数据库准确率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及时性</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调查评价更新费拨付到位率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成本费用</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更新数据库的费用</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9.2</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收入增加率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通过耕地质量等级调查，使农民合理利用耕地，提高农民的收入率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2%</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影响率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通过耕地质量等级调查，使耕地等级层次分明，可以合理利用各类耕地，从对社会产生的影响率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群众的满意度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5" w:name="_Toc70322051"/>
      <w:r>
        <w:rPr>
          <w:rFonts w:hint="eastAsia" w:ascii="宋体" w:hAnsi="宋体" w:cs="Times New Roman"/>
          <w:b w:val="0"/>
          <w:bCs/>
          <w:color w:val="auto"/>
          <w:kern w:val="2"/>
          <w:sz w:val="28"/>
          <w:szCs w:val="24"/>
        </w:rPr>
        <w:t>3.2021年森林生态效益补偿项目保财资环（2020）139号绩效目标表</w:t>
      </w:r>
      <w:bookmarkEnd w:id="5"/>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3、2021年森林生态效益补偿项目保财资环（2020）139号绩效目标表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130621213FAOC2OOSENUG</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年森林生态效益补偿项目保财资环（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139</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16.89</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16.89</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用于公益林补贴。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通过生态效益补偿，提高森林覆盖率，改善生态环境。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资金年底前及时补偿到项目实施单位。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补贴亩数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涉及公益林补贴的亩数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万亩</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验收合格率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公益林补贴项目验收合格率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公益林补贴资金到位率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补助标准</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亩均补助标准</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14.07</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收入增加</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受公益林补贴的单位和集体的收入增加多少</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提高森林覆盖率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通过公益林的管护等提高的森林覆盖率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0.01%</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受公益林补贴的单位和集体的满意度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6" w:name="_Toc70322052"/>
      <w:r>
        <w:rPr>
          <w:rFonts w:hint="eastAsia" w:ascii="宋体" w:hAnsi="宋体" w:cs="Times New Roman"/>
          <w:b w:val="0"/>
          <w:bCs/>
          <w:color w:val="auto"/>
          <w:kern w:val="2"/>
          <w:sz w:val="28"/>
          <w:szCs w:val="24"/>
        </w:rPr>
        <w:t>4.（综）2021年土地出让前期报批费用及土地补偿款绩效目标表</w:t>
      </w:r>
      <w:bookmarkEnd w:id="6"/>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4、（综）2021年土地出让前期报批费用及土地补偿款绩效目标表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130621214FKB4V2X3HWV6</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w:t>
            </w:r>
            <w:r>
              <w:rPr>
                <w:rFonts w:ascii="宋体" w:hAnsi="宋体" w:cs="Times New Roman"/>
                <w:b w:val="0"/>
                <w:bCs/>
                <w:color w:val="auto"/>
                <w:kern w:val="2"/>
                <w:szCs w:val="24"/>
              </w:rPr>
              <w:t>2021</w:t>
            </w:r>
            <w:r>
              <w:rPr>
                <w:rFonts w:hint="eastAsia" w:ascii="宋体" w:hAnsi="宋体" w:cs="Times New Roman"/>
                <w:b w:val="0"/>
                <w:bCs/>
                <w:color w:val="auto"/>
                <w:kern w:val="2"/>
                <w:szCs w:val="24"/>
              </w:rPr>
              <w:t>年土地出让前期报批费用及土地补偿款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41100.00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41100.00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发放土地补偿款及用于前期报批费用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到</w:t>
            </w:r>
            <w:r>
              <w:rPr>
                <w:rFonts w:ascii="宋体" w:hAnsi="宋体" w:cs="Times New Roman"/>
                <w:b w:val="0"/>
                <w:bCs/>
                <w:color w:val="auto"/>
                <w:kern w:val="2"/>
                <w:szCs w:val="24"/>
              </w:rPr>
              <w:t>2021</w:t>
            </w:r>
            <w:r>
              <w:rPr>
                <w:rFonts w:hint="eastAsia" w:ascii="宋体" w:hAnsi="宋体" w:cs="Times New Roman"/>
                <w:b w:val="0"/>
                <w:bCs/>
                <w:color w:val="auto"/>
                <w:kern w:val="2"/>
                <w:szCs w:val="24"/>
              </w:rPr>
              <w:t>年底完成</w:t>
            </w:r>
            <w:r>
              <w:rPr>
                <w:rFonts w:ascii="宋体" w:hAnsi="宋体" w:cs="Times New Roman"/>
                <w:b w:val="0"/>
                <w:bCs/>
                <w:color w:val="auto"/>
                <w:kern w:val="2"/>
                <w:szCs w:val="24"/>
              </w:rPr>
              <w:t>50</w:t>
            </w:r>
            <w:r>
              <w:rPr>
                <w:rFonts w:hint="eastAsia" w:ascii="宋体" w:hAnsi="宋体" w:cs="Times New Roman"/>
                <w:b w:val="0"/>
                <w:bCs/>
                <w:color w:val="auto"/>
                <w:kern w:val="2"/>
                <w:szCs w:val="24"/>
              </w:rPr>
              <w:t>块土地出让，保证补偿发放到位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按照财政厅工做进度要求</w:t>
            </w:r>
            <w:r>
              <w:rPr>
                <w:rFonts w:ascii="宋体" w:hAnsi="宋体" w:cs="Times New Roman"/>
                <w:b w:val="0"/>
                <w:bCs/>
                <w:color w:val="auto"/>
                <w:kern w:val="2"/>
                <w:szCs w:val="24"/>
              </w:rPr>
              <w:t>12</w:t>
            </w:r>
            <w:r>
              <w:rPr>
                <w:rFonts w:hint="eastAsia" w:ascii="宋体" w:hAnsi="宋体" w:cs="Times New Roman"/>
                <w:b w:val="0"/>
                <w:bCs/>
                <w:color w:val="auto"/>
                <w:kern w:val="2"/>
                <w:szCs w:val="24"/>
              </w:rPr>
              <w:t>月底完成拨付</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资金所占比例</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控制预算</w:t>
            </w:r>
            <w:r>
              <w:rPr>
                <w:rFonts w:ascii="宋体" w:hAnsi="宋体" w:cs="Times New Roman"/>
                <w:b w:val="0"/>
                <w:bCs/>
                <w:color w:val="auto"/>
                <w:kern w:val="2"/>
                <w:szCs w:val="24"/>
              </w:rPr>
              <w:t xml:space="preserve"> </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按计划完成</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保障社会稳定</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达到群众满意度</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达到群众满意</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7" w:name="_Toc70322053"/>
      <w:r>
        <w:rPr>
          <w:rFonts w:hint="eastAsia" w:ascii="宋体" w:hAnsi="宋体" w:cs="Times New Roman"/>
          <w:b w:val="0"/>
          <w:bCs/>
          <w:color w:val="auto"/>
          <w:kern w:val="2"/>
          <w:sz w:val="28"/>
          <w:szCs w:val="24"/>
        </w:rPr>
        <w:t>5.乡村振兴之民居设计方案印制费用绩效目标表</w:t>
      </w:r>
      <w:bookmarkEnd w:id="7"/>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5、乡村振兴之民居设计方案印制费用绩效目标表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130621218KIT09387RZ63</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乡村振兴之民居设计方案印制费用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2.40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2.40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用于振兴之民居设计方案印制费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通过新民居建设，改善人民生活环境。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保障新民居建设质量。</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印制数量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印制民居设计方案的数量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300</w:t>
            </w:r>
            <w:r>
              <w:rPr>
                <w:rFonts w:hint="eastAsia" w:ascii="宋体" w:hAnsi="宋体" w:cs="Times New Roman"/>
                <w:b w:val="0"/>
                <w:bCs/>
                <w:color w:val="auto"/>
                <w:kern w:val="2"/>
                <w:szCs w:val="24"/>
              </w:rPr>
              <w:t>份</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准确率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民居设计方案的准确率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资金拨付及时性</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印制方案资金拨付的及时性</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每份方案的成本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印刷民居设计方案的成本是多少</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80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经济发展影响力</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新民居建设对经济发展的影响力</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影响力高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社会稳定性</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通过新民居建设，促进社会和谐稳定</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社会效益显著提高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服务对象的满意程度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8" w:name="_Toc70322054"/>
      <w:r>
        <w:rPr>
          <w:rFonts w:hint="eastAsia" w:ascii="宋体" w:hAnsi="宋体" w:cs="Times New Roman"/>
          <w:b w:val="0"/>
          <w:bCs/>
          <w:color w:val="auto"/>
          <w:kern w:val="2"/>
          <w:sz w:val="28"/>
          <w:szCs w:val="24"/>
        </w:rPr>
        <w:t>6.差额20%部分人员经费绩效目标表</w:t>
      </w:r>
      <w:bookmarkEnd w:id="8"/>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6、差额20%部分人员经费绩效目标表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130621218R0LC9WF5SGQ0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差额</w:t>
            </w:r>
            <w:r>
              <w:rPr>
                <w:rFonts w:ascii="宋体" w:hAnsi="宋体" w:cs="Times New Roman"/>
                <w:b w:val="0"/>
                <w:bCs/>
                <w:color w:val="auto"/>
                <w:kern w:val="2"/>
                <w:szCs w:val="24"/>
              </w:rPr>
              <w:t>20%</w:t>
            </w:r>
            <w:r>
              <w:rPr>
                <w:rFonts w:hint="eastAsia" w:ascii="宋体" w:hAnsi="宋体" w:cs="Times New Roman"/>
                <w:b w:val="0"/>
                <w:bCs/>
                <w:color w:val="auto"/>
                <w:kern w:val="2"/>
                <w:szCs w:val="24"/>
              </w:rPr>
              <w:t>部分人员经费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2.11</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2.11</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用于差额</w:t>
            </w:r>
            <w:r>
              <w:rPr>
                <w:rFonts w:ascii="宋体" w:hAnsi="宋体" w:cs="Times New Roman"/>
                <w:b w:val="0"/>
                <w:bCs/>
                <w:color w:val="auto"/>
                <w:kern w:val="2"/>
                <w:szCs w:val="24"/>
              </w:rPr>
              <w:t>20%</w:t>
            </w:r>
            <w:r>
              <w:rPr>
                <w:rFonts w:hint="eastAsia" w:ascii="宋体" w:hAnsi="宋体" w:cs="Times New Roman"/>
                <w:b w:val="0"/>
                <w:bCs/>
                <w:color w:val="auto"/>
                <w:kern w:val="2"/>
                <w:szCs w:val="24"/>
              </w:rPr>
              <w:t>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25.00%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75.00%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按时拨付人员经费</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保障职工日常生活</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人数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差额工资发放人数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名</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足额拨付经费率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足额部分差额人员工资及缴纳各项保险的比率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及时性</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拨付差额人员工资及缴纳保险的时限</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15</w:t>
            </w:r>
            <w:r>
              <w:rPr>
                <w:rFonts w:hint="eastAsia" w:ascii="宋体" w:hAnsi="宋体" w:cs="Times New Roman"/>
                <w:b w:val="0"/>
                <w:bCs/>
                <w:color w:val="auto"/>
                <w:kern w:val="2"/>
                <w:szCs w:val="24"/>
              </w:rPr>
              <w:t>日</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发放金额</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差额人员年发放</w:t>
            </w:r>
            <w:r>
              <w:rPr>
                <w:rFonts w:ascii="宋体" w:hAnsi="宋体" w:cs="Times New Roman"/>
                <w:b w:val="0"/>
                <w:bCs/>
                <w:color w:val="auto"/>
                <w:kern w:val="2"/>
                <w:szCs w:val="24"/>
              </w:rPr>
              <w:t>20%</w:t>
            </w:r>
            <w:r>
              <w:rPr>
                <w:rFonts w:hint="eastAsia" w:ascii="宋体" w:hAnsi="宋体" w:cs="Times New Roman"/>
                <w:b w:val="0"/>
                <w:bCs/>
                <w:color w:val="auto"/>
                <w:kern w:val="2"/>
                <w:szCs w:val="24"/>
              </w:rPr>
              <w:t>部分工资及保险的金额</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2.11</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收入增加率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通过发放差额工资，职工的收入增加比率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职工的稳定度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通过发放差额人员工资，促进社会的稳定程度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满意程度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差额人员对发放工资及缴纳保险的满意程度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9" w:name="_Toc70322055"/>
      <w:r>
        <w:rPr>
          <w:rFonts w:hint="eastAsia" w:ascii="宋体" w:hAnsi="宋体" w:cs="Times New Roman"/>
          <w:b w:val="0"/>
          <w:bCs/>
          <w:color w:val="auto"/>
          <w:kern w:val="2"/>
          <w:sz w:val="28"/>
          <w:szCs w:val="24"/>
        </w:rPr>
        <w:t>7.2021年全面停止天然林商业性采伐补助项目保财资环（2020）137号绩效目标表</w:t>
      </w:r>
      <w:bookmarkEnd w:id="9"/>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7、2021年全面停止天然林商业性采伐补助项目保财资环（2020）137号绩效目标表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130621219H76D3UEVTG78</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年全面停止天然林商业性采伐补助项目保财资环（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137</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4.74</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4.74</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用于停止天然林商业性采伐补贴。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提高森林覆盖率，改善生态环境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资金年底前及时补偿到项目实施单位。</w:t>
            </w:r>
            <w:r>
              <w:rPr>
                <w:rFonts w:ascii="宋体" w:hAnsi="宋体" w:cs="Times New Roman"/>
                <w:b w:val="0"/>
                <w:bCs/>
                <w:color w:val="auto"/>
                <w:kern w:val="2"/>
                <w:szCs w:val="24"/>
              </w:rPr>
              <w:tab/>
            </w:r>
            <w:r>
              <w:rPr>
                <w:rFonts w:ascii="宋体" w:hAnsi="宋体" w:cs="Times New Roman"/>
                <w:b w:val="0"/>
                <w:bCs/>
                <w:color w:val="auto"/>
                <w:kern w:val="2"/>
                <w:szCs w:val="24"/>
              </w:rPr>
              <w:tab/>
            </w:r>
            <w:r>
              <w:rPr>
                <w:rFonts w:ascii="宋体" w:hAnsi="宋体" w:cs="Times New Roman"/>
                <w:b w:val="0"/>
                <w:bCs/>
                <w:color w:val="auto"/>
                <w:kern w:val="2"/>
                <w:szCs w:val="24"/>
              </w:rPr>
              <w:tab/>
            </w:r>
            <w:r>
              <w:rPr>
                <w:rFonts w:ascii="宋体" w:hAnsi="宋体" w:cs="Times New Roman"/>
                <w:b w:val="0"/>
                <w:bCs/>
                <w:color w:val="auto"/>
                <w:kern w:val="2"/>
                <w:szCs w:val="24"/>
              </w:rPr>
              <w:tab/>
            </w:r>
            <w:r>
              <w:rPr>
                <w:rFonts w:ascii="宋体" w:hAnsi="宋体" w:cs="Times New Roman"/>
                <w:b w:val="0"/>
                <w:bCs/>
                <w:color w:val="auto"/>
                <w:kern w:val="2"/>
                <w:szCs w:val="24"/>
              </w:rPr>
              <w:tab/>
            </w:r>
            <w:r>
              <w:rPr>
                <w:rFonts w:ascii="宋体" w:hAnsi="宋体" w:cs="Times New Roman"/>
                <w:b w:val="0"/>
                <w:bCs/>
                <w:color w:val="auto"/>
                <w:kern w:val="2"/>
                <w:szCs w:val="24"/>
              </w:rPr>
              <w:tab/>
            </w:r>
            <w:r>
              <w:rPr>
                <w:rFonts w:ascii="宋体" w:hAnsi="宋体" w:cs="Times New Roman"/>
                <w:b w:val="0"/>
                <w:bCs/>
                <w:color w:val="auto"/>
                <w:kern w:val="2"/>
                <w:szCs w:val="24"/>
              </w:rPr>
              <w:tab/>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采伐量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停止天然林采伐补贴的数量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1.44</w:t>
            </w:r>
            <w:r>
              <w:rPr>
                <w:rFonts w:hint="eastAsia" w:ascii="宋体" w:hAnsi="宋体" w:cs="Times New Roman"/>
                <w:b w:val="0"/>
                <w:bCs/>
                <w:color w:val="auto"/>
                <w:kern w:val="2"/>
                <w:szCs w:val="24"/>
              </w:rPr>
              <w:t>立方米</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验收合格率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停止天然林采伐补贴项目验收合格率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停止天然林采伐补贴资金到位率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补贴标准</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停止天然林采伐</w:t>
            </w:r>
            <w:r>
              <w:rPr>
                <w:rFonts w:ascii="宋体" w:hAnsi="宋体" w:cs="Times New Roman"/>
                <w:b w:val="0"/>
                <w:bCs/>
                <w:color w:val="auto"/>
                <w:kern w:val="2"/>
                <w:szCs w:val="24"/>
              </w:rPr>
              <w:t>1.44</w:t>
            </w:r>
            <w:r>
              <w:rPr>
                <w:rFonts w:hint="eastAsia" w:ascii="宋体" w:hAnsi="宋体" w:cs="Times New Roman"/>
                <w:b w:val="0"/>
                <w:bCs/>
                <w:color w:val="auto"/>
                <w:kern w:val="2"/>
                <w:szCs w:val="24"/>
              </w:rPr>
              <w:t>立方米的补贴标准是多少</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4.74</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收入增加</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受停伐补贴的单位的收入增加多少</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4.74</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提高森林覆盖率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通过停伐提高的森林覆盖率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0.01%</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受公停止天然林采伐补贴的单位的满意度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10" w:name="_Toc70322056"/>
      <w:r>
        <w:rPr>
          <w:rFonts w:hint="eastAsia" w:ascii="宋体" w:hAnsi="宋体" w:cs="Times New Roman"/>
          <w:b w:val="0"/>
          <w:bCs/>
          <w:color w:val="auto"/>
          <w:kern w:val="2"/>
          <w:sz w:val="28"/>
          <w:szCs w:val="24"/>
        </w:rPr>
        <w:t>8.2021年林业有害生物项目保财资环（2020）138号绩效目标表</w:t>
      </w:r>
      <w:bookmarkEnd w:id="10"/>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8、2021年林业有害生物项目保财资环（2020）138号绩效目标表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13062121B06SGG5VW4O01</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年林业有害生物项目保财资环（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138</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用于森林病虫害防治购买无人机和农药。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进行有害生物防治，提高森林覆盖率。</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购买农药及防治用无人机，资金及时拨付到位。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购买吨数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购买有害生物防治用农药的吨数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吨</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购买台数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购买有害生物防治无人机的台数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台</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验收合格率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有害生物防治成果验收合格率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资金使用及时率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林业有害生物防治资金使用及时率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购买单价</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每吨农药的单价</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购买单价</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每台无人机的单价</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农户年收入水平增幅</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有害生物防治后农户收入较未防治前收入是否有增长，增长率是多少</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林业有害生物防治带动就业人数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林业有害生物防治带动就业人数</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20</w:t>
            </w:r>
            <w:r>
              <w:rPr>
                <w:rFonts w:hint="eastAsia" w:ascii="宋体" w:hAnsi="宋体" w:cs="Times New Roman"/>
                <w:b w:val="0"/>
                <w:bCs/>
                <w:color w:val="auto"/>
                <w:kern w:val="2"/>
                <w:szCs w:val="24"/>
              </w:rPr>
              <w:t>人</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农户满意度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农户对有害生物防治的满意程度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11" w:name="_Toc70322057"/>
      <w:r>
        <w:rPr>
          <w:rFonts w:hint="eastAsia" w:ascii="宋体" w:hAnsi="宋体" w:cs="Times New Roman"/>
          <w:b w:val="0"/>
          <w:bCs/>
          <w:color w:val="auto"/>
          <w:kern w:val="2"/>
          <w:sz w:val="28"/>
          <w:szCs w:val="24"/>
        </w:rPr>
        <w:t>9.神星镇大楼村南山、神星镇神星村、石井乡永安庄村无证非法采矿现场调查核实费用绩效目标表</w:t>
      </w:r>
      <w:bookmarkEnd w:id="11"/>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9、神星镇大楼村南山、神星镇神星村、石井乡永安庄村无证非法采矿现场调查核实费用绩效目标表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13062121E0EYM6LG5GUEP</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神星镇大楼村南山、神星镇神星村、石井乡永安庄村无证非法采矿现场调查核实费用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满城区神星镇大楼村南山、神星村、石井乡永安庄村无证非法采矿现场调查核实经费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打击违法犯罪行为，维护正常矿产资源开发秩序。</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按时拨付经费，保障工作顺利开展。</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调查及核实数量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进行无证非法采矿调查核实的数量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处</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验收合格率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对无证开采调查核实验收项目的合格率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资金使用率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对无证开采调查核实经费的使用率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每份报告成本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每份无证开采调查及核实报告的成本是多少</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改善生态环境情况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通过依法惩处非法开采矿产资源违法犯罪行为，制止乱开乱伐，从而改善生态环境的情况。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改善情况显著提高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打击违法犯罪行为影响率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打击非法无证开采矿产资源违法犯罪行为对社会的影响率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满意程度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服务对象满意度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12" w:name="_Toc70322058"/>
      <w:r>
        <w:rPr>
          <w:rFonts w:hint="eastAsia" w:ascii="宋体" w:hAnsi="宋体" w:cs="Times New Roman"/>
          <w:b w:val="0"/>
          <w:bCs/>
          <w:color w:val="auto"/>
          <w:kern w:val="2"/>
          <w:sz w:val="28"/>
          <w:szCs w:val="24"/>
        </w:rPr>
        <w:t>10.生态保护红线评估费用绩效目标表</w:t>
      </w:r>
      <w:bookmarkEnd w:id="12"/>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10、生态保护红线评估费用绩效目标表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13062121HXSUNFL7OILI3</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生态保护红线评估费用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用于生态红线评估费用。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按照要求及时完成划定任务</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加强全区的生态保护</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评估调整面积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对全区的生态保护红线进行评估调整的面积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175</w:t>
            </w:r>
            <w:r>
              <w:rPr>
                <w:rFonts w:hint="eastAsia" w:ascii="宋体" w:hAnsi="宋体" w:cs="Times New Roman"/>
                <w:b w:val="0"/>
                <w:bCs/>
                <w:color w:val="auto"/>
                <w:kern w:val="2"/>
                <w:szCs w:val="24"/>
              </w:rPr>
              <w:t>平方公里</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数据合格率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数据通过国家质检后的合格率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完成时间及时率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按照要求</w:t>
            </w:r>
            <w:r>
              <w:rPr>
                <w:rFonts w:ascii="宋体" w:hAnsi="宋体" w:cs="Times New Roman"/>
                <w:b w:val="0"/>
                <w:bCs/>
                <w:color w:val="auto"/>
                <w:kern w:val="2"/>
                <w:szCs w:val="24"/>
              </w:rPr>
              <w:t>2020</w:t>
            </w:r>
            <w:r>
              <w:rPr>
                <w:rFonts w:hint="eastAsia" w:ascii="宋体" w:hAnsi="宋体" w:cs="Times New Roman"/>
                <w:b w:val="0"/>
                <w:bCs/>
                <w:color w:val="auto"/>
                <w:kern w:val="2"/>
                <w:szCs w:val="24"/>
              </w:rPr>
              <w:t>年底将数据进行上报完成的及时率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项目评估报告的资金成本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资金投入放大倍数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通过对生态红线划定的资金投入，使周边居民生活环境条件得到提升，使资金落到实处，项目资金投入放大倍数。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倍</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环境改善情况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通过划定红线，改善生态环境，给周边居民带来优越的生活环境</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生活环境条件显著提高。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服务对象的满意程度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13" w:name="_Toc70322059"/>
      <w:r>
        <w:rPr>
          <w:rFonts w:hint="eastAsia" w:ascii="宋体" w:hAnsi="宋体" w:cs="Times New Roman"/>
          <w:b w:val="0"/>
          <w:bCs/>
          <w:color w:val="auto"/>
          <w:kern w:val="2"/>
          <w:sz w:val="28"/>
          <w:szCs w:val="24"/>
        </w:rPr>
        <w:t>11.神星镇马连川村地质灾害点治理工程绩效目标表</w:t>
      </w:r>
      <w:bookmarkEnd w:id="13"/>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11、神星镇马连川村地质灾害点治理工程绩效目标表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13062121PL0CDGOYGZD8O</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神星镇马连川村地质灾害点治理工程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62.73</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62.73</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用于地质灾害点治理工程费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排查并修复地质灾害隐患，保障人民群众生命财产安全。</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修复资金按项目进度及时拨付到位。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排查修复数量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地质灾害隐患点排查修复的数量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21</w:t>
            </w:r>
            <w:r>
              <w:rPr>
                <w:rFonts w:hint="eastAsia" w:ascii="宋体" w:hAnsi="宋体" w:cs="Times New Roman"/>
                <w:b w:val="0"/>
                <w:bCs/>
                <w:color w:val="auto"/>
                <w:kern w:val="2"/>
                <w:szCs w:val="24"/>
              </w:rPr>
              <w:t>处</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地质灾害治理的合格率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资金拨付及时率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地质灾害隐患排查修复资金拨付的及时率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治理成本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地质灾害隐患修复治理的成本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62.73</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资金投入放大倍数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地质灾害治理资金的投入，保障了山下居民的生命财产安全，资金落到实处，充分发挥资金效益，放大资金投入倍数。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资金效益最大化</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社会反应度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通过地质灾害治理，保障了人民群众生命财产安全，社会民众称赞情况反</w:t>
            </w:r>
            <w:r>
              <w:rPr>
                <w:rFonts w:hint="eastAsia" w:ascii="宋体" w:hAnsi="宋体" w:eastAsia="宋体" w:cs="Times New Roman"/>
                <w:b w:val="0"/>
                <w:bCs/>
                <w:color w:val="auto"/>
                <w:kern w:val="2"/>
                <w:szCs w:val="24"/>
                <w:lang w:val="en-US" w:eastAsia="zh-CN"/>
              </w:rPr>
              <w:t>映</w:t>
            </w:r>
            <w:r>
              <w:rPr>
                <w:rFonts w:hint="eastAsia" w:ascii="宋体" w:hAnsi="宋体" w:cs="Times New Roman"/>
                <w:b w:val="0"/>
                <w:bCs/>
                <w:color w:val="auto"/>
                <w:kern w:val="2"/>
                <w:szCs w:val="24"/>
              </w:rPr>
              <w:t>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身处地质灾害隐患威胁的群众的满意程度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14" w:name="_Toc70322060"/>
      <w:r>
        <w:rPr>
          <w:rFonts w:hint="eastAsia" w:ascii="宋体" w:hAnsi="宋体" w:cs="Times New Roman"/>
          <w:b w:val="0"/>
          <w:bCs/>
          <w:color w:val="auto"/>
          <w:kern w:val="2"/>
          <w:sz w:val="28"/>
          <w:szCs w:val="24"/>
        </w:rPr>
        <w:t>12.复兴路两侧绿化带保护范围警示标志碑费用项目绩效目标表</w:t>
      </w:r>
      <w:bookmarkEnd w:id="14"/>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12、复兴路两侧绿化带保护范围警示标志碑费用项目绩效目标表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13062121ROKTR7Z8DUBI9</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复兴路两侧绿化带保护范围警示标志碑费用项目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4.68</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4.68</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用于复兴路两侧绿化带保护范围警示标志碑的费用。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埋筑标志碑，强化宣传和警示。</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及时拨付资金，使资金落到实处。</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埋筑数量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埋筑复兴路两侧绿化带控制范围标志碑的数量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260</w:t>
            </w:r>
            <w:r>
              <w:rPr>
                <w:rFonts w:hint="eastAsia" w:ascii="宋体" w:hAnsi="宋体" w:cs="Times New Roman"/>
                <w:b w:val="0"/>
                <w:bCs/>
                <w:color w:val="auto"/>
                <w:kern w:val="2"/>
                <w:szCs w:val="24"/>
              </w:rPr>
              <w:t>根</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埋筑合格率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埋筑标志碑的合格率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埋筑时限及完成率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完成埋筑标志碑的时限及完成埋筑标志碑的完成率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每根标志碑的资金成本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180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资金投入放大倍数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通过对警示标志碑资金投入，防止违建、违占，使人们生活环境条件得到提升，使资金落到实处，项目资金投入放大倍数。</w:t>
            </w:r>
            <w:r>
              <w:rPr>
                <w:rFonts w:ascii="宋体" w:hAnsi="宋体" w:cs="Times New Roman"/>
                <w:b w:val="0"/>
                <w:bCs/>
                <w:color w:val="auto"/>
                <w:kern w:val="2"/>
                <w:szCs w:val="24"/>
              </w:rPr>
              <w:tab/>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倍</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环境质量改善</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通过埋筑标志碑强化宣传，防止违建、违占，使人们的生活环境得到改善</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生活环境条件显著提高。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15" w:name="_Toc70322061"/>
      <w:r>
        <w:rPr>
          <w:rFonts w:hint="eastAsia" w:ascii="宋体" w:hAnsi="宋体" w:cs="Times New Roman"/>
          <w:b w:val="0"/>
          <w:bCs/>
          <w:color w:val="auto"/>
          <w:kern w:val="2"/>
          <w:sz w:val="28"/>
          <w:szCs w:val="24"/>
        </w:rPr>
        <w:t>13.2021年林业科技推广示范项目保财资环（2020）139号绩效目标表</w:t>
      </w:r>
      <w:bookmarkEnd w:id="15"/>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13、2021年林业科技推广示范项目保财资环（2020）139号绩效目标表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13062121SRY7GEDLAHXM3</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年林业科技推广示范项目保财资环（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139</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用于满城区林业科技推广示范项目补助。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20.00%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带动周边群众就业率。</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提高我区林业产业整体水平。</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示范区面积（亩）</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林业科技推广示范区面积（亩）</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530</w:t>
            </w:r>
            <w:r>
              <w:rPr>
                <w:rFonts w:hint="eastAsia" w:ascii="宋体" w:hAnsi="宋体" w:cs="Times New Roman"/>
                <w:b w:val="0"/>
                <w:bCs/>
                <w:color w:val="auto"/>
                <w:kern w:val="2"/>
                <w:szCs w:val="24"/>
              </w:rPr>
              <w:t>亩</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种子级别</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林业科技推广培育种子的级别</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级</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任务完成率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林业科技推广示范任务完成率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每亩补助金额（元）</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林业科技推广示范区每亩补助金额</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1510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种子产值</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通过技术推广培育出的优良种子的产值</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1500</w:t>
            </w:r>
            <w:r>
              <w:rPr>
                <w:rFonts w:hint="eastAsia" w:ascii="宋体" w:hAnsi="宋体" w:cs="Times New Roman"/>
                <w:b w:val="0"/>
                <w:bCs/>
                <w:color w:val="auto"/>
                <w:kern w:val="2"/>
                <w:szCs w:val="24"/>
              </w:rPr>
              <w:t>元</w:t>
            </w:r>
            <w:r>
              <w:rPr>
                <w:rFonts w:ascii="宋体" w:hAnsi="宋体" w:cs="Times New Roman"/>
                <w:b w:val="0"/>
                <w:bCs/>
                <w:color w:val="auto"/>
                <w:kern w:val="2"/>
                <w:szCs w:val="24"/>
              </w:rPr>
              <w:t>/</w:t>
            </w:r>
            <w:r>
              <w:rPr>
                <w:rFonts w:hint="eastAsia" w:ascii="宋体" w:hAnsi="宋体" w:cs="Times New Roman"/>
                <w:b w:val="0"/>
                <w:bCs/>
                <w:color w:val="auto"/>
                <w:kern w:val="2"/>
                <w:szCs w:val="24"/>
              </w:rPr>
              <w:t>亩</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带动就业人数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通过侧柏及桃优良苗木繁育带动周边就业人数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50</w:t>
            </w:r>
            <w:r>
              <w:rPr>
                <w:rFonts w:hint="eastAsia" w:ascii="宋体" w:hAnsi="宋体" w:cs="Times New Roman"/>
                <w:b w:val="0"/>
                <w:bCs/>
                <w:color w:val="auto"/>
                <w:kern w:val="2"/>
                <w:szCs w:val="24"/>
              </w:rPr>
              <w:t>人</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使用优良品种农户的满意度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16" w:name="_Toc70322062"/>
      <w:r>
        <w:rPr>
          <w:rFonts w:hint="eastAsia" w:ascii="宋体" w:hAnsi="宋体" w:cs="Times New Roman"/>
          <w:b w:val="0"/>
          <w:bCs/>
          <w:color w:val="auto"/>
          <w:kern w:val="2"/>
          <w:sz w:val="28"/>
          <w:szCs w:val="24"/>
        </w:rPr>
        <w:t>14.2021年林木良种培育项目保财资环（2020）139号绩效目标表</w:t>
      </w:r>
      <w:bookmarkEnd w:id="16"/>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14、2021年林木良种培育项目保财资环（2020）139号绩效目标表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13062121UFGETY3IZYTAX</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年林木良种培育项目保财资环（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139</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用于繁育侧柏和桃优良品种补贴。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40.00%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90.00%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培育林木良种苗木，提高农民收入。</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及时拨付资金，提高资金使用率。</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培育亩数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培育林木良种的总亩数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220</w:t>
            </w:r>
            <w:r>
              <w:rPr>
                <w:rFonts w:hint="eastAsia" w:ascii="宋体" w:hAnsi="宋体" w:cs="Times New Roman"/>
                <w:b w:val="0"/>
                <w:bCs/>
                <w:color w:val="auto"/>
                <w:kern w:val="2"/>
                <w:szCs w:val="24"/>
              </w:rPr>
              <w:t>亩</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林木良种培育资金到位率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金到位及时率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林木良种培育资金到位及时率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每亩补助金额</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林木良种培育每亩补助金额</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农户收入增长率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农户栽植了良种培育苗木后的收入增长率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2%</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种苗繁育成活率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林木种苗繁育成活率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农户的满意度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17" w:name="_Toc70322063"/>
      <w:r>
        <w:rPr>
          <w:rFonts w:hint="eastAsia" w:ascii="宋体" w:hAnsi="宋体" w:cs="Times New Roman"/>
          <w:b w:val="0"/>
          <w:bCs/>
          <w:color w:val="auto"/>
          <w:kern w:val="2"/>
          <w:sz w:val="28"/>
          <w:szCs w:val="24"/>
        </w:rPr>
        <w:t>15.京车园区外围绿化资金绩效目标表</w:t>
      </w:r>
      <w:bookmarkEnd w:id="17"/>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15、京车园区外围绿化资金绩效目标表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13062121XGMU4WXUNT4RB</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京车园区外围绿化资金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用于京车园区外围绿化、美化经费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绿化美化京车外围环境。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及时将资金拨付到位。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用土数量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京车外围环境绿化美化用土数量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w:t>
            </w:r>
            <w:r>
              <w:rPr>
                <w:rFonts w:hint="eastAsia" w:ascii="宋体" w:hAnsi="宋体" w:cs="Times New Roman"/>
                <w:b w:val="0"/>
                <w:bCs/>
                <w:color w:val="auto"/>
                <w:kern w:val="2"/>
                <w:szCs w:val="24"/>
              </w:rPr>
              <w:t>车</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绿化美化率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京车外围环境绿化美化率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完工及时率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京车外围绿化美化工程完工的及时率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土方价格</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所用土方每车的价格</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200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收入提高</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通过对京车外围的绿化美化，雇佣周边群众参与，增加附近居民收入。</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增绿量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通过对京车外围的绿化、美化，种植树木，提高增绿量。</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0.01%</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服务对象的满意程度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ind w:firstLine="560" w:firstLineChars="200"/>
        <w:jc w:val="left"/>
        <w:outlineLvl w:val="3"/>
        <w:rPr>
          <w:rFonts w:ascii="宋体" w:hAnsi="宋体" w:cs="Times New Roman"/>
          <w:b w:val="0"/>
          <w:bCs/>
          <w:color w:val="auto"/>
          <w:kern w:val="2"/>
          <w:sz w:val="28"/>
          <w:szCs w:val="24"/>
        </w:rPr>
      </w:pPr>
      <w:bookmarkStart w:id="18" w:name="_Toc70322064"/>
      <w:r>
        <w:rPr>
          <w:rFonts w:hint="eastAsia" w:ascii="宋体" w:hAnsi="宋体" w:cs="Times New Roman"/>
          <w:b w:val="0"/>
          <w:bCs/>
          <w:color w:val="auto"/>
          <w:kern w:val="2"/>
          <w:sz w:val="28"/>
          <w:szCs w:val="24"/>
        </w:rPr>
        <w:t>16.2021年土地整治项目保财资环（2020）144号绩效目标表</w:t>
      </w:r>
      <w:bookmarkEnd w:id="18"/>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16、2021年土地整治项目保财资环（2020）144号绩效目标表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13062121YGRCA0GZOC43R</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年土地整治项目保财资环（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144</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用于西龙门村规划费用。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对村庄进行规划，改善村庄面貌。</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及时将规划资金拨付到位。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规划数量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涉及规划的村庄的个数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个</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规划率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村庄的规划完成率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资金拨付率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规划资金拨付到位率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规划成本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对村庄进行规划所需的资金成本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资金投入放大倍数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通过对</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多规合一</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的资金投入，使村民生活环境条件得到提升，使资金落到实处，项目资金投入放大倍数。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倍</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环境改善情况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通过规划，改善生态环境，给村民带来优越的生活环境</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生活环境条件显著提高。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进行规划的村庄的群众的满意程度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bl>
    <w:p>
      <w:pPr>
        <w:numPr>
          <w:ilvl w:val="0"/>
          <w:numId w:val="0"/>
        </w:numPr>
        <w:spacing w:before="10" w:after="10"/>
        <w:outlineLvl w:val="5"/>
        <w:rPr>
          <w:rFonts w:ascii="黑体" w:hAnsi="黑体" w:eastAsia="黑体" w:cs="黑体"/>
          <w:color w:val="auto"/>
          <w:sz w:val="32"/>
        </w:rPr>
        <w:sectPr>
          <w:pgSz w:w="11905" w:h="16838"/>
          <w:pgMar w:top="1984" w:right="1304" w:bottom="1134" w:left="1304" w:header="850" w:footer="992" w:gutter="0"/>
          <w:cols w:space="720" w:num="1"/>
          <w:rtlGutter w:val="0"/>
          <w:docGrid w:type="lines" w:linePitch="327" w:charSpace="0"/>
        </w:sectPr>
      </w:pPr>
    </w:p>
    <w:p>
      <w:pPr>
        <w:spacing w:before="10" w:after="10"/>
        <w:ind w:firstLine="640"/>
        <w:outlineLvl w:val="5"/>
        <w:rPr>
          <w:color w:val="auto"/>
        </w:rPr>
      </w:pPr>
      <w:r>
        <w:rPr>
          <w:rFonts w:ascii="黑体" w:hAnsi="黑体" w:eastAsia="黑体" w:cs="黑体"/>
          <w:color w:val="auto"/>
          <w:sz w:val="32"/>
        </w:rPr>
        <w:t>六、政府采购预算情况</w:t>
      </w:r>
    </w:p>
    <w:p>
      <w:pPr>
        <w:spacing w:line="500" w:lineRule="exact"/>
        <w:ind w:firstLine="560"/>
        <w:rPr>
          <w:color w:val="auto"/>
        </w:rPr>
      </w:pPr>
      <w:r>
        <w:rPr>
          <w:rFonts w:eastAsia="方正仿宋_GBK"/>
          <w:color w:val="auto"/>
          <w:sz w:val="28"/>
        </w:rPr>
        <w:t>202</w:t>
      </w:r>
      <w:r>
        <w:rPr>
          <w:rFonts w:hint="eastAsia" w:eastAsia="方正仿宋_GBK"/>
          <w:color w:val="auto"/>
          <w:sz w:val="28"/>
          <w:lang w:val="en-US" w:eastAsia="zh-CN"/>
        </w:rPr>
        <w:t>1</w:t>
      </w:r>
      <w:r>
        <w:rPr>
          <w:rFonts w:eastAsia="方正仿宋_GBK"/>
          <w:color w:val="auto"/>
          <w:sz w:val="28"/>
        </w:rPr>
        <w:t>年，保定市自然资源和规划局满城区分局</w:t>
      </w:r>
      <w:r>
        <w:rPr>
          <w:rFonts w:hint="eastAsia" w:eastAsia="方正仿宋_GBK"/>
          <w:color w:val="auto"/>
          <w:sz w:val="28"/>
          <w:lang w:eastAsia="zh-CN"/>
        </w:rPr>
        <w:t>无政府采购预算，空表列示</w:t>
      </w:r>
      <w:r>
        <w:rPr>
          <w:rFonts w:eastAsia="方正仿宋_GBK"/>
          <w:color w:val="auto"/>
          <w:sz w:val="28"/>
        </w:rPr>
        <w:t>。</w:t>
      </w:r>
    </w:p>
    <w:tbl>
      <w:tblPr>
        <w:tblStyle w:val="5"/>
        <w:tblpPr w:leftFromText="180" w:rightFromText="180" w:vertAnchor="text" w:horzAnchor="page" w:tblpX="433" w:tblpY="1268"/>
        <w:tblOverlap w:val="never"/>
        <w:tblW w:w="1444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7"/>
        <w:gridCol w:w="840"/>
        <w:gridCol w:w="950"/>
        <w:gridCol w:w="880"/>
        <w:gridCol w:w="740"/>
        <w:gridCol w:w="670"/>
        <w:gridCol w:w="570"/>
        <w:gridCol w:w="700"/>
        <w:gridCol w:w="1010"/>
        <w:gridCol w:w="980"/>
        <w:gridCol w:w="1300"/>
        <w:gridCol w:w="1000"/>
        <w:gridCol w:w="700"/>
        <w:gridCol w:w="920"/>
        <w:gridCol w:w="870"/>
        <w:gridCol w:w="10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5897" w:type="dxa"/>
            <w:gridSpan w:val="7"/>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324001保定市自然资源和规划局满城区分局本级</w:t>
            </w:r>
          </w:p>
        </w:tc>
        <w:tc>
          <w:tcPr>
            <w:tcW w:w="8543" w:type="dxa"/>
            <w:gridSpan w:val="9"/>
            <w:tcBorders>
              <w:top w:val="single" w:color="FFFFFF" w:sz="6" w:space="0"/>
              <w:left w:val="single" w:color="FFFFFF" w:sz="6" w:space="0"/>
              <w:right w:val="single" w:color="FFFFFF" w:sz="6" w:space="0"/>
            </w:tcBorders>
            <w:noWrap w:val="0"/>
            <w:vAlign w:val="center"/>
          </w:tcPr>
          <w:p>
            <w:pPr>
              <w:pStyle w:val="2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2087" w:type="dxa"/>
            <w:gridSpan w:val="2"/>
            <w:noWrap w:val="0"/>
            <w:vAlign w:val="center"/>
          </w:tcPr>
          <w:p>
            <w:pPr>
              <w:pStyle w:val="15"/>
              <w:rPr>
                <w:color w:val="auto"/>
              </w:rPr>
            </w:pPr>
            <w:r>
              <w:rPr>
                <w:color w:val="auto"/>
              </w:rPr>
              <w:t>政府采购项目来源</w:t>
            </w:r>
          </w:p>
        </w:tc>
        <w:tc>
          <w:tcPr>
            <w:tcW w:w="950" w:type="dxa"/>
            <w:vMerge w:val="restart"/>
            <w:noWrap w:val="0"/>
            <w:vAlign w:val="center"/>
          </w:tcPr>
          <w:p>
            <w:pPr>
              <w:pStyle w:val="15"/>
              <w:rPr>
                <w:color w:val="auto"/>
              </w:rPr>
            </w:pPr>
            <w:r>
              <w:rPr>
                <w:color w:val="auto"/>
              </w:rPr>
              <w:t>采购物品名称</w:t>
            </w:r>
          </w:p>
        </w:tc>
        <w:tc>
          <w:tcPr>
            <w:tcW w:w="880" w:type="dxa"/>
            <w:vMerge w:val="restart"/>
            <w:noWrap w:val="0"/>
            <w:vAlign w:val="center"/>
          </w:tcPr>
          <w:p>
            <w:pPr>
              <w:pStyle w:val="15"/>
              <w:rPr>
                <w:color w:val="auto"/>
              </w:rPr>
            </w:pPr>
            <w:r>
              <w:rPr>
                <w:color w:val="auto"/>
              </w:rPr>
              <w:t>政府采购目录序号</w:t>
            </w:r>
          </w:p>
        </w:tc>
        <w:tc>
          <w:tcPr>
            <w:tcW w:w="740" w:type="dxa"/>
            <w:vMerge w:val="restart"/>
            <w:noWrap w:val="0"/>
            <w:vAlign w:val="center"/>
          </w:tcPr>
          <w:p>
            <w:pPr>
              <w:pStyle w:val="15"/>
              <w:rPr>
                <w:color w:val="auto"/>
              </w:rPr>
            </w:pPr>
            <w:r>
              <w:rPr>
                <w:color w:val="auto"/>
              </w:rPr>
              <w:t>计量  单位</w:t>
            </w:r>
          </w:p>
        </w:tc>
        <w:tc>
          <w:tcPr>
            <w:tcW w:w="670" w:type="dxa"/>
            <w:vMerge w:val="restart"/>
            <w:noWrap w:val="0"/>
            <w:vAlign w:val="center"/>
          </w:tcPr>
          <w:p>
            <w:pPr>
              <w:pStyle w:val="15"/>
              <w:rPr>
                <w:color w:val="auto"/>
              </w:rPr>
            </w:pPr>
            <w:r>
              <w:rPr>
                <w:color w:val="auto"/>
              </w:rPr>
              <w:t>数量</w:t>
            </w:r>
          </w:p>
        </w:tc>
        <w:tc>
          <w:tcPr>
            <w:tcW w:w="570" w:type="dxa"/>
            <w:vMerge w:val="restart"/>
            <w:noWrap w:val="0"/>
            <w:vAlign w:val="center"/>
          </w:tcPr>
          <w:p>
            <w:pPr>
              <w:pStyle w:val="15"/>
              <w:rPr>
                <w:color w:val="auto"/>
              </w:rPr>
            </w:pPr>
            <w:r>
              <w:rPr>
                <w:color w:val="auto"/>
              </w:rPr>
              <w:t>单价</w:t>
            </w:r>
          </w:p>
        </w:tc>
        <w:tc>
          <w:tcPr>
            <w:tcW w:w="7480" w:type="dxa"/>
            <w:gridSpan w:val="8"/>
            <w:noWrap w:val="0"/>
            <w:vAlign w:val="center"/>
          </w:tcPr>
          <w:p>
            <w:pPr>
              <w:pStyle w:val="15"/>
              <w:rPr>
                <w:color w:val="auto"/>
              </w:rPr>
            </w:pPr>
            <w:r>
              <w:rPr>
                <w:color w:val="auto"/>
              </w:rPr>
              <w:t>政府采购金额（当年部门预算安排资金）</w:t>
            </w:r>
          </w:p>
        </w:tc>
        <w:tc>
          <w:tcPr>
            <w:tcW w:w="1063" w:type="dxa"/>
            <w:vMerge w:val="restart"/>
            <w:noWrap w:val="0"/>
            <w:vAlign w:val="center"/>
          </w:tcPr>
          <w:p>
            <w:pPr>
              <w:pStyle w:val="15"/>
              <w:rPr>
                <w:color w:val="auto"/>
              </w:rPr>
            </w:pPr>
            <w:r>
              <w:rPr>
                <w:color w:val="auto"/>
              </w:rPr>
              <w:t>202</w:t>
            </w:r>
            <w:r>
              <w:rPr>
                <w:rFonts w:hint="eastAsia"/>
                <w:color w:val="auto"/>
                <w:lang w:val="en-US" w:eastAsia="zh-CN"/>
              </w:rPr>
              <w:t>1</w:t>
            </w:r>
            <w:r>
              <w:rPr>
                <w:color w:val="auto"/>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1247" w:type="dxa"/>
            <w:noWrap w:val="0"/>
            <w:vAlign w:val="center"/>
          </w:tcPr>
          <w:p>
            <w:pPr>
              <w:pStyle w:val="15"/>
              <w:rPr>
                <w:color w:val="auto"/>
              </w:rPr>
            </w:pPr>
            <w:r>
              <w:rPr>
                <w:color w:val="auto"/>
              </w:rPr>
              <w:t>项目名称</w:t>
            </w:r>
          </w:p>
        </w:tc>
        <w:tc>
          <w:tcPr>
            <w:tcW w:w="840" w:type="dxa"/>
            <w:noWrap w:val="0"/>
            <w:vAlign w:val="center"/>
          </w:tcPr>
          <w:p>
            <w:pPr>
              <w:pStyle w:val="15"/>
              <w:rPr>
                <w:color w:val="auto"/>
              </w:rPr>
            </w:pPr>
            <w:r>
              <w:rPr>
                <w:color w:val="auto"/>
              </w:rPr>
              <w:t>预算    资金</w:t>
            </w:r>
          </w:p>
        </w:tc>
        <w:tc>
          <w:tcPr>
            <w:tcW w:w="950" w:type="dxa"/>
            <w:vMerge w:val="continue"/>
            <w:noWrap w:val="0"/>
            <w:vAlign w:val="top"/>
          </w:tcPr>
          <w:p>
            <w:pPr>
              <w:rPr>
                <w:color w:val="auto"/>
              </w:rPr>
            </w:pPr>
          </w:p>
        </w:tc>
        <w:tc>
          <w:tcPr>
            <w:tcW w:w="880" w:type="dxa"/>
            <w:vMerge w:val="continue"/>
            <w:noWrap w:val="0"/>
            <w:vAlign w:val="top"/>
          </w:tcPr>
          <w:p>
            <w:pPr>
              <w:rPr>
                <w:color w:val="auto"/>
              </w:rPr>
            </w:pPr>
          </w:p>
        </w:tc>
        <w:tc>
          <w:tcPr>
            <w:tcW w:w="740" w:type="dxa"/>
            <w:vMerge w:val="continue"/>
            <w:noWrap w:val="0"/>
            <w:vAlign w:val="top"/>
          </w:tcPr>
          <w:p>
            <w:pPr>
              <w:rPr>
                <w:color w:val="auto"/>
              </w:rPr>
            </w:pPr>
          </w:p>
        </w:tc>
        <w:tc>
          <w:tcPr>
            <w:tcW w:w="670" w:type="dxa"/>
            <w:vMerge w:val="continue"/>
            <w:noWrap w:val="0"/>
            <w:vAlign w:val="top"/>
          </w:tcPr>
          <w:p>
            <w:pPr>
              <w:rPr>
                <w:color w:val="auto"/>
              </w:rPr>
            </w:pPr>
          </w:p>
        </w:tc>
        <w:tc>
          <w:tcPr>
            <w:tcW w:w="570" w:type="dxa"/>
            <w:vMerge w:val="continue"/>
            <w:noWrap w:val="0"/>
            <w:vAlign w:val="top"/>
          </w:tcPr>
          <w:p>
            <w:pPr>
              <w:rPr>
                <w:color w:val="auto"/>
              </w:rPr>
            </w:pPr>
          </w:p>
        </w:tc>
        <w:tc>
          <w:tcPr>
            <w:tcW w:w="700" w:type="dxa"/>
            <w:noWrap w:val="0"/>
            <w:vAlign w:val="center"/>
          </w:tcPr>
          <w:p>
            <w:pPr>
              <w:pStyle w:val="15"/>
              <w:rPr>
                <w:color w:val="auto"/>
              </w:rPr>
            </w:pPr>
            <w:r>
              <w:rPr>
                <w:color w:val="auto"/>
              </w:rPr>
              <w:t>合计</w:t>
            </w:r>
          </w:p>
        </w:tc>
        <w:tc>
          <w:tcPr>
            <w:tcW w:w="1010" w:type="dxa"/>
            <w:noWrap w:val="0"/>
            <w:vAlign w:val="center"/>
          </w:tcPr>
          <w:p>
            <w:pPr>
              <w:pStyle w:val="15"/>
              <w:rPr>
                <w:color w:val="auto"/>
              </w:rPr>
            </w:pPr>
            <w:r>
              <w:rPr>
                <w:color w:val="auto"/>
              </w:rPr>
              <w:t>一般公共预算拨款</w:t>
            </w:r>
          </w:p>
        </w:tc>
        <w:tc>
          <w:tcPr>
            <w:tcW w:w="980" w:type="dxa"/>
            <w:noWrap w:val="0"/>
            <w:vAlign w:val="center"/>
          </w:tcPr>
          <w:p>
            <w:pPr>
              <w:pStyle w:val="15"/>
              <w:rPr>
                <w:color w:val="auto"/>
              </w:rPr>
            </w:pPr>
            <w:r>
              <w:rPr>
                <w:color w:val="auto"/>
              </w:rPr>
              <w:t>基金预算拨款</w:t>
            </w:r>
          </w:p>
        </w:tc>
        <w:tc>
          <w:tcPr>
            <w:tcW w:w="1300" w:type="dxa"/>
            <w:noWrap w:val="0"/>
            <w:vAlign w:val="center"/>
          </w:tcPr>
          <w:p>
            <w:pPr>
              <w:pStyle w:val="15"/>
              <w:rPr>
                <w:color w:val="auto"/>
              </w:rPr>
            </w:pPr>
            <w:r>
              <w:rPr>
                <w:color w:val="auto"/>
              </w:rPr>
              <w:t>国有资本经营预算拨款</w:t>
            </w:r>
          </w:p>
        </w:tc>
        <w:tc>
          <w:tcPr>
            <w:tcW w:w="1000" w:type="dxa"/>
            <w:noWrap w:val="0"/>
            <w:vAlign w:val="center"/>
          </w:tcPr>
          <w:p>
            <w:pPr>
              <w:pStyle w:val="15"/>
              <w:rPr>
                <w:color w:val="auto"/>
              </w:rPr>
            </w:pPr>
            <w:r>
              <w:rPr>
                <w:color w:val="auto"/>
              </w:rPr>
              <w:t>财政专户核拨</w:t>
            </w:r>
          </w:p>
        </w:tc>
        <w:tc>
          <w:tcPr>
            <w:tcW w:w="700" w:type="dxa"/>
            <w:noWrap w:val="0"/>
            <w:vAlign w:val="center"/>
          </w:tcPr>
          <w:p>
            <w:pPr>
              <w:pStyle w:val="15"/>
              <w:rPr>
                <w:color w:val="auto"/>
              </w:rPr>
            </w:pPr>
            <w:r>
              <w:rPr>
                <w:color w:val="auto"/>
              </w:rPr>
              <w:t>单位    资金</w:t>
            </w:r>
          </w:p>
        </w:tc>
        <w:tc>
          <w:tcPr>
            <w:tcW w:w="920" w:type="dxa"/>
            <w:noWrap w:val="0"/>
            <w:vAlign w:val="center"/>
          </w:tcPr>
          <w:p>
            <w:pPr>
              <w:pStyle w:val="15"/>
              <w:rPr>
                <w:color w:val="auto"/>
              </w:rPr>
            </w:pPr>
            <w:r>
              <w:rPr>
                <w:color w:val="auto"/>
              </w:rPr>
              <w:t>财政拨    款结转</w:t>
            </w:r>
          </w:p>
        </w:tc>
        <w:tc>
          <w:tcPr>
            <w:tcW w:w="870" w:type="dxa"/>
            <w:noWrap w:val="0"/>
            <w:vAlign w:val="center"/>
          </w:tcPr>
          <w:p>
            <w:pPr>
              <w:pStyle w:val="15"/>
              <w:rPr>
                <w:color w:val="auto"/>
              </w:rPr>
            </w:pPr>
            <w:r>
              <w:rPr>
                <w:color w:val="auto"/>
              </w:rPr>
              <w:t>非财政    拨款结    转结余</w:t>
            </w:r>
          </w:p>
        </w:tc>
        <w:tc>
          <w:tcPr>
            <w:tcW w:w="1063"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247" w:type="dxa"/>
            <w:noWrap w:val="0"/>
            <w:vAlign w:val="center"/>
          </w:tcPr>
          <w:p>
            <w:pPr>
              <w:pStyle w:val="17"/>
              <w:rPr>
                <w:color w:val="auto"/>
              </w:rPr>
            </w:pPr>
          </w:p>
        </w:tc>
        <w:tc>
          <w:tcPr>
            <w:tcW w:w="840" w:type="dxa"/>
            <w:noWrap w:val="0"/>
            <w:vAlign w:val="center"/>
          </w:tcPr>
          <w:p>
            <w:pPr>
              <w:pStyle w:val="16"/>
              <w:rPr>
                <w:color w:val="auto"/>
              </w:rPr>
            </w:pPr>
          </w:p>
        </w:tc>
        <w:tc>
          <w:tcPr>
            <w:tcW w:w="950" w:type="dxa"/>
            <w:noWrap w:val="0"/>
            <w:vAlign w:val="center"/>
          </w:tcPr>
          <w:p>
            <w:pPr>
              <w:pStyle w:val="17"/>
              <w:rPr>
                <w:color w:val="auto"/>
              </w:rPr>
            </w:pPr>
          </w:p>
        </w:tc>
        <w:tc>
          <w:tcPr>
            <w:tcW w:w="880" w:type="dxa"/>
            <w:noWrap w:val="0"/>
            <w:vAlign w:val="center"/>
          </w:tcPr>
          <w:p>
            <w:pPr>
              <w:pStyle w:val="17"/>
              <w:rPr>
                <w:color w:val="auto"/>
              </w:rPr>
            </w:pPr>
          </w:p>
        </w:tc>
        <w:tc>
          <w:tcPr>
            <w:tcW w:w="740" w:type="dxa"/>
            <w:noWrap w:val="0"/>
            <w:vAlign w:val="center"/>
          </w:tcPr>
          <w:p>
            <w:pPr>
              <w:pStyle w:val="18"/>
              <w:rPr>
                <w:color w:val="auto"/>
              </w:rPr>
            </w:pPr>
          </w:p>
        </w:tc>
        <w:tc>
          <w:tcPr>
            <w:tcW w:w="670" w:type="dxa"/>
            <w:noWrap w:val="0"/>
            <w:vAlign w:val="center"/>
          </w:tcPr>
          <w:p>
            <w:pPr>
              <w:pStyle w:val="16"/>
              <w:rPr>
                <w:color w:val="auto"/>
              </w:rPr>
            </w:pPr>
          </w:p>
        </w:tc>
        <w:tc>
          <w:tcPr>
            <w:tcW w:w="570" w:type="dxa"/>
            <w:noWrap w:val="0"/>
            <w:vAlign w:val="center"/>
          </w:tcPr>
          <w:p>
            <w:pPr>
              <w:pStyle w:val="16"/>
              <w:rPr>
                <w:color w:val="auto"/>
              </w:rPr>
            </w:pPr>
          </w:p>
        </w:tc>
        <w:tc>
          <w:tcPr>
            <w:tcW w:w="700" w:type="dxa"/>
            <w:noWrap w:val="0"/>
            <w:vAlign w:val="center"/>
          </w:tcPr>
          <w:p>
            <w:pPr>
              <w:pStyle w:val="16"/>
              <w:rPr>
                <w:color w:val="auto"/>
              </w:rPr>
            </w:pPr>
          </w:p>
        </w:tc>
        <w:tc>
          <w:tcPr>
            <w:tcW w:w="1010" w:type="dxa"/>
            <w:noWrap w:val="0"/>
            <w:vAlign w:val="center"/>
          </w:tcPr>
          <w:p>
            <w:pPr>
              <w:pStyle w:val="16"/>
              <w:rPr>
                <w:color w:val="auto"/>
              </w:rPr>
            </w:pPr>
          </w:p>
        </w:tc>
        <w:tc>
          <w:tcPr>
            <w:tcW w:w="980" w:type="dxa"/>
            <w:noWrap w:val="0"/>
            <w:vAlign w:val="center"/>
          </w:tcPr>
          <w:p>
            <w:pPr>
              <w:pStyle w:val="16"/>
              <w:rPr>
                <w:color w:val="auto"/>
              </w:rPr>
            </w:pPr>
          </w:p>
        </w:tc>
        <w:tc>
          <w:tcPr>
            <w:tcW w:w="1300" w:type="dxa"/>
            <w:noWrap w:val="0"/>
            <w:vAlign w:val="center"/>
          </w:tcPr>
          <w:p>
            <w:pPr>
              <w:pStyle w:val="16"/>
              <w:rPr>
                <w:color w:val="auto"/>
              </w:rPr>
            </w:pPr>
          </w:p>
        </w:tc>
        <w:tc>
          <w:tcPr>
            <w:tcW w:w="1000" w:type="dxa"/>
            <w:noWrap w:val="0"/>
            <w:vAlign w:val="center"/>
          </w:tcPr>
          <w:p>
            <w:pPr>
              <w:pStyle w:val="16"/>
              <w:rPr>
                <w:color w:val="auto"/>
              </w:rPr>
            </w:pPr>
          </w:p>
        </w:tc>
        <w:tc>
          <w:tcPr>
            <w:tcW w:w="700" w:type="dxa"/>
            <w:noWrap w:val="0"/>
            <w:vAlign w:val="center"/>
          </w:tcPr>
          <w:p>
            <w:pPr>
              <w:pStyle w:val="16"/>
              <w:rPr>
                <w:color w:val="auto"/>
              </w:rPr>
            </w:pPr>
          </w:p>
        </w:tc>
        <w:tc>
          <w:tcPr>
            <w:tcW w:w="920" w:type="dxa"/>
            <w:noWrap w:val="0"/>
            <w:vAlign w:val="center"/>
          </w:tcPr>
          <w:p>
            <w:pPr>
              <w:pStyle w:val="16"/>
              <w:rPr>
                <w:color w:val="auto"/>
              </w:rPr>
            </w:pPr>
          </w:p>
        </w:tc>
        <w:tc>
          <w:tcPr>
            <w:tcW w:w="870" w:type="dxa"/>
            <w:noWrap w:val="0"/>
            <w:vAlign w:val="center"/>
          </w:tcPr>
          <w:p>
            <w:pPr>
              <w:pStyle w:val="16"/>
              <w:rPr>
                <w:color w:val="auto"/>
              </w:rPr>
            </w:pPr>
          </w:p>
        </w:tc>
        <w:tc>
          <w:tcPr>
            <w:tcW w:w="1063" w:type="dxa"/>
            <w:noWrap w:val="0"/>
            <w:vAlign w:val="center"/>
          </w:tcPr>
          <w:p>
            <w:pPr>
              <w:pStyle w:val="16"/>
              <w:rPr>
                <w:color w:val="auto"/>
              </w:rPr>
            </w:pPr>
          </w:p>
        </w:tc>
      </w:tr>
    </w:tbl>
    <w:p>
      <w:pPr>
        <w:jc w:val="center"/>
        <w:rPr>
          <w:color w:val="auto"/>
        </w:rPr>
      </w:pPr>
      <w:r>
        <w:rPr>
          <w:rFonts w:ascii="方正小标宋_GBK" w:hAnsi="方正小标宋_GBK" w:eastAsia="方正小标宋_GBK" w:cs="方正小标宋_GBK"/>
          <w:color w:val="auto"/>
          <w:sz w:val="36"/>
        </w:rPr>
        <w:t>单位政府采购预算</w:t>
      </w:r>
    </w:p>
    <w:p>
      <w:pPr>
        <w:spacing w:line="500" w:lineRule="exact"/>
        <w:ind w:firstLine="420"/>
        <w:rPr>
          <w:color w:val="auto"/>
        </w:rPr>
      </w:pPr>
    </w:p>
    <w:p>
      <w:pPr>
        <w:spacing w:before="10" w:after="10"/>
        <w:ind w:firstLine="640"/>
        <w:outlineLvl w:val="5"/>
        <w:rPr>
          <w:rFonts w:ascii="黑体" w:hAnsi="黑体" w:eastAsia="黑体" w:cs="黑体"/>
          <w:color w:val="auto"/>
          <w:sz w:val="32"/>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spacing w:before="10" w:after="10"/>
        <w:ind w:firstLine="640"/>
        <w:outlineLvl w:val="5"/>
        <w:rPr>
          <w:color w:val="auto"/>
        </w:rPr>
      </w:pPr>
      <w:r>
        <w:rPr>
          <w:rFonts w:ascii="黑体" w:hAnsi="黑体" w:eastAsia="黑体" w:cs="黑体"/>
          <w:color w:val="auto"/>
          <w:sz w:val="32"/>
        </w:rPr>
        <w:t>七、国有资产信息</w:t>
      </w:r>
    </w:p>
    <w:p>
      <w:pPr>
        <w:spacing w:line="500" w:lineRule="exact"/>
        <w:ind w:firstLine="560"/>
        <w:rPr>
          <w:color w:val="auto"/>
        </w:rPr>
      </w:pPr>
      <w:r>
        <w:rPr>
          <w:rFonts w:eastAsia="方正仿宋_GBK"/>
          <w:color w:val="auto"/>
          <w:sz w:val="28"/>
        </w:rPr>
        <w:t>保定市自然资源和规划局满城区分局本级上年末固定资产（详见下表）。本年度</w:t>
      </w:r>
      <w:r>
        <w:rPr>
          <w:rFonts w:hint="eastAsia" w:eastAsia="方正仿宋_GBK"/>
          <w:color w:val="auto"/>
          <w:sz w:val="28"/>
          <w:lang w:eastAsia="zh-CN"/>
        </w:rPr>
        <w:t>无</w:t>
      </w:r>
      <w:r>
        <w:rPr>
          <w:rFonts w:eastAsia="方正仿宋_GBK"/>
          <w:color w:val="auto"/>
          <w:sz w:val="28"/>
        </w:rPr>
        <w:t>拟购置固定资产</w:t>
      </w:r>
      <w:r>
        <w:rPr>
          <w:rFonts w:hint="eastAsia" w:eastAsia="方正仿宋_GBK"/>
          <w:color w:val="auto"/>
          <w:sz w:val="28"/>
          <w:lang w:eastAsia="zh-CN"/>
        </w:rPr>
        <w:t>计划</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5"/>
        <w:tblW w:w="149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928"/>
        <w:gridCol w:w="2665"/>
        <w:gridCol w:w="2665"/>
        <w:gridCol w:w="26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928" w:type="dxa"/>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324001保定市自然资源和规划局满城区分局本级</w:t>
            </w:r>
          </w:p>
        </w:tc>
        <w:tc>
          <w:tcPr>
            <w:tcW w:w="5330"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截止时间：202</w:t>
            </w:r>
            <w:r>
              <w:rPr>
                <w:rFonts w:hint="eastAsia"/>
                <w:color w:val="auto"/>
                <w:lang w:val="en-US" w:eastAsia="zh-CN"/>
              </w:rPr>
              <w:t>0</w:t>
            </w:r>
            <w:r>
              <w:rPr>
                <w:color w:val="auto"/>
              </w:rPr>
              <w:t>-12-31</w:t>
            </w:r>
          </w:p>
        </w:tc>
        <w:tc>
          <w:tcPr>
            <w:tcW w:w="2651" w:type="dxa"/>
            <w:tcBorders>
              <w:top w:val="single" w:color="FFFFFF" w:sz="6" w:space="0"/>
              <w:left w:val="single" w:color="FFFFFF" w:sz="6" w:space="0"/>
              <w:right w:val="single" w:color="FFFFFF" w:sz="6" w:space="0"/>
            </w:tcBorders>
            <w:noWrap w:val="0"/>
            <w:vAlign w:val="center"/>
          </w:tcPr>
          <w:p>
            <w:pPr>
              <w:pStyle w:val="12"/>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928" w:type="dxa"/>
            <w:noWrap w:val="0"/>
            <w:vAlign w:val="center"/>
          </w:tcPr>
          <w:p>
            <w:pPr>
              <w:pStyle w:val="15"/>
              <w:rPr>
                <w:color w:val="auto"/>
              </w:rPr>
            </w:pPr>
            <w:r>
              <w:rPr>
                <w:color w:val="auto"/>
              </w:rPr>
              <w:t>项   目</w:t>
            </w:r>
          </w:p>
        </w:tc>
        <w:tc>
          <w:tcPr>
            <w:tcW w:w="2665" w:type="dxa"/>
            <w:noWrap w:val="0"/>
            <w:vAlign w:val="center"/>
          </w:tcPr>
          <w:p>
            <w:pPr>
              <w:pStyle w:val="15"/>
              <w:rPr>
                <w:color w:val="auto"/>
              </w:rPr>
            </w:pPr>
            <w:r>
              <w:rPr>
                <w:color w:val="auto"/>
              </w:rPr>
              <w:t>数量</w:t>
            </w:r>
          </w:p>
        </w:tc>
        <w:tc>
          <w:tcPr>
            <w:tcW w:w="2665" w:type="dxa"/>
            <w:noWrap w:val="0"/>
            <w:vAlign w:val="center"/>
          </w:tcPr>
          <w:p>
            <w:pPr>
              <w:pStyle w:val="15"/>
              <w:rPr>
                <w:color w:val="auto"/>
              </w:rPr>
            </w:pPr>
            <w:r>
              <w:rPr>
                <w:color w:val="auto"/>
              </w:rPr>
              <w:t>价值（金额单位：万元）</w:t>
            </w:r>
          </w:p>
        </w:tc>
        <w:tc>
          <w:tcPr>
            <w:tcW w:w="2651" w:type="dxa"/>
            <w:noWrap w:val="0"/>
            <w:vAlign w:val="center"/>
          </w:tcPr>
          <w:p>
            <w:pPr>
              <w:pStyle w:val="15"/>
              <w:rPr>
                <w:rFonts w:hint="eastAsia" w:eastAsia="方正书宋_GBK"/>
                <w:color w:val="auto"/>
                <w:lang w:eastAsia="zh-CN"/>
              </w:rPr>
            </w:pPr>
            <w:r>
              <w:rPr>
                <w:rFonts w:hint="eastAsia"/>
                <w:color w:val="auto"/>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28" w:type="dxa"/>
            <w:noWrap w:val="0"/>
            <w:vAlign w:val="center"/>
          </w:tcPr>
          <w:p>
            <w:pPr>
              <w:pStyle w:val="17"/>
              <w:jc w:val="center"/>
              <w:rPr>
                <w:rFonts w:hint="eastAsia" w:eastAsia="宋体"/>
                <w:color w:val="auto"/>
                <w:lang w:eastAsia="zh-CN"/>
              </w:rPr>
            </w:pPr>
            <w:r>
              <w:rPr>
                <w:rFonts w:hint="eastAsia" w:eastAsia="宋体"/>
                <w:color w:val="auto"/>
                <w:lang w:eastAsia="zh-CN"/>
              </w:rPr>
              <w:t>总额</w:t>
            </w:r>
          </w:p>
        </w:tc>
        <w:tc>
          <w:tcPr>
            <w:tcW w:w="2665" w:type="dxa"/>
            <w:noWrap w:val="0"/>
            <w:vAlign w:val="center"/>
          </w:tcPr>
          <w:p>
            <w:pPr>
              <w:pStyle w:val="18"/>
              <w:rPr>
                <w:rFonts w:hint="eastAsia" w:ascii="宋体" w:hAnsi="宋体" w:eastAsia="宋体"/>
                <w:color w:val="auto"/>
                <w:lang w:eastAsia="zh-CN"/>
              </w:rPr>
            </w:pPr>
          </w:p>
        </w:tc>
        <w:tc>
          <w:tcPr>
            <w:tcW w:w="2665" w:type="dxa"/>
            <w:noWrap w:val="0"/>
            <w:vAlign w:val="center"/>
          </w:tcPr>
          <w:p>
            <w:pPr>
              <w:pStyle w:val="16"/>
              <w:rPr>
                <w:rFonts w:hint="eastAsia" w:ascii="宋体" w:hAnsi="宋体" w:eastAsia="宋体"/>
                <w:color w:val="auto"/>
                <w:lang w:val="en-US" w:eastAsia="zh-CN"/>
              </w:rPr>
            </w:pPr>
            <w:r>
              <w:rPr>
                <w:rFonts w:hint="eastAsia" w:ascii="宋体" w:hAnsi="宋体" w:eastAsia="宋体"/>
                <w:color w:val="auto"/>
                <w:lang w:val="en-US" w:eastAsia="zh-CN"/>
              </w:rPr>
              <w:t>822.29</w:t>
            </w:r>
          </w:p>
        </w:tc>
        <w:tc>
          <w:tcPr>
            <w:tcW w:w="2651" w:type="dxa"/>
            <w:noWrap w:val="0"/>
            <w:vAlign w:val="center"/>
          </w:tcPr>
          <w:p>
            <w:pPr>
              <w:pStyle w:val="16"/>
              <w:rPr>
                <w:rFonts w:hint="eastAsia" w:ascii="宋体" w:hAnsi="宋体" w:eastAsia="宋体"/>
                <w:color w:val="auto"/>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28" w:type="dxa"/>
            <w:noWrap w:val="0"/>
            <w:vAlign w:val="center"/>
          </w:tcPr>
          <w:p>
            <w:pPr>
              <w:pStyle w:val="17"/>
              <w:rPr>
                <w:color w:val="auto"/>
              </w:rPr>
            </w:pPr>
            <w:r>
              <w:rPr>
                <w:rFonts w:hint="eastAsia" w:eastAsia="宋体"/>
                <w:color w:val="auto"/>
                <w:lang w:eastAsia="zh-CN"/>
              </w:rPr>
              <w:t>1.房屋(平方米)</w:t>
            </w:r>
          </w:p>
        </w:tc>
        <w:tc>
          <w:tcPr>
            <w:tcW w:w="2665" w:type="dxa"/>
            <w:noWrap w:val="0"/>
            <w:vAlign w:val="center"/>
          </w:tcPr>
          <w:p>
            <w:pPr>
              <w:pStyle w:val="18"/>
              <w:rPr>
                <w:color w:val="auto"/>
              </w:rPr>
            </w:pPr>
            <w:r>
              <w:rPr>
                <w:rFonts w:hint="eastAsia" w:ascii="宋体" w:hAnsi="宋体" w:eastAsia="宋体"/>
                <w:color w:val="auto"/>
                <w:lang w:eastAsia="zh-CN"/>
              </w:rPr>
              <w:t>7271</w:t>
            </w:r>
          </w:p>
        </w:tc>
        <w:tc>
          <w:tcPr>
            <w:tcW w:w="2665" w:type="dxa"/>
            <w:noWrap w:val="0"/>
            <w:vAlign w:val="center"/>
          </w:tcPr>
          <w:p>
            <w:pPr>
              <w:pStyle w:val="16"/>
              <w:rPr>
                <w:color w:val="auto"/>
              </w:rPr>
            </w:pPr>
            <w:r>
              <w:rPr>
                <w:rFonts w:hint="eastAsia" w:ascii="宋体" w:hAnsi="宋体" w:eastAsia="宋体"/>
                <w:color w:val="auto"/>
                <w:lang w:eastAsia="zh-CN"/>
              </w:rPr>
              <w:t>664.61</w:t>
            </w:r>
          </w:p>
        </w:tc>
        <w:tc>
          <w:tcPr>
            <w:tcW w:w="2651" w:type="dxa"/>
            <w:noWrap w:val="0"/>
            <w:vAlign w:val="center"/>
          </w:tcPr>
          <w:p>
            <w:pPr>
              <w:pStyle w:val="16"/>
              <w:rPr>
                <w:rFonts w:hint="eastAsia" w:ascii="宋体" w:hAnsi="宋体" w:eastAsia="宋体"/>
                <w:color w:val="auto"/>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28" w:type="dxa"/>
            <w:noWrap w:val="0"/>
            <w:vAlign w:val="center"/>
          </w:tcPr>
          <w:p>
            <w:pPr>
              <w:pStyle w:val="17"/>
              <w:rPr>
                <w:color w:val="auto"/>
              </w:rPr>
            </w:pPr>
            <w:r>
              <w:rPr>
                <w:rFonts w:hint="eastAsia"/>
                <w:color w:val="auto"/>
                <w:lang w:val="en-US" w:eastAsia="zh-CN"/>
              </w:rPr>
              <w:t>其中：办公用房（平方米）</w:t>
            </w:r>
          </w:p>
        </w:tc>
        <w:tc>
          <w:tcPr>
            <w:tcW w:w="2665" w:type="dxa"/>
            <w:noWrap w:val="0"/>
            <w:vAlign w:val="center"/>
          </w:tcPr>
          <w:p>
            <w:pPr>
              <w:pStyle w:val="18"/>
              <w:rPr>
                <w:color w:val="auto"/>
              </w:rPr>
            </w:pPr>
            <w:r>
              <w:rPr>
                <w:rFonts w:hint="eastAsia"/>
                <w:color w:val="auto"/>
                <w:lang w:val="en-US" w:eastAsia="zh-CN"/>
              </w:rPr>
              <w:t>7271</w:t>
            </w:r>
          </w:p>
        </w:tc>
        <w:tc>
          <w:tcPr>
            <w:tcW w:w="2665" w:type="dxa"/>
            <w:noWrap w:val="0"/>
            <w:vAlign w:val="center"/>
          </w:tcPr>
          <w:p>
            <w:pPr>
              <w:pStyle w:val="16"/>
              <w:rPr>
                <w:color w:val="auto"/>
              </w:rPr>
            </w:pPr>
            <w:r>
              <w:rPr>
                <w:rFonts w:hint="eastAsia"/>
                <w:color w:val="auto"/>
                <w:lang w:val="en-US" w:eastAsia="zh-CN"/>
              </w:rPr>
              <w:t>664.61</w:t>
            </w:r>
          </w:p>
        </w:tc>
        <w:tc>
          <w:tcPr>
            <w:tcW w:w="2651" w:type="dxa"/>
            <w:noWrap w:val="0"/>
            <w:vAlign w:val="center"/>
          </w:tcPr>
          <w:p>
            <w:pPr>
              <w:pStyle w:val="16"/>
              <w:rPr>
                <w:rFonts w:hint="eastAsia"/>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28" w:type="dxa"/>
            <w:noWrap w:val="0"/>
            <w:vAlign w:val="center"/>
          </w:tcPr>
          <w:p>
            <w:pPr>
              <w:pStyle w:val="17"/>
              <w:rPr>
                <w:color w:val="auto"/>
              </w:rPr>
            </w:pPr>
            <w:r>
              <w:rPr>
                <w:rFonts w:hint="eastAsia"/>
                <w:color w:val="auto"/>
                <w:lang w:val="en-US" w:eastAsia="zh-CN"/>
              </w:rPr>
              <w:t>2.车辆（台、辆）</w:t>
            </w:r>
          </w:p>
        </w:tc>
        <w:tc>
          <w:tcPr>
            <w:tcW w:w="2665" w:type="dxa"/>
            <w:noWrap w:val="0"/>
            <w:vAlign w:val="center"/>
          </w:tcPr>
          <w:p>
            <w:pPr>
              <w:pStyle w:val="18"/>
              <w:rPr>
                <w:color w:val="auto"/>
              </w:rPr>
            </w:pPr>
            <w:r>
              <w:rPr>
                <w:rFonts w:hint="eastAsia"/>
                <w:color w:val="auto"/>
                <w:lang w:val="en-US" w:eastAsia="zh-CN"/>
              </w:rPr>
              <w:t>29</w:t>
            </w:r>
          </w:p>
        </w:tc>
        <w:tc>
          <w:tcPr>
            <w:tcW w:w="2665" w:type="dxa"/>
            <w:noWrap w:val="0"/>
            <w:vAlign w:val="center"/>
          </w:tcPr>
          <w:p>
            <w:pPr>
              <w:pStyle w:val="16"/>
              <w:rPr>
                <w:color w:val="auto"/>
              </w:rPr>
            </w:pPr>
            <w:r>
              <w:rPr>
                <w:rFonts w:hint="eastAsia"/>
                <w:color w:val="auto"/>
                <w:lang w:val="en-US" w:eastAsia="zh-CN"/>
              </w:rPr>
              <w:t>157.11</w:t>
            </w:r>
          </w:p>
        </w:tc>
        <w:tc>
          <w:tcPr>
            <w:tcW w:w="2651" w:type="dxa"/>
            <w:noWrap w:val="0"/>
            <w:vAlign w:val="center"/>
          </w:tcPr>
          <w:p>
            <w:pPr>
              <w:pStyle w:val="16"/>
              <w:rPr>
                <w:rFonts w:hint="eastAsia"/>
                <w:color w:val="auto"/>
                <w:lang w:val="en-US" w:eastAsia="zh-CN"/>
              </w:rPr>
            </w:pPr>
            <w:r>
              <w:rPr>
                <w:rFonts w:hint="eastAsia"/>
                <w:color w:val="auto"/>
                <w:lang w:val="en-US" w:eastAsia="zh-CN"/>
              </w:rPr>
              <w:t>其中：摩托车20辆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28" w:type="dxa"/>
            <w:noWrap w:val="0"/>
            <w:vAlign w:val="center"/>
          </w:tcPr>
          <w:p>
            <w:pPr>
              <w:pStyle w:val="17"/>
              <w:rPr>
                <w:color w:val="auto"/>
              </w:rPr>
            </w:pPr>
            <w:r>
              <w:rPr>
                <w:rFonts w:hint="eastAsia"/>
                <w:color w:val="auto"/>
                <w:lang w:val="en-US" w:eastAsia="zh-CN"/>
              </w:rPr>
              <w:t>3.单价在20万元以上的设备</w:t>
            </w:r>
          </w:p>
        </w:tc>
        <w:tc>
          <w:tcPr>
            <w:tcW w:w="2665" w:type="dxa"/>
            <w:noWrap w:val="0"/>
            <w:vAlign w:val="center"/>
          </w:tcPr>
          <w:p>
            <w:pPr>
              <w:pStyle w:val="18"/>
              <w:rPr>
                <w:color w:val="auto"/>
              </w:rPr>
            </w:pPr>
          </w:p>
        </w:tc>
        <w:tc>
          <w:tcPr>
            <w:tcW w:w="2665" w:type="dxa"/>
            <w:noWrap w:val="0"/>
            <w:vAlign w:val="center"/>
          </w:tcPr>
          <w:p>
            <w:pPr>
              <w:pStyle w:val="16"/>
              <w:rPr>
                <w:color w:val="auto"/>
              </w:rPr>
            </w:pPr>
            <w:r>
              <w:rPr>
                <w:rFonts w:hint="eastAsia"/>
                <w:color w:val="auto"/>
                <w:lang w:val="en-US" w:eastAsia="zh-CN"/>
              </w:rPr>
              <w:t>0</w:t>
            </w:r>
          </w:p>
        </w:tc>
        <w:tc>
          <w:tcPr>
            <w:tcW w:w="2651" w:type="dxa"/>
            <w:noWrap w:val="0"/>
            <w:vAlign w:val="center"/>
          </w:tcPr>
          <w:p>
            <w:pPr>
              <w:pStyle w:val="16"/>
              <w:rPr>
                <w:rFonts w:hint="eastAsia"/>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28" w:type="dxa"/>
            <w:noWrap w:val="0"/>
            <w:vAlign w:val="center"/>
          </w:tcPr>
          <w:p>
            <w:pPr>
              <w:pStyle w:val="17"/>
              <w:rPr>
                <w:color w:val="auto"/>
              </w:rPr>
            </w:pPr>
            <w:r>
              <w:rPr>
                <w:rFonts w:hint="eastAsia"/>
                <w:color w:val="auto"/>
                <w:lang w:val="en-US" w:eastAsia="zh-CN"/>
              </w:rPr>
              <w:t>4.其他固定资产</w:t>
            </w:r>
          </w:p>
        </w:tc>
        <w:tc>
          <w:tcPr>
            <w:tcW w:w="2665" w:type="dxa"/>
            <w:noWrap w:val="0"/>
            <w:vAlign w:val="center"/>
          </w:tcPr>
          <w:p>
            <w:pPr>
              <w:pStyle w:val="18"/>
              <w:jc w:val="both"/>
              <w:rPr>
                <w:color w:val="auto"/>
              </w:rPr>
            </w:pPr>
          </w:p>
        </w:tc>
        <w:tc>
          <w:tcPr>
            <w:tcW w:w="2665" w:type="dxa"/>
            <w:noWrap w:val="0"/>
            <w:vAlign w:val="center"/>
          </w:tcPr>
          <w:p>
            <w:pPr>
              <w:pStyle w:val="16"/>
              <w:rPr>
                <w:color w:val="auto"/>
              </w:rPr>
            </w:pPr>
            <w:r>
              <w:rPr>
                <w:rFonts w:hint="eastAsia"/>
                <w:color w:val="auto"/>
                <w:lang w:val="en-US" w:eastAsia="zh-CN"/>
              </w:rPr>
              <w:t>0</w:t>
            </w:r>
          </w:p>
        </w:tc>
        <w:tc>
          <w:tcPr>
            <w:tcW w:w="2651" w:type="dxa"/>
            <w:noWrap w:val="0"/>
            <w:vAlign w:val="center"/>
          </w:tcPr>
          <w:p>
            <w:pPr>
              <w:pStyle w:val="16"/>
              <w:rPr>
                <w:rFonts w:hint="eastAsia"/>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28" w:type="dxa"/>
            <w:noWrap w:val="0"/>
            <w:vAlign w:val="center"/>
          </w:tcPr>
          <w:p>
            <w:pPr>
              <w:pStyle w:val="17"/>
              <w:rPr>
                <w:color w:val="auto"/>
              </w:rPr>
            </w:pPr>
            <w:r>
              <w:rPr>
                <w:rFonts w:hint="eastAsia"/>
                <w:color w:val="auto"/>
                <w:lang w:val="en-US" w:eastAsia="zh-CN"/>
              </w:rPr>
              <w:t>5.无形资产</w:t>
            </w:r>
          </w:p>
        </w:tc>
        <w:tc>
          <w:tcPr>
            <w:tcW w:w="2665" w:type="dxa"/>
            <w:noWrap w:val="0"/>
            <w:vAlign w:val="center"/>
          </w:tcPr>
          <w:p>
            <w:pPr>
              <w:pStyle w:val="18"/>
              <w:rPr>
                <w:color w:val="auto"/>
              </w:rPr>
            </w:pPr>
            <w:r>
              <w:rPr>
                <w:rFonts w:hint="eastAsia"/>
                <w:color w:val="auto"/>
                <w:lang w:val="en-US" w:eastAsia="zh-CN"/>
              </w:rPr>
              <w:t>1</w:t>
            </w:r>
          </w:p>
        </w:tc>
        <w:tc>
          <w:tcPr>
            <w:tcW w:w="2665" w:type="dxa"/>
            <w:noWrap w:val="0"/>
            <w:vAlign w:val="center"/>
          </w:tcPr>
          <w:p>
            <w:pPr>
              <w:pStyle w:val="16"/>
              <w:rPr>
                <w:color w:val="auto"/>
              </w:rPr>
            </w:pPr>
            <w:r>
              <w:rPr>
                <w:rFonts w:hint="eastAsia"/>
                <w:color w:val="auto"/>
                <w:lang w:val="en-US" w:eastAsia="zh-CN"/>
              </w:rPr>
              <w:t>0.57</w:t>
            </w:r>
          </w:p>
        </w:tc>
        <w:tc>
          <w:tcPr>
            <w:tcW w:w="2651" w:type="dxa"/>
            <w:noWrap w:val="0"/>
            <w:vAlign w:val="center"/>
          </w:tcPr>
          <w:p>
            <w:pPr>
              <w:pStyle w:val="16"/>
              <w:rPr>
                <w:rFonts w:hint="eastAsia"/>
                <w:color w:val="auto"/>
                <w:lang w:val="en-US" w:eastAsia="zh-CN"/>
              </w:rPr>
            </w:pPr>
          </w:p>
        </w:tc>
      </w:tr>
    </w:tbl>
    <w:p>
      <w:pPr>
        <w:ind w:firstLine="420"/>
        <w:rPr>
          <w:color w:val="auto"/>
        </w:rPr>
      </w:pPr>
      <w:r>
        <w:rPr>
          <w:rFonts w:ascii="方正书宋_GBK" w:hAnsi="方正书宋_GBK" w:eastAsia="方正书宋_GBK" w:cs="方正书宋_GBK"/>
          <w:color w:val="auto"/>
          <w:sz w:val="21"/>
        </w:rPr>
        <w:t>注：无固定资产占用情况，空表列示。</w:t>
      </w:r>
    </w:p>
    <w:p>
      <w:pPr>
        <w:spacing w:before="10" w:after="10"/>
        <w:ind w:firstLine="640"/>
        <w:outlineLvl w:val="5"/>
        <w:rPr>
          <w:color w:val="auto"/>
        </w:rPr>
      </w:pPr>
      <w:r>
        <w:rPr>
          <w:rFonts w:ascii="黑体" w:hAnsi="黑体" w:eastAsia="黑体" w:cs="黑体"/>
          <w:color w:val="auto"/>
          <w:sz w:val="32"/>
        </w:rPr>
        <w:t>八、名词解释</w:t>
      </w:r>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区</w:t>
      </w:r>
      <w:r>
        <w:rPr>
          <w:rFonts w:eastAsia="方正仿宋_GBK"/>
          <w:color w:val="auto"/>
          <w:sz w:val="28"/>
        </w:rPr>
        <w:t>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w:t>
      </w:r>
      <w:r>
        <w:rPr>
          <w:rFonts w:hint="eastAsia" w:eastAsia="方正仿宋_GBK"/>
          <w:color w:val="auto"/>
          <w:sz w:val="28"/>
          <w:lang w:eastAsia="zh-CN"/>
        </w:rPr>
        <w:t>区</w:t>
      </w:r>
      <w:r>
        <w:rPr>
          <w:rFonts w:eastAsia="方正仿宋_GBK"/>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5"/>
        <w:rPr>
          <w:color w:val="auto"/>
        </w:rPr>
      </w:pPr>
      <w:r>
        <w:rPr>
          <w:rFonts w:ascii="黑体" w:hAnsi="黑体" w:eastAsia="黑体" w:cs="黑体"/>
          <w:color w:val="auto"/>
          <w:sz w:val="32"/>
        </w:rPr>
        <w:t>九、其他需要说明的事项</w:t>
      </w:r>
    </w:p>
    <w:p>
      <w:pPr>
        <w:spacing w:line="500" w:lineRule="exact"/>
        <w:ind w:firstLine="560"/>
        <w:rPr>
          <w:color w:val="auto"/>
        </w:rPr>
        <w:sectPr>
          <w:pgSz w:w="16838" w:h="11905" w:orient="landscape"/>
          <w:pgMar w:top="1304" w:right="1984" w:bottom="1304" w:left="1134" w:header="850" w:footer="992" w:gutter="0"/>
          <w:cols w:space="720" w:num="1"/>
          <w:rtlGutter w:val="0"/>
          <w:docGrid w:type="lines" w:linePitch="332" w:charSpace="0"/>
        </w:sectPr>
      </w:pPr>
      <w:r>
        <w:rPr>
          <w:rFonts w:eastAsia="方正仿宋_GBK"/>
          <w:color w:val="auto"/>
          <w:sz w:val="28"/>
        </w:rPr>
        <w:t>我单位无其他需要说明的事项。</w:t>
      </w:r>
    </w:p>
    <w:p>
      <w:pPr>
        <w:jc w:val="center"/>
        <w:outlineLvl w:val="3"/>
        <w:rPr>
          <w:color w:val="auto"/>
        </w:rPr>
      </w:pPr>
      <w:bookmarkStart w:id="19" w:name="_Toc_4_4_0000000022"/>
      <w:r>
        <w:rPr>
          <w:rFonts w:hint="eastAsia" w:ascii="方正小标宋_GBK" w:hAnsi="方正小标宋_GBK" w:eastAsia="方正小标宋_GBK" w:cs="方正小标宋_GBK"/>
          <w:color w:val="auto"/>
          <w:sz w:val="44"/>
          <w:lang w:val="en-US" w:eastAsia="zh-CN"/>
        </w:rPr>
        <w:t>二、</w:t>
      </w:r>
      <w:r>
        <w:rPr>
          <w:rFonts w:ascii="方正小标宋_GBK" w:hAnsi="方正小标宋_GBK" w:eastAsia="方正小标宋_GBK" w:cs="方正小标宋_GBK"/>
          <w:color w:val="auto"/>
          <w:sz w:val="44"/>
        </w:rPr>
        <w:t>保定市自然资源和规划局满城区分局(事业全额/事业差额)收支预算</w:t>
      </w:r>
      <w:bookmarkEnd w:id="19"/>
    </w:p>
    <w:p>
      <w:pPr>
        <w:jc w:val="center"/>
        <w:outlineLvl w:val="4"/>
        <w:rPr>
          <w:rFonts w:ascii="方正小标宋_GBK" w:hAnsi="方正小标宋_GBK" w:eastAsia="方正小标宋_GBK" w:cs="方正小标宋_GBK"/>
          <w:color w:val="auto"/>
          <w:sz w:val="36"/>
        </w:rPr>
      </w:pPr>
      <w:r>
        <w:rPr>
          <w:rFonts w:ascii="方正小标宋_GBK" w:hAnsi="方正小标宋_GBK" w:eastAsia="方正小标宋_GBK" w:cs="方正小标宋_GBK"/>
          <w:color w:val="auto"/>
          <w:sz w:val="36"/>
        </w:rPr>
        <w:t>单位预算收支总表</w:t>
      </w:r>
    </w:p>
    <w:tbl>
      <w:tblPr>
        <w:tblStyle w:val="5"/>
        <w:tblW w:w="132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4"/>
        <w:gridCol w:w="6565"/>
        <w:gridCol w:w="57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539" w:type="dxa"/>
            <w:gridSpan w:val="2"/>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324004保定市自然资源和规划局满城区分局</w:t>
            </w:r>
            <w:r>
              <w:rPr>
                <w:rFonts w:hint="eastAsia" w:eastAsia="宋体"/>
                <w:color w:val="auto"/>
                <w:lang w:val="en-US" w:eastAsia="zh-CN"/>
              </w:rPr>
              <w:t xml:space="preserve">              </w:t>
            </w:r>
          </w:p>
          <w:p>
            <w:pPr>
              <w:spacing w:line="240" w:lineRule="auto"/>
              <w:ind w:left="1680" w:hanging="1680" w:hangingChars="700"/>
              <w:jc w:val="left"/>
              <w:rPr>
                <w:rFonts w:hint="eastAsia" w:ascii="方正小标宋_GBK" w:eastAsia="方正小标宋_GBK"/>
                <w:color w:val="auto"/>
                <w:sz w:val="24"/>
                <w:lang w:val="en-US" w:eastAsia="zh-CN"/>
              </w:rPr>
            </w:pPr>
            <w:r>
              <w:rPr>
                <w:rFonts w:hint="eastAsia" w:ascii="方正小标宋_GBK" w:eastAsia="方正小标宋_GBK"/>
                <w:color w:val="auto"/>
                <w:sz w:val="24"/>
                <w:lang w:val="en-US" w:eastAsia="zh-CN"/>
              </w:rPr>
              <w:t xml:space="preserve"> </w:t>
            </w:r>
            <w:r>
              <w:rPr>
                <w:color w:val="auto"/>
              </w:rPr>
              <w:t>(事业全额/事业差额)</w:t>
            </w:r>
            <w:r>
              <w:rPr>
                <w:rFonts w:hint="eastAsia" w:eastAsia="宋体"/>
                <w:color w:val="auto"/>
                <w:lang w:val="en-US" w:eastAsia="zh-CN"/>
              </w:rPr>
              <w:t xml:space="preserve">                                                        </w:t>
            </w:r>
            <w:r>
              <w:rPr>
                <w:color w:val="auto"/>
              </w:rPr>
              <w:t>预算年度：202</w:t>
            </w:r>
            <w:r>
              <w:rPr>
                <w:rFonts w:hint="eastAsia"/>
                <w:color w:val="auto"/>
                <w:lang w:val="en-US" w:eastAsia="zh-CN"/>
              </w:rPr>
              <w:t>1</w:t>
            </w:r>
            <w:r>
              <w:rPr>
                <w:rFonts w:hint="eastAsia" w:ascii="方正小标宋_GBK" w:eastAsia="方正小标宋_GBK"/>
                <w:color w:val="auto"/>
                <w:sz w:val="24"/>
                <w:lang w:val="en-US" w:eastAsia="zh-CN"/>
              </w:rPr>
              <w:t xml:space="preserve"> </w:t>
            </w:r>
          </w:p>
          <w:p>
            <w:pPr>
              <w:spacing w:line="240" w:lineRule="auto"/>
              <w:ind w:left="1680" w:hanging="1680" w:hangingChars="700"/>
              <w:jc w:val="left"/>
              <w:rPr>
                <w:rFonts w:hint="default" w:ascii="方正小标宋_GBK" w:eastAsia="方正小标宋_GBK"/>
                <w:color w:val="auto"/>
                <w:sz w:val="24"/>
                <w:lang w:val="en-US" w:eastAsia="zh-CN"/>
              </w:rPr>
            </w:pPr>
          </w:p>
        </w:tc>
        <w:tc>
          <w:tcPr>
            <w:tcW w:w="575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olor w:val="auto"/>
                <w:sz w:val="24"/>
              </w:rPr>
            </w:pPr>
            <w:r>
              <w:rPr>
                <w:rFonts w:hint="eastAsia" w:ascii="方正书宋_GBK" w:eastAsia="方正书宋_GBK"/>
                <w:color w:val="auto"/>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7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项</w:t>
            </w:r>
            <w:r>
              <w:rPr>
                <w:rFonts w:ascii="方正书宋_GBK" w:eastAsia="方正书宋_GBK"/>
                <w:b/>
                <w:color w:val="auto"/>
              </w:rPr>
              <w:t xml:space="preserve">  </w:t>
            </w:r>
            <w:r>
              <w:rPr>
                <w:rFonts w:hint="eastAsia" w:ascii="方正书宋_GBK" w:eastAsia="方正书宋_GBK"/>
                <w:b/>
                <w:color w:val="auto"/>
              </w:rPr>
              <w:t>目代</w:t>
            </w:r>
            <w:r>
              <w:rPr>
                <w:rFonts w:ascii="方正书宋_GBK" w:eastAsia="方正书宋_GBK"/>
                <w:b/>
                <w:color w:val="auto"/>
              </w:rPr>
              <w:t xml:space="preserve">  </w:t>
            </w:r>
            <w:r>
              <w:rPr>
                <w:rFonts w:hint="eastAsia" w:ascii="方正书宋_GBK" w:eastAsia="方正书宋_GBK"/>
                <w:b/>
                <w:color w:val="auto"/>
              </w:rPr>
              <w:t>码</w:t>
            </w:r>
          </w:p>
        </w:tc>
        <w:tc>
          <w:tcPr>
            <w:tcW w:w="6565"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预算收支项目</w:t>
            </w:r>
          </w:p>
        </w:tc>
        <w:tc>
          <w:tcPr>
            <w:tcW w:w="5751"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预算收入</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60.33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本年收入</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60.33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一般公共预算拨款</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b/>
                <w:color w:val="auto"/>
              </w:rPr>
              <w:t>60.33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其中：财政拨款</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b/>
                <w:color w:val="auto"/>
              </w:rPr>
              <w:t>60.33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行政事业性收费</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国有资源（资产）有偿使用收入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政府住房基金收入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上级一般公共预算安排转移支付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一般债券</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其他</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基金预算拨款</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其中：政府性基金收入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专项债券对应项目专项收入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上级政府性基金预算安排转移支付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专项债券</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3</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国有资本经营预算拨款</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其中：国有资本经营收入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上级国有资本经营预算安排转移支付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4</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财政专户核拨</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5</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其他来源收入（单位资金）</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其中：事业收入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上级补助收入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附属单位上缴收入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事业单位经营收入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其他收入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上年结转结余</w:t>
            </w:r>
          </w:p>
        </w:tc>
        <w:tc>
          <w:tcPr>
            <w:tcW w:w="5751"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一般公共预算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政府性基金预算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3</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国有资本经营预算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4</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财政专户核拨</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5</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其他来源收入（单位资金）</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预算支出</w:t>
            </w:r>
          </w:p>
        </w:tc>
        <w:tc>
          <w:tcPr>
            <w:tcW w:w="5751" w:type="dxa"/>
            <w:noWrap w:val="0"/>
            <w:vAlign w:val="center"/>
          </w:tcPr>
          <w:p>
            <w:pPr>
              <w:spacing w:line="300" w:lineRule="exact"/>
              <w:jc w:val="right"/>
              <w:rPr>
                <w:rFonts w:hint="default" w:ascii="方正书宋_GBK" w:eastAsia="方正书宋_GBK"/>
                <w:b/>
                <w:color w:val="auto"/>
                <w:lang w:val="en-US" w:eastAsia="zh-CN"/>
              </w:rPr>
            </w:pPr>
            <w:r>
              <w:rPr>
                <w:rFonts w:hint="eastAsia" w:ascii="方正书宋_GBK" w:eastAsia="方正书宋_GBK"/>
                <w:b/>
                <w:color w:val="auto"/>
                <w:lang w:val="en-US" w:eastAsia="zh-CN"/>
              </w:rPr>
              <w:t>60.33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本年收入安排</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60.33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基本支出</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60.33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其中：人员经费</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59.74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日常公用经费</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项目支出</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上年结转安排</w:t>
            </w:r>
          </w:p>
        </w:tc>
        <w:tc>
          <w:tcPr>
            <w:tcW w:w="5751" w:type="dxa"/>
            <w:noWrap w:val="0"/>
            <w:vAlign w:val="center"/>
          </w:tcPr>
          <w:p>
            <w:pPr>
              <w:spacing w:line="300" w:lineRule="exact"/>
              <w:jc w:val="right"/>
              <w:rPr>
                <w:rFonts w:ascii="方正书宋_GBK" w:eastAsia="方正书宋_GBK"/>
                <w:b/>
                <w:color w:val="auto"/>
              </w:rPr>
            </w:pPr>
          </w:p>
        </w:tc>
      </w:tr>
    </w:tbl>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5"/>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324004保定市自然资源和规划局满城区分局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(事业全额/事业差额)</w:t>
            </w:r>
          </w:p>
        </w:tc>
        <w:tc>
          <w:tcPr>
            <w:tcW w:w="3402" w:type="dxa"/>
            <w:gridSpan w:val="3"/>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670" w:type="dxa"/>
            <w:gridSpan w:val="5"/>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5"/>
              <w:rPr>
                <w:color w:val="auto"/>
              </w:rPr>
            </w:pPr>
            <w:r>
              <w:rPr>
                <w:color w:val="auto"/>
              </w:rPr>
              <w:t>序号</w:t>
            </w:r>
          </w:p>
        </w:tc>
        <w:tc>
          <w:tcPr>
            <w:tcW w:w="2551" w:type="dxa"/>
            <w:gridSpan w:val="2"/>
            <w:noWrap w:val="0"/>
            <w:vAlign w:val="center"/>
          </w:tcPr>
          <w:p>
            <w:pPr>
              <w:pStyle w:val="15"/>
              <w:rPr>
                <w:color w:val="auto"/>
              </w:rPr>
            </w:pPr>
            <w:r>
              <w:rPr>
                <w:color w:val="auto"/>
              </w:rPr>
              <w:t>功能分类科目</w:t>
            </w:r>
          </w:p>
        </w:tc>
        <w:tc>
          <w:tcPr>
            <w:tcW w:w="1134" w:type="dxa"/>
            <w:vMerge w:val="restart"/>
            <w:noWrap w:val="0"/>
            <w:vAlign w:val="center"/>
          </w:tcPr>
          <w:p>
            <w:pPr>
              <w:pStyle w:val="15"/>
              <w:rPr>
                <w:color w:val="auto"/>
              </w:rPr>
            </w:pPr>
            <w:r>
              <w:rPr>
                <w:color w:val="auto"/>
              </w:rPr>
              <w:t>合计</w:t>
            </w:r>
          </w:p>
        </w:tc>
        <w:tc>
          <w:tcPr>
            <w:tcW w:w="9072" w:type="dxa"/>
            <w:gridSpan w:val="8"/>
            <w:noWrap w:val="0"/>
            <w:vAlign w:val="center"/>
          </w:tcPr>
          <w:p>
            <w:pPr>
              <w:pStyle w:val="15"/>
              <w:rPr>
                <w:color w:val="auto"/>
              </w:rPr>
            </w:pPr>
            <w:r>
              <w:rPr>
                <w:color w:val="auto"/>
              </w:rPr>
              <w:t>本年收入</w:t>
            </w:r>
          </w:p>
        </w:tc>
        <w:tc>
          <w:tcPr>
            <w:tcW w:w="1134" w:type="dxa"/>
            <w:vMerge w:val="restart"/>
            <w:noWrap w:val="0"/>
            <w:vAlign w:val="center"/>
          </w:tcPr>
          <w:p>
            <w:pPr>
              <w:pStyle w:val="15"/>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pPr>
              <w:rPr>
                <w:color w:val="auto"/>
              </w:rPr>
            </w:pPr>
          </w:p>
        </w:tc>
        <w:tc>
          <w:tcPr>
            <w:tcW w:w="992" w:type="dxa"/>
            <w:noWrap w:val="0"/>
            <w:vAlign w:val="center"/>
          </w:tcPr>
          <w:p>
            <w:pPr>
              <w:pStyle w:val="15"/>
              <w:rPr>
                <w:color w:val="auto"/>
              </w:rPr>
            </w:pPr>
            <w:r>
              <w:rPr>
                <w:color w:val="auto"/>
              </w:rPr>
              <w:t>科目    编码</w:t>
            </w:r>
          </w:p>
        </w:tc>
        <w:tc>
          <w:tcPr>
            <w:tcW w:w="1559" w:type="dxa"/>
            <w:noWrap w:val="0"/>
            <w:vAlign w:val="center"/>
          </w:tcPr>
          <w:p>
            <w:pPr>
              <w:pStyle w:val="15"/>
              <w:rPr>
                <w:color w:val="auto"/>
              </w:rPr>
            </w:pPr>
            <w:r>
              <w:rPr>
                <w:color w:val="auto"/>
              </w:rPr>
              <w:t>科目名称</w:t>
            </w:r>
          </w:p>
        </w:tc>
        <w:tc>
          <w:tcPr>
            <w:tcW w:w="1134" w:type="dxa"/>
            <w:vMerge w:val="continue"/>
            <w:noWrap w:val="0"/>
            <w:vAlign w:val="top"/>
          </w:tcPr>
          <w:p>
            <w:pPr>
              <w:rPr>
                <w:color w:val="auto"/>
              </w:rPr>
            </w:pPr>
          </w:p>
        </w:tc>
        <w:tc>
          <w:tcPr>
            <w:tcW w:w="1134" w:type="dxa"/>
            <w:noWrap w:val="0"/>
            <w:vAlign w:val="center"/>
          </w:tcPr>
          <w:p>
            <w:pPr>
              <w:pStyle w:val="15"/>
              <w:rPr>
                <w:color w:val="auto"/>
              </w:rPr>
            </w:pPr>
            <w:r>
              <w:rPr>
                <w:color w:val="auto"/>
              </w:rPr>
              <w:t>小计</w:t>
            </w:r>
          </w:p>
        </w:tc>
        <w:tc>
          <w:tcPr>
            <w:tcW w:w="1134" w:type="dxa"/>
            <w:noWrap w:val="0"/>
            <w:vAlign w:val="center"/>
          </w:tcPr>
          <w:p>
            <w:pPr>
              <w:pStyle w:val="15"/>
              <w:rPr>
                <w:color w:val="auto"/>
              </w:rPr>
            </w:pPr>
            <w:r>
              <w:rPr>
                <w:color w:val="auto"/>
              </w:rPr>
              <w:t>财政拨款 收入</w:t>
            </w:r>
          </w:p>
        </w:tc>
        <w:tc>
          <w:tcPr>
            <w:tcW w:w="1134" w:type="dxa"/>
            <w:noWrap w:val="0"/>
            <w:vAlign w:val="center"/>
          </w:tcPr>
          <w:p>
            <w:pPr>
              <w:pStyle w:val="15"/>
              <w:rPr>
                <w:color w:val="auto"/>
              </w:rPr>
            </w:pPr>
            <w:r>
              <w:rPr>
                <w:color w:val="auto"/>
              </w:rPr>
              <w:t>财政专户 收入</w:t>
            </w:r>
          </w:p>
        </w:tc>
        <w:tc>
          <w:tcPr>
            <w:tcW w:w="1134" w:type="dxa"/>
            <w:noWrap w:val="0"/>
            <w:vAlign w:val="center"/>
          </w:tcPr>
          <w:p>
            <w:pPr>
              <w:pStyle w:val="15"/>
              <w:rPr>
                <w:color w:val="auto"/>
              </w:rPr>
            </w:pPr>
            <w:r>
              <w:rPr>
                <w:color w:val="auto"/>
              </w:rPr>
              <w:t>事业收入</w:t>
            </w:r>
          </w:p>
        </w:tc>
        <w:tc>
          <w:tcPr>
            <w:tcW w:w="1134" w:type="dxa"/>
            <w:noWrap w:val="0"/>
            <w:vAlign w:val="center"/>
          </w:tcPr>
          <w:p>
            <w:pPr>
              <w:pStyle w:val="15"/>
              <w:rPr>
                <w:color w:val="auto"/>
              </w:rPr>
            </w:pPr>
            <w:r>
              <w:rPr>
                <w:color w:val="auto"/>
              </w:rPr>
              <w:t>经营收入</w:t>
            </w:r>
          </w:p>
        </w:tc>
        <w:tc>
          <w:tcPr>
            <w:tcW w:w="1134" w:type="dxa"/>
            <w:noWrap w:val="0"/>
            <w:vAlign w:val="center"/>
          </w:tcPr>
          <w:p>
            <w:pPr>
              <w:pStyle w:val="15"/>
              <w:rPr>
                <w:color w:val="auto"/>
              </w:rPr>
            </w:pPr>
            <w:r>
              <w:rPr>
                <w:color w:val="auto"/>
              </w:rPr>
              <w:t>上级补助收入</w:t>
            </w:r>
          </w:p>
        </w:tc>
        <w:tc>
          <w:tcPr>
            <w:tcW w:w="1134" w:type="dxa"/>
            <w:noWrap w:val="0"/>
            <w:vAlign w:val="center"/>
          </w:tcPr>
          <w:p>
            <w:pPr>
              <w:pStyle w:val="15"/>
              <w:rPr>
                <w:color w:val="auto"/>
              </w:rPr>
            </w:pPr>
            <w:r>
              <w:rPr>
                <w:color w:val="auto"/>
              </w:rPr>
              <w:t>附属单位上缴收入</w:t>
            </w:r>
          </w:p>
        </w:tc>
        <w:tc>
          <w:tcPr>
            <w:tcW w:w="1134" w:type="dxa"/>
            <w:noWrap w:val="0"/>
            <w:vAlign w:val="center"/>
          </w:tcPr>
          <w:p>
            <w:pPr>
              <w:pStyle w:val="15"/>
              <w:rPr>
                <w:color w:val="auto"/>
              </w:rPr>
            </w:pPr>
            <w:r>
              <w:rPr>
                <w:color w:val="auto"/>
              </w:rPr>
              <w:t>其他收入</w:t>
            </w:r>
          </w:p>
        </w:tc>
        <w:tc>
          <w:tcPr>
            <w:tcW w:w="1134"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5"/>
              <w:rPr>
                <w:color w:val="auto"/>
              </w:rPr>
            </w:pPr>
            <w:r>
              <w:rPr>
                <w:color w:val="auto"/>
              </w:rPr>
              <w:t>栏次</w:t>
            </w:r>
          </w:p>
        </w:tc>
        <w:tc>
          <w:tcPr>
            <w:tcW w:w="992" w:type="dxa"/>
            <w:noWrap w:val="0"/>
            <w:vAlign w:val="center"/>
          </w:tcPr>
          <w:p>
            <w:pPr>
              <w:pStyle w:val="15"/>
              <w:rPr>
                <w:color w:val="auto"/>
              </w:rPr>
            </w:pPr>
            <w:r>
              <w:rPr>
                <w:color w:val="auto"/>
              </w:rPr>
              <w:t>1</w:t>
            </w:r>
          </w:p>
        </w:tc>
        <w:tc>
          <w:tcPr>
            <w:tcW w:w="1559" w:type="dxa"/>
            <w:noWrap w:val="0"/>
            <w:vAlign w:val="center"/>
          </w:tcPr>
          <w:p>
            <w:pPr>
              <w:pStyle w:val="15"/>
              <w:rPr>
                <w:color w:val="auto"/>
              </w:rPr>
            </w:pPr>
            <w:r>
              <w:rPr>
                <w:color w:val="auto"/>
              </w:rPr>
              <w:t>2</w:t>
            </w:r>
          </w:p>
        </w:tc>
        <w:tc>
          <w:tcPr>
            <w:tcW w:w="1134" w:type="dxa"/>
            <w:noWrap w:val="0"/>
            <w:vAlign w:val="center"/>
          </w:tcPr>
          <w:p>
            <w:pPr>
              <w:pStyle w:val="15"/>
              <w:rPr>
                <w:color w:val="auto"/>
              </w:rPr>
            </w:pPr>
            <w:r>
              <w:rPr>
                <w:color w:val="auto"/>
              </w:rPr>
              <w:t>3</w:t>
            </w:r>
          </w:p>
        </w:tc>
        <w:tc>
          <w:tcPr>
            <w:tcW w:w="1134" w:type="dxa"/>
            <w:noWrap w:val="0"/>
            <w:vAlign w:val="center"/>
          </w:tcPr>
          <w:p>
            <w:pPr>
              <w:pStyle w:val="15"/>
              <w:rPr>
                <w:color w:val="auto"/>
              </w:rPr>
            </w:pPr>
            <w:r>
              <w:rPr>
                <w:color w:val="auto"/>
              </w:rPr>
              <w:t>4</w:t>
            </w:r>
          </w:p>
        </w:tc>
        <w:tc>
          <w:tcPr>
            <w:tcW w:w="1134" w:type="dxa"/>
            <w:noWrap w:val="0"/>
            <w:vAlign w:val="center"/>
          </w:tcPr>
          <w:p>
            <w:pPr>
              <w:pStyle w:val="15"/>
              <w:rPr>
                <w:color w:val="auto"/>
              </w:rPr>
            </w:pPr>
            <w:r>
              <w:rPr>
                <w:color w:val="auto"/>
              </w:rPr>
              <w:t>5</w:t>
            </w:r>
          </w:p>
        </w:tc>
        <w:tc>
          <w:tcPr>
            <w:tcW w:w="1134" w:type="dxa"/>
            <w:noWrap w:val="0"/>
            <w:vAlign w:val="center"/>
          </w:tcPr>
          <w:p>
            <w:pPr>
              <w:pStyle w:val="15"/>
              <w:rPr>
                <w:color w:val="auto"/>
              </w:rPr>
            </w:pPr>
            <w:r>
              <w:rPr>
                <w:color w:val="auto"/>
              </w:rPr>
              <w:t>6</w:t>
            </w:r>
          </w:p>
        </w:tc>
        <w:tc>
          <w:tcPr>
            <w:tcW w:w="1134" w:type="dxa"/>
            <w:noWrap w:val="0"/>
            <w:vAlign w:val="center"/>
          </w:tcPr>
          <w:p>
            <w:pPr>
              <w:pStyle w:val="15"/>
              <w:rPr>
                <w:color w:val="auto"/>
              </w:rPr>
            </w:pPr>
            <w:r>
              <w:rPr>
                <w:color w:val="auto"/>
              </w:rPr>
              <w:t>7</w:t>
            </w:r>
          </w:p>
        </w:tc>
        <w:tc>
          <w:tcPr>
            <w:tcW w:w="1134" w:type="dxa"/>
            <w:noWrap w:val="0"/>
            <w:vAlign w:val="center"/>
          </w:tcPr>
          <w:p>
            <w:pPr>
              <w:pStyle w:val="15"/>
              <w:rPr>
                <w:color w:val="auto"/>
              </w:rPr>
            </w:pPr>
            <w:r>
              <w:rPr>
                <w:color w:val="auto"/>
              </w:rPr>
              <w:t>8</w:t>
            </w:r>
          </w:p>
        </w:tc>
        <w:tc>
          <w:tcPr>
            <w:tcW w:w="1134" w:type="dxa"/>
            <w:noWrap w:val="0"/>
            <w:vAlign w:val="center"/>
          </w:tcPr>
          <w:p>
            <w:pPr>
              <w:pStyle w:val="15"/>
              <w:rPr>
                <w:color w:val="auto"/>
              </w:rPr>
            </w:pPr>
            <w:r>
              <w:rPr>
                <w:color w:val="auto"/>
              </w:rPr>
              <w:t>9</w:t>
            </w:r>
          </w:p>
        </w:tc>
        <w:tc>
          <w:tcPr>
            <w:tcW w:w="1134" w:type="dxa"/>
            <w:noWrap w:val="0"/>
            <w:vAlign w:val="center"/>
          </w:tcPr>
          <w:p>
            <w:pPr>
              <w:pStyle w:val="15"/>
              <w:rPr>
                <w:color w:val="auto"/>
              </w:rPr>
            </w:pPr>
            <w:r>
              <w:rPr>
                <w:color w:val="auto"/>
              </w:rPr>
              <w:t>10</w:t>
            </w:r>
          </w:p>
        </w:tc>
        <w:tc>
          <w:tcPr>
            <w:tcW w:w="1134" w:type="dxa"/>
            <w:noWrap w:val="0"/>
            <w:vAlign w:val="center"/>
          </w:tcPr>
          <w:p>
            <w:pPr>
              <w:pStyle w:val="15"/>
              <w:rPr>
                <w:color w:val="auto"/>
              </w:rPr>
            </w:pPr>
            <w:r>
              <w:rPr>
                <w:color w:val="auto"/>
              </w:rPr>
              <w:t>11</w:t>
            </w:r>
          </w:p>
        </w:tc>
        <w:tc>
          <w:tcPr>
            <w:tcW w:w="1134" w:type="dxa"/>
            <w:noWrap w:val="0"/>
            <w:vAlign w:val="center"/>
          </w:tcPr>
          <w:p>
            <w:pPr>
              <w:pStyle w:val="15"/>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992" w:type="dxa"/>
            <w:noWrap w:val="0"/>
            <w:vAlign w:val="center"/>
          </w:tcPr>
          <w:p>
            <w:pPr>
              <w:jc w:val="left"/>
              <w:rPr>
                <w:color w:val="auto"/>
              </w:rPr>
            </w:pP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1134" w:type="dxa"/>
            <w:noWrap w:val="0"/>
            <w:vAlign w:val="center"/>
          </w:tcPr>
          <w:p>
            <w:pPr>
              <w:pStyle w:val="20"/>
              <w:rPr>
                <w:rFonts w:hint="default" w:eastAsia="方正书宋_GBK"/>
                <w:color w:val="auto"/>
                <w:lang w:val="en-US" w:eastAsia="zh-CN"/>
              </w:rPr>
            </w:pPr>
            <w:r>
              <w:rPr>
                <w:rFonts w:hint="eastAsia"/>
                <w:color w:val="auto"/>
                <w:lang w:val="en-US" w:eastAsia="zh-CN"/>
              </w:rPr>
              <w:t>60.33</w:t>
            </w:r>
          </w:p>
        </w:tc>
        <w:tc>
          <w:tcPr>
            <w:tcW w:w="1134" w:type="dxa"/>
            <w:noWrap w:val="0"/>
            <w:vAlign w:val="center"/>
          </w:tcPr>
          <w:p>
            <w:pPr>
              <w:pStyle w:val="20"/>
              <w:rPr>
                <w:rFonts w:hint="default" w:eastAsia="方正书宋_GBK"/>
                <w:color w:val="auto"/>
                <w:lang w:val="en-US" w:eastAsia="zh-CN"/>
              </w:rPr>
            </w:pPr>
            <w:r>
              <w:rPr>
                <w:rFonts w:hint="eastAsia"/>
                <w:color w:val="auto"/>
                <w:lang w:val="en-US" w:eastAsia="zh-CN"/>
              </w:rPr>
              <w:t>60.33</w:t>
            </w:r>
          </w:p>
        </w:tc>
        <w:tc>
          <w:tcPr>
            <w:tcW w:w="1134" w:type="dxa"/>
            <w:noWrap w:val="0"/>
            <w:vAlign w:val="center"/>
          </w:tcPr>
          <w:p>
            <w:pPr>
              <w:pStyle w:val="20"/>
              <w:rPr>
                <w:rFonts w:hint="default" w:eastAsia="方正书宋_GBK"/>
                <w:color w:val="auto"/>
                <w:lang w:val="en-US" w:eastAsia="zh-CN"/>
              </w:rPr>
            </w:pPr>
            <w:r>
              <w:rPr>
                <w:rFonts w:hint="eastAsia"/>
                <w:color w:val="auto"/>
                <w:lang w:val="en-US" w:eastAsia="zh-CN"/>
              </w:rPr>
              <w:t>60.33</w:t>
            </w: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19.41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19.41</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19.41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14.71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14.71</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14.71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4.13</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4.13</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4.13</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0.57</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0.57</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0.57</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1.74</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1.74</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1.74</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1.74</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1.74</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1.74</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城乡社区规划与管理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2120201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城乡社区规划与管理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城乡社区公共设施</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2120399</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征地和拆迁补偿支出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21210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2121002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农林水支出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农业农村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2130135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林业和草原</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森林资源培育</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技术推广与转化</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2130209</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森林生态效益补偿</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2130234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林业草原防灾减灾</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36.72</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36.72</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36.72</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自然资源事务</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行政运行</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一般行政管理事务</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自然资源规划及管理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自然资源利用与保护</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2200150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事业运行</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36.72</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36.72</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36.72</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住房保障支出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住房改革支出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住房公积金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自然灾害防治</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地质灾害防治</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p>
        </w:tc>
        <w:tc>
          <w:tcPr>
            <w:tcW w:w="992" w:type="dxa"/>
            <w:noWrap w:val="0"/>
            <w:vAlign w:val="center"/>
          </w:tcPr>
          <w:p>
            <w:pPr>
              <w:jc w:val="left"/>
              <w:rPr>
                <w:color w:val="auto"/>
              </w:rPr>
            </w:pPr>
          </w:p>
        </w:tc>
        <w:tc>
          <w:tcPr>
            <w:tcW w:w="1559" w:type="dxa"/>
            <w:noWrap w:val="0"/>
            <w:vAlign w:val="center"/>
          </w:tcPr>
          <w:p>
            <w:pPr>
              <w:keepNext w:val="0"/>
              <w:keepLines w:val="0"/>
              <w:widowControl/>
              <w:suppressLineNumbers w:val="0"/>
              <w:jc w:val="left"/>
              <w:textAlignment w:val="center"/>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rFonts w:hint="eastAsia"/>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5"/>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324004保定市自然资源和规划局满城区分局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(事业全额/事业差额)</w:t>
            </w:r>
          </w:p>
        </w:tc>
        <w:tc>
          <w:tcPr>
            <w:tcW w:w="2722" w:type="dxa"/>
            <w:gridSpan w:val="2"/>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444" w:type="dxa"/>
            <w:gridSpan w:val="4"/>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528" w:type="dxa"/>
            <w:gridSpan w:val="2"/>
            <w:noWrap w:val="0"/>
            <w:vAlign w:val="center"/>
          </w:tcPr>
          <w:p>
            <w:pPr>
              <w:pStyle w:val="15"/>
              <w:rPr>
                <w:color w:val="auto"/>
              </w:rPr>
            </w:pPr>
            <w:r>
              <w:rPr>
                <w:color w:val="auto"/>
              </w:rPr>
              <w:t>功能分类科目</w:t>
            </w:r>
          </w:p>
        </w:tc>
        <w:tc>
          <w:tcPr>
            <w:tcW w:w="1361" w:type="dxa"/>
            <w:vMerge w:val="restart"/>
            <w:noWrap w:val="0"/>
            <w:vAlign w:val="center"/>
          </w:tcPr>
          <w:p>
            <w:pPr>
              <w:pStyle w:val="15"/>
              <w:rPr>
                <w:color w:val="auto"/>
              </w:rPr>
            </w:pPr>
            <w:r>
              <w:rPr>
                <w:color w:val="auto"/>
              </w:rPr>
              <w:t>合计</w:t>
            </w:r>
          </w:p>
        </w:tc>
        <w:tc>
          <w:tcPr>
            <w:tcW w:w="1361" w:type="dxa"/>
            <w:vMerge w:val="restart"/>
            <w:noWrap w:val="0"/>
            <w:vAlign w:val="center"/>
          </w:tcPr>
          <w:p>
            <w:pPr>
              <w:pStyle w:val="15"/>
              <w:rPr>
                <w:color w:val="auto"/>
              </w:rPr>
            </w:pPr>
            <w:r>
              <w:rPr>
                <w:color w:val="auto"/>
              </w:rPr>
              <w:t>基本支出</w:t>
            </w:r>
          </w:p>
        </w:tc>
        <w:tc>
          <w:tcPr>
            <w:tcW w:w="1361" w:type="dxa"/>
            <w:vMerge w:val="restart"/>
            <w:noWrap w:val="0"/>
            <w:vAlign w:val="center"/>
          </w:tcPr>
          <w:p>
            <w:pPr>
              <w:pStyle w:val="15"/>
              <w:rPr>
                <w:color w:val="auto"/>
              </w:rPr>
            </w:pPr>
            <w:r>
              <w:rPr>
                <w:color w:val="auto"/>
              </w:rPr>
              <w:t>项目支出</w:t>
            </w:r>
          </w:p>
        </w:tc>
        <w:tc>
          <w:tcPr>
            <w:tcW w:w="1361" w:type="dxa"/>
            <w:vMerge w:val="restart"/>
            <w:noWrap w:val="0"/>
            <w:vAlign w:val="center"/>
          </w:tcPr>
          <w:p>
            <w:pPr>
              <w:pStyle w:val="15"/>
              <w:rPr>
                <w:color w:val="auto"/>
              </w:rPr>
            </w:pPr>
            <w:r>
              <w:rPr>
                <w:color w:val="auto"/>
              </w:rPr>
              <w:t>经营支出</w:t>
            </w:r>
          </w:p>
        </w:tc>
        <w:tc>
          <w:tcPr>
            <w:tcW w:w="1361" w:type="dxa"/>
            <w:vMerge w:val="restart"/>
            <w:noWrap w:val="0"/>
            <w:vAlign w:val="center"/>
          </w:tcPr>
          <w:p>
            <w:pPr>
              <w:pStyle w:val="15"/>
              <w:rPr>
                <w:color w:val="auto"/>
              </w:rPr>
            </w:pPr>
            <w:r>
              <w:rPr>
                <w:color w:val="auto"/>
              </w:rPr>
              <w:t>上解上级     支出</w:t>
            </w:r>
          </w:p>
        </w:tc>
        <w:tc>
          <w:tcPr>
            <w:tcW w:w="1361" w:type="dxa"/>
            <w:vMerge w:val="restart"/>
            <w:noWrap w:val="0"/>
            <w:vAlign w:val="center"/>
          </w:tcPr>
          <w:p>
            <w:pPr>
              <w:pStyle w:val="15"/>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992" w:type="dxa"/>
            <w:noWrap w:val="0"/>
            <w:vAlign w:val="center"/>
          </w:tcPr>
          <w:p>
            <w:pPr>
              <w:pStyle w:val="15"/>
              <w:rPr>
                <w:color w:val="auto"/>
              </w:rPr>
            </w:pPr>
            <w:r>
              <w:rPr>
                <w:color w:val="auto"/>
              </w:rPr>
              <w:t>科目    编码</w:t>
            </w:r>
          </w:p>
        </w:tc>
        <w:tc>
          <w:tcPr>
            <w:tcW w:w="4536" w:type="dxa"/>
            <w:noWrap w:val="0"/>
            <w:vAlign w:val="center"/>
          </w:tcPr>
          <w:p>
            <w:pPr>
              <w:pStyle w:val="15"/>
              <w:rPr>
                <w:color w:val="auto"/>
              </w:rPr>
            </w:pPr>
            <w:r>
              <w:rPr>
                <w:color w:val="auto"/>
              </w:rPr>
              <w:t>科目名称</w:t>
            </w: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992" w:type="dxa"/>
            <w:noWrap w:val="0"/>
            <w:vAlign w:val="center"/>
          </w:tcPr>
          <w:p>
            <w:pPr>
              <w:pStyle w:val="15"/>
              <w:rPr>
                <w:color w:val="auto"/>
              </w:rPr>
            </w:pPr>
            <w:r>
              <w:rPr>
                <w:color w:val="auto"/>
              </w:rPr>
              <w:t>1</w:t>
            </w:r>
          </w:p>
        </w:tc>
        <w:tc>
          <w:tcPr>
            <w:tcW w:w="4536" w:type="dxa"/>
            <w:noWrap w:val="0"/>
            <w:vAlign w:val="center"/>
          </w:tcPr>
          <w:p>
            <w:pPr>
              <w:pStyle w:val="15"/>
              <w:rPr>
                <w:color w:val="auto"/>
              </w:rPr>
            </w:pPr>
            <w:r>
              <w:rPr>
                <w:color w:val="auto"/>
              </w:rPr>
              <w:t>2</w:t>
            </w:r>
          </w:p>
        </w:tc>
        <w:tc>
          <w:tcPr>
            <w:tcW w:w="1361" w:type="dxa"/>
            <w:noWrap w:val="0"/>
            <w:vAlign w:val="center"/>
          </w:tcPr>
          <w:p>
            <w:pPr>
              <w:pStyle w:val="15"/>
              <w:rPr>
                <w:color w:val="auto"/>
              </w:rPr>
            </w:pPr>
            <w:r>
              <w:rPr>
                <w:color w:val="auto"/>
              </w:rPr>
              <w:t>3</w:t>
            </w:r>
          </w:p>
        </w:tc>
        <w:tc>
          <w:tcPr>
            <w:tcW w:w="1361" w:type="dxa"/>
            <w:noWrap w:val="0"/>
            <w:vAlign w:val="center"/>
          </w:tcPr>
          <w:p>
            <w:pPr>
              <w:pStyle w:val="15"/>
              <w:rPr>
                <w:color w:val="auto"/>
              </w:rPr>
            </w:pPr>
            <w:r>
              <w:rPr>
                <w:color w:val="auto"/>
              </w:rPr>
              <w:t>4</w:t>
            </w:r>
          </w:p>
        </w:tc>
        <w:tc>
          <w:tcPr>
            <w:tcW w:w="1361" w:type="dxa"/>
            <w:noWrap w:val="0"/>
            <w:vAlign w:val="center"/>
          </w:tcPr>
          <w:p>
            <w:pPr>
              <w:pStyle w:val="15"/>
              <w:rPr>
                <w:color w:val="auto"/>
              </w:rPr>
            </w:pPr>
            <w:r>
              <w:rPr>
                <w:color w:val="auto"/>
              </w:rPr>
              <w:t>5</w:t>
            </w:r>
          </w:p>
        </w:tc>
        <w:tc>
          <w:tcPr>
            <w:tcW w:w="1361" w:type="dxa"/>
            <w:noWrap w:val="0"/>
            <w:vAlign w:val="center"/>
          </w:tcPr>
          <w:p>
            <w:pPr>
              <w:pStyle w:val="15"/>
              <w:rPr>
                <w:color w:val="auto"/>
              </w:rPr>
            </w:pPr>
            <w:r>
              <w:rPr>
                <w:color w:val="auto"/>
              </w:rPr>
              <w:t>6</w:t>
            </w:r>
          </w:p>
        </w:tc>
        <w:tc>
          <w:tcPr>
            <w:tcW w:w="1361" w:type="dxa"/>
            <w:noWrap w:val="0"/>
            <w:vAlign w:val="center"/>
          </w:tcPr>
          <w:p>
            <w:pPr>
              <w:pStyle w:val="15"/>
              <w:rPr>
                <w:color w:val="auto"/>
              </w:rPr>
            </w:pPr>
            <w:r>
              <w:rPr>
                <w:color w:val="auto"/>
              </w:rPr>
              <w:t>7</w:t>
            </w:r>
          </w:p>
        </w:tc>
        <w:tc>
          <w:tcPr>
            <w:tcW w:w="1361" w:type="dxa"/>
            <w:noWrap w:val="0"/>
            <w:vAlign w:val="center"/>
          </w:tcPr>
          <w:p>
            <w:pPr>
              <w:pStyle w:val="15"/>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992" w:type="dxa"/>
            <w:noWrap w:val="0"/>
            <w:vAlign w:val="center"/>
          </w:tcPr>
          <w:p>
            <w:pPr>
              <w:jc w:val="left"/>
              <w:rPr>
                <w:color w:val="auto"/>
              </w:rPr>
            </w:pP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1361" w:type="dxa"/>
            <w:noWrap w:val="0"/>
            <w:vAlign w:val="center"/>
          </w:tcPr>
          <w:p>
            <w:pPr>
              <w:pStyle w:val="20"/>
              <w:rPr>
                <w:color w:val="auto"/>
              </w:rPr>
            </w:pPr>
            <w:r>
              <w:rPr>
                <w:rFonts w:hint="eastAsia"/>
                <w:color w:val="auto"/>
                <w:lang w:val="en-US" w:eastAsia="zh-CN"/>
              </w:rPr>
              <w:t>60.33</w:t>
            </w:r>
          </w:p>
        </w:tc>
        <w:tc>
          <w:tcPr>
            <w:tcW w:w="1361" w:type="dxa"/>
            <w:noWrap w:val="0"/>
            <w:vAlign w:val="center"/>
          </w:tcPr>
          <w:p>
            <w:pPr>
              <w:pStyle w:val="20"/>
              <w:rPr>
                <w:rFonts w:hint="default" w:eastAsia="方正书宋_GBK"/>
                <w:color w:val="auto"/>
                <w:lang w:val="en-US" w:eastAsia="zh-CN"/>
              </w:rPr>
            </w:pPr>
            <w:r>
              <w:rPr>
                <w:rFonts w:hint="eastAsia"/>
                <w:color w:val="auto"/>
                <w:lang w:val="en-US" w:eastAsia="zh-CN"/>
              </w:rPr>
              <w:t>60.33</w:t>
            </w:r>
          </w:p>
        </w:tc>
        <w:tc>
          <w:tcPr>
            <w:tcW w:w="1361" w:type="dxa"/>
            <w:noWrap w:val="0"/>
            <w:vAlign w:val="center"/>
          </w:tcPr>
          <w:p>
            <w:pPr>
              <w:pStyle w:val="20"/>
              <w:rPr>
                <w:rFonts w:hint="default" w:eastAsia="方正书宋_GBK"/>
                <w:color w:val="auto"/>
                <w:lang w:val="en-US" w:eastAsia="zh-CN"/>
              </w:rPr>
            </w:pPr>
          </w:p>
        </w:tc>
        <w:tc>
          <w:tcPr>
            <w:tcW w:w="1361" w:type="dxa"/>
            <w:noWrap w:val="0"/>
            <w:vAlign w:val="center"/>
          </w:tcPr>
          <w:p>
            <w:pPr>
              <w:pStyle w:val="20"/>
              <w:rPr>
                <w:color w:val="auto"/>
              </w:rPr>
            </w:pPr>
          </w:p>
        </w:tc>
        <w:tc>
          <w:tcPr>
            <w:tcW w:w="1361" w:type="dxa"/>
            <w:noWrap w:val="0"/>
            <w:vAlign w:val="center"/>
          </w:tcPr>
          <w:p>
            <w:pPr>
              <w:pStyle w:val="20"/>
              <w:rPr>
                <w:color w:val="auto"/>
              </w:rPr>
            </w:pPr>
          </w:p>
        </w:tc>
        <w:tc>
          <w:tcPr>
            <w:tcW w:w="1361"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19.41</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19.41</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14.71</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14.71</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4.13</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4.13</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0.57</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0.57</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1.74</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1.74</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1361" w:type="dxa"/>
            <w:noWrap w:val="0"/>
            <w:vAlign w:val="center"/>
          </w:tcPr>
          <w:p>
            <w:pPr>
              <w:pStyle w:val="16"/>
              <w:rPr>
                <w:color w:val="auto"/>
              </w:rPr>
            </w:pPr>
            <w:r>
              <w:rPr>
                <w:rFonts w:hint="eastAsia"/>
                <w:color w:val="auto"/>
                <w:lang w:val="en-US" w:eastAsia="zh-CN"/>
              </w:rPr>
              <w:t>1.74</w:t>
            </w:r>
          </w:p>
        </w:tc>
        <w:tc>
          <w:tcPr>
            <w:tcW w:w="1361" w:type="dxa"/>
            <w:noWrap w:val="0"/>
            <w:vAlign w:val="center"/>
          </w:tcPr>
          <w:p>
            <w:pPr>
              <w:pStyle w:val="16"/>
              <w:rPr>
                <w:rFonts w:hint="default" w:eastAsia="方正书宋_GBK"/>
                <w:color w:val="auto"/>
                <w:lang w:val="en-US" w:eastAsia="zh-CN"/>
              </w:rPr>
            </w:pPr>
            <w:r>
              <w:rPr>
                <w:rFonts w:hint="eastAsia"/>
                <w:color w:val="auto"/>
                <w:lang w:val="en-US" w:eastAsia="zh-CN"/>
              </w:rPr>
              <w:t>1.74</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1361" w:type="dxa"/>
            <w:noWrap w:val="0"/>
            <w:vAlign w:val="center"/>
          </w:tcPr>
          <w:p>
            <w:pPr>
              <w:pStyle w:val="20"/>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20"/>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城乡社区规划与管理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2120201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城乡社区规划与管理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城乡社区公共设施</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2120399</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征地和拆迁补偿支出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土地开发支出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土地开发支出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农林水支出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农业农村</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2130135</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林业和草原</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2130205</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森林资源培育</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技术推广与转化</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2130209</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森林生态效益补偿</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2130234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林业草原防灾减灾</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1361" w:type="dxa"/>
            <w:noWrap w:val="0"/>
            <w:vAlign w:val="center"/>
          </w:tcPr>
          <w:p>
            <w:pPr>
              <w:pStyle w:val="16"/>
              <w:rPr>
                <w:rFonts w:hint="default"/>
                <w:color w:val="auto"/>
                <w:lang w:val="en-US" w:eastAsia="zh-CN"/>
              </w:rPr>
            </w:pPr>
            <w:r>
              <w:rPr>
                <w:rFonts w:hint="eastAsia" w:cs="方正书宋_GBK"/>
                <w:color w:val="auto"/>
                <w:sz w:val="21"/>
                <w:szCs w:val="24"/>
                <w:lang w:val="en-US" w:eastAsia="zh-CN" w:bidi="ar-SA"/>
              </w:rPr>
              <w:t>36.72</w:t>
            </w:r>
          </w:p>
        </w:tc>
        <w:tc>
          <w:tcPr>
            <w:tcW w:w="1361" w:type="dxa"/>
            <w:noWrap w:val="0"/>
            <w:vAlign w:val="center"/>
          </w:tcPr>
          <w:p>
            <w:pPr>
              <w:pStyle w:val="16"/>
              <w:rPr>
                <w:rFonts w:hint="default"/>
                <w:color w:val="auto"/>
                <w:lang w:val="en-US" w:eastAsia="zh-CN"/>
              </w:rPr>
            </w:pPr>
            <w:r>
              <w:rPr>
                <w:rFonts w:hint="eastAsia" w:cs="方正书宋_GBK"/>
                <w:color w:val="auto"/>
                <w:sz w:val="21"/>
                <w:szCs w:val="24"/>
                <w:lang w:val="en-US" w:eastAsia="zh-CN" w:bidi="ar-SA"/>
              </w:rPr>
              <w:t>36.72</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自然资源事务</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行政运行</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一般行政管理事务</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自然资源规划及管理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自然资源利用与保护</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2200113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2200114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2200150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事业运行</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36.72</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36.72</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住房保障支出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住房改革支出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2210201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住房公积金</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自然灾害防治</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2240601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地质灾害防治</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bl>
    <w:p>
      <w:pPr>
        <w:spacing w:line="300" w:lineRule="exact"/>
        <w:jc w:val="left"/>
        <w:outlineLvl w:val="1"/>
        <w:rPr>
          <w:rFonts w:eastAsia="方正仿宋_GBK"/>
          <w:color w:val="auto"/>
          <w:sz w:val="28"/>
        </w:rPr>
        <w:sectPr>
          <w:pgSz w:w="16839" w:h="11907" w:orient="landscape"/>
          <w:pgMar w:top="1020" w:right="1361" w:bottom="1020" w:left="1361" w:header="851" w:footer="992" w:gutter="0"/>
          <w:cols w:space="720" w:num="1"/>
          <w:rtlGutter w:val="0"/>
          <w:docGrid w:type="lines" w:linePitch="328" w:charSpace="0"/>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324004保定市自然资源和规划局满城区分局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(事业全额/事业差额)</w:t>
            </w:r>
          </w:p>
        </w:tc>
        <w:tc>
          <w:tcPr>
            <w:tcW w:w="3402"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896" w:type="dxa"/>
            <w:gridSpan w:val="4"/>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4876" w:type="dxa"/>
            <w:gridSpan w:val="2"/>
            <w:noWrap w:val="0"/>
            <w:vAlign w:val="center"/>
          </w:tcPr>
          <w:p>
            <w:pPr>
              <w:pStyle w:val="15"/>
              <w:rPr>
                <w:color w:val="auto"/>
              </w:rPr>
            </w:pPr>
            <w:r>
              <w:rPr>
                <w:color w:val="auto"/>
              </w:rPr>
              <w:t>收入</w:t>
            </w:r>
          </w:p>
        </w:tc>
        <w:tc>
          <w:tcPr>
            <w:tcW w:w="9298" w:type="dxa"/>
            <w:gridSpan w:val="5"/>
            <w:noWrap w:val="0"/>
            <w:vAlign w:val="center"/>
          </w:tcPr>
          <w:p>
            <w:pPr>
              <w:pStyle w:val="15"/>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3402" w:type="dxa"/>
            <w:noWrap w:val="0"/>
            <w:vAlign w:val="center"/>
          </w:tcPr>
          <w:p>
            <w:pPr>
              <w:pStyle w:val="15"/>
              <w:rPr>
                <w:color w:val="auto"/>
              </w:rPr>
            </w:pPr>
            <w:r>
              <w:rPr>
                <w:color w:val="auto"/>
              </w:rPr>
              <w:t>项  目</w:t>
            </w:r>
          </w:p>
        </w:tc>
        <w:tc>
          <w:tcPr>
            <w:tcW w:w="1474" w:type="dxa"/>
            <w:noWrap w:val="0"/>
            <w:vAlign w:val="center"/>
          </w:tcPr>
          <w:p>
            <w:pPr>
              <w:pStyle w:val="15"/>
              <w:rPr>
                <w:color w:val="auto"/>
              </w:rPr>
            </w:pPr>
            <w:r>
              <w:rPr>
                <w:color w:val="auto"/>
              </w:rPr>
              <w:t>金额</w:t>
            </w:r>
          </w:p>
        </w:tc>
        <w:tc>
          <w:tcPr>
            <w:tcW w:w="3402" w:type="dxa"/>
            <w:noWrap w:val="0"/>
            <w:vAlign w:val="center"/>
          </w:tcPr>
          <w:p>
            <w:pPr>
              <w:pStyle w:val="15"/>
              <w:rPr>
                <w:color w:val="auto"/>
              </w:rPr>
            </w:pPr>
            <w:r>
              <w:rPr>
                <w:color w:val="auto"/>
              </w:rPr>
              <w:t>项  目</w:t>
            </w:r>
          </w:p>
        </w:tc>
        <w:tc>
          <w:tcPr>
            <w:tcW w:w="1474" w:type="dxa"/>
            <w:noWrap w:val="0"/>
            <w:vAlign w:val="center"/>
          </w:tcPr>
          <w:p>
            <w:pPr>
              <w:pStyle w:val="15"/>
              <w:rPr>
                <w:color w:val="auto"/>
              </w:rPr>
            </w:pPr>
            <w:r>
              <w:rPr>
                <w:color w:val="auto"/>
              </w:rPr>
              <w:t>合计</w:t>
            </w:r>
          </w:p>
        </w:tc>
        <w:tc>
          <w:tcPr>
            <w:tcW w:w="1474" w:type="dxa"/>
            <w:noWrap w:val="0"/>
            <w:vAlign w:val="center"/>
          </w:tcPr>
          <w:p>
            <w:pPr>
              <w:pStyle w:val="15"/>
              <w:rPr>
                <w:color w:val="auto"/>
              </w:rPr>
            </w:pPr>
            <w:r>
              <w:rPr>
                <w:color w:val="auto"/>
              </w:rPr>
              <w:t>一般公共预算财政拨款</w:t>
            </w:r>
          </w:p>
        </w:tc>
        <w:tc>
          <w:tcPr>
            <w:tcW w:w="1474" w:type="dxa"/>
            <w:noWrap w:val="0"/>
            <w:vAlign w:val="center"/>
          </w:tcPr>
          <w:p>
            <w:pPr>
              <w:pStyle w:val="15"/>
              <w:rPr>
                <w:color w:val="auto"/>
              </w:rPr>
            </w:pPr>
            <w:r>
              <w:rPr>
                <w:color w:val="auto"/>
              </w:rPr>
              <w:t>政府性基金预算财政    拨款</w:t>
            </w:r>
          </w:p>
        </w:tc>
        <w:tc>
          <w:tcPr>
            <w:tcW w:w="1474" w:type="dxa"/>
            <w:noWrap w:val="0"/>
            <w:vAlign w:val="center"/>
          </w:tcPr>
          <w:p>
            <w:pPr>
              <w:pStyle w:val="15"/>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3402" w:type="dxa"/>
            <w:noWrap w:val="0"/>
            <w:vAlign w:val="center"/>
          </w:tcPr>
          <w:p>
            <w:pPr>
              <w:pStyle w:val="15"/>
              <w:rPr>
                <w:color w:val="auto"/>
              </w:rPr>
            </w:pPr>
            <w:r>
              <w:rPr>
                <w:color w:val="auto"/>
              </w:rPr>
              <w:t>1</w:t>
            </w:r>
          </w:p>
        </w:tc>
        <w:tc>
          <w:tcPr>
            <w:tcW w:w="1474" w:type="dxa"/>
            <w:noWrap w:val="0"/>
            <w:vAlign w:val="center"/>
          </w:tcPr>
          <w:p>
            <w:pPr>
              <w:pStyle w:val="15"/>
              <w:rPr>
                <w:color w:val="auto"/>
              </w:rPr>
            </w:pPr>
            <w:r>
              <w:rPr>
                <w:color w:val="auto"/>
              </w:rPr>
              <w:t>2</w:t>
            </w:r>
          </w:p>
        </w:tc>
        <w:tc>
          <w:tcPr>
            <w:tcW w:w="3402" w:type="dxa"/>
            <w:noWrap w:val="0"/>
            <w:vAlign w:val="center"/>
          </w:tcPr>
          <w:p>
            <w:pPr>
              <w:pStyle w:val="15"/>
              <w:rPr>
                <w:color w:val="auto"/>
              </w:rPr>
            </w:pPr>
            <w:r>
              <w:rPr>
                <w:color w:val="auto"/>
              </w:rPr>
              <w:t>3</w:t>
            </w:r>
          </w:p>
        </w:tc>
        <w:tc>
          <w:tcPr>
            <w:tcW w:w="1474" w:type="dxa"/>
            <w:noWrap w:val="0"/>
            <w:vAlign w:val="center"/>
          </w:tcPr>
          <w:p>
            <w:pPr>
              <w:pStyle w:val="15"/>
              <w:rPr>
                <w:color w:val="auto"/>
              </w:rPr>
            </w:pPr>
            <w:r>
              <w:rPr>
                <w:color w:val="auto"/>
              </w:rPr>
              <w:t>4</w:t>
            </w:r>
          </w:p>
        </w:tc>
        <w:tc>
          <w:tcPr>
            <w:tcW w:w="1474" w:type="dxa"/>
            <w:noWrap w:val="0"/>
            <w:vAlign w:val="center"/>
          </w:tcPr>
          <w:p>
            <w:pPr>
              <w:pStyle w:val="15"/>
              <w:rPr>
                <w:color w:val="auto"/>
              </w:rPr>
            </w:pPr>
            <w:r>
              <w:rPr>
                <w:color w:val="auto"/>
              </w:rPr>
              <w:t>5</w:t>
            </w:r>
          </w:p>
        </w:tc>
        <w:tc>
          <w:tcPr>
            <w:tcW w:w="1474" w:type="dxa"/>
            <w:noWrap w:val="0"/>
            <w:vAlign w:val="center"/>
          </w:tcPr>
          <w:p>
            <w:pPr>
              <w:pStyle w:val="15"/>
              <w:rPr>
                <w:color w:val="auto"/>
              </w:rPr>
            </w:pPr>
            <w:r>
              <w:rPr>
                <w:color w:val="auto"/>
              </w:rPr>
              <w:t>6</w:t>
            </w:r>
          </w:p>
        </w:tc>
        <w:tc>
          <w:tcPr>
            <w:tcW w:w="1474" w:type="dxa"/>
            <w:noWrap w:val="0"/>
            <w:vAlign w:val="center"/>
          </w:tcPr>
          <w:p>
            <w:pPr>
              <w:pStyle w:val="15"/>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w:t>
            </w:r>
          </w:p>
        </w:tc>
        <w:tc>
          <w:tcPr>
            <w:tcW w:w="3402" w:type="dxa"/>
            <w:noWrap w:val="0"/>
            <w:vAlign w:val="center"/>
          </w:tcPr>
          <w:p>
            <w:pPr>
              <w:pStyle w:val="17"/>
              <w:rPr>
                <w:color w:val="auto"/>
              </w:rPr>
            </w:pPr>
            <w:r>
              <w:rPr>
                <w:color w:val="auto"/>
              </w:rPr>
              <w:t>一、一般公共预算拨款</w:t>
            </w:r>
          </w:p>
        </w:tc>
        <w:tc>
          <w:tcPr>
            <w:tcW w:w="1474" w:type="dxa"/>
            <w:noWrap w:val="0"/>
            <w:vAlign w:val="center"/>
          </w:tcPr>
          <w:p>
            <w:pPr>
              <w:pStyle w:val="16"/>
              <w:rPr>
                <w:rFonts w:hint="default" w:eastAsia="方正书宋_GBK"/>
                <w:color w:val="auto"/>
                <w:lang w:val="en-US" w:eastAsia="zh-CN"/>
              </w:rPr>
            </w:pPr>
            <w:r>
              <w:rPr>
                <w:rFonts w:ascii="方正书宋_GBK" w:eastAsia="方正书宋_GBK"/>
                <w:color w:val="auto"/>
              </w:rPr>
              <w:t>60.33</w:t>
            </w:r>
          </w:p>
        </w:tc>
        <w:tc>
          <w:tcPr>
            <w:tcW w:w="3402" w:type="dxa"/>
            <w:noWrap w:val="0"/>
            <w:vAlign w:val="center"/>
          </w:tcPr>
          <w:p>
            <w:pPr>
              <w:pStyle w:val="17"/>
              <w:rPr>
                <w:color w:val="auto"/>
              </w:rPr>
            </w:pPr>
            <w:r>
              <w:rPr>
                <w:color w:val="auto"/>
              </w:rPr>
              <w:t>一、一般公共服务支出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w:t>
            </w:r>
          </w:p>
        </w:tc>
        <w:tc>
          <w:tcPr>
            <w:tcW w:w="3402" w:type="dxa"/>
            <w:noWrap w:val="0"/>
            <w:vAlign w:val="center"/>
          </w:tcPr>
          <w:p>
            <w:pPr>
              <w:pStyle w:val="17"/>
              <w:rPr>
                <w:color w:val="auto"/>
              </w:rPr>
            </w:pPr>
            <w:r>
              <w:rPr>
                <w:color w:val="auto"/>
              </w:rPr>
              <w:t>二、政府性基金预算拨款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二、外交支出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w:t>
            </w:r>
          </w:p>
        </w:tc>
        <w:tc>
          <w:tcPr>
            <w:tcW w:w="3402" w:type="dxa"/>
            <w:noWrap w:val="0"/>
            <w:vAlign w:val="center"/>
          </w:tcPr>
          <w:p>
            <w:pPr>
              <w:pStyle w:val="17"/>
              <w:rPr>
                <w:color w:val="auto"/>
              </w:rPr>
            </w:pPr>
            <w:r>
              <w:rPr>
                <w:color w:val="auto"/>
              </w:rPr>
              <w:t>三、国有资本经营预算拨款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三、国防支出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四、公共安全支出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五、教育支出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六、科学技术支出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七、文化旅游体育与传媒支出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八、社会保障和就业支出</w:t>
            </w:r>
          </w:p>
        </w:tc>
        <w:tc>
          <w:tcPr>
            <w:tcW w:w="1474" w:type="dxa"/>
            <w:noWrap w:val="0"/>
            <w:vAlign w:val="center"/>
          </w:tcPr>
          <w:p>
            <w:pPr>
              <w:pStyle w:val="16"/>
              <w:rPr>
                <w:color w:val="auto"/>
              </w:rPr>
            </w:pPr>
            <w:r>
              <w:rPr>
                <w:rFonts w:hint="eastAsia"/>
                <w:color w:val="auto"/>
                <w:lang w:val="en-US" w:eastAsia="zh-CN"/>
              </w:rPr>
              <w:t>19.41</w:t>
            </w:r>
          </w:p>
        </w:tc>
        <w:tc>
          <w:tcPr>
            <w:tcW w:w="1474" w:type="dxa"/>
            <w:noWrap w:val="0"/>
            <w:vAlign w:val="center"/>
          </w:tcPr>
          <w:p>
            <w:pPr>
              <w:pStyle w:val="16"/>
              <w:rPr>
                <w:rFonts w:hint="default" w:eastAsia="方正书宋_GBK"/>
                <w:color w:val="auto"/>
                <w:lang w:val="en-US" w:eastAsia="zh-CN"/>
              </w:rPr>
            </w:pPr>
            <w:r>
              <w:rPr>
                <w:rFonts w:hint="eastAsia"/>
                <w:color w:val="auto"/>
                <w:lang w:val="en-US" w:eastAsia="zh-CN"/>
              </w:rPr>
              <w:t>19.41</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九、社会保险基金支出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十、卫生健康支出</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1.74</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1.74</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11</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十一、节能环保支出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12</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十二、城乡社区支出</w:t>
            </w:r>
          </w:p>
        </w:tc>
        <w:tc>
          <w:tcPr>
            <w:tcW w:w="1474" w:type="dxa"/>
            <w:noWrap w:val="0"/>
            <w:vAlign w:val="center"/>
          </w:tcPr>
          <w:p>
            <w:pPr>
              <w:pStyle w:val="16"/>
              <w:rPr>
                <w:color w:val="auto"/>
              </w:rPr>
            </w:pPr>
          </w:p>
        </w:tc>
        <w:tc>
          <w:tcPr>
            <w:tcW w:w="1474" w:type="dxa"/>
            <w:noWrap w:val="0"/>
            <w:vAlign w:val="center"/>
          </w:tcPr>
          <w:p>
            <w:pPr>
              <w:pStyle w:val="16"/>
              <w:rPr>
                <w:rFonts w:hint="default" w:eastAsia="方正书宋_GBK"/>
                <w:color w:val="auto"/>
                <w:lang w:val="en-US" w:eastAsia="zh-CN"/>
              </w:rPr>
            </w:pPr>
          </w:p>
        </w:tc>
        <w:tc>
          <w:tcPr>
            <w:tcW w:w="1474" w:type="dxa"/>
            <w:noWrap w:val="0"/>
            <w:vAlign w:val="center"/>
          </w:tcPr>
          <w:p>
            <w:pPr>
              <w:pStyle w:val="16"/>
              <w:rPr>
                <w:rFonts w:hint="default"/>
                <w:color w:val="auto"/>
                <w:lang w:val="en-US"/>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13</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十三、农林水支出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十四、交通运输支出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十五、资源勘探工业信息等支出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十六、商业服务业等支出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十七、金融支出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十八、援助其他地区支出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十九、自然资源海洋气象等支出</w:t>
            </w:r>
          </w:p>
        </w:tc>
        <w:tc>
          <w:tcPr>
            <w:tcW w:w="1474" w:type="dxa"/>
            <w:noWrap w:val="0"/>
            <w:vAlign w:val="center"/>
          </w:tcPr>
          <w:p>
            <w:pPr>
              <w:pStyle w:val="16"/>
              <w:rPr>
                <w:color w:val="auto"/>
              </w:rPr>
            </w:pPr>
            <w:r>
              <w:rPr>
                <w:rFonts w:hint="eastAsia" w:cs="方正书宋_GBK"/>
                <w:color w:val="auto"/>
                <w:sz w:val="21"/>
                <w:szCs w:val="24"/>
                <w:lang w:val="en-US" w:eastAsia="zh-CN" w:bidi="ar-SA"/>
              </w:rPr>
              <w:t>36.72</w:t>
            </w:r>
          </w:p>
        </w:tc>
        <w:tc>
          <w:tcPr>
            <w:tcW w:w="1474" w:type="dxa"/>
            <w:noWrap w:val="0"/>
            <w:vAlign w:val="center"/>
          </w:tcPr>
          <w:p>
            <w:pPr>
              <w:pStyle w:val="16"/>
              <w:rPr>
                <w:rFonts w:hint="default" w:eastAsia="方正书宋_GBK"/>
                <w:color w:val="auto"/>
                <w:lang w:val="en-US" w:eastAsia="zh-CN"/>
              </w:rPr>
            </w:pPr>
            <w:r>
              <w:rPr>
                <w:rFonts w:hint="eastAsia" w:cs="方正书宋_GBK"/>
                <w:color w:val="auto"/>
                <w:sz w:val="21"/>
                <w:szCs w:val="24"/>
                <w:lang w:val="en-US" w:eastAsia="zh-CN" w:bidi="ar-SA"/>
              </w:rPr>
              <w:t>36.72</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二十、住房保障支出</w:t>
            </w:r>
          </w:p>
        </w:tc>
        <w:tc>
          <w:tcPr>
            <w:tcW w:w="147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2.46</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21</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二十一、粮油物资储备支出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22</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二十二、国有资本经营预算支出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23</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二十三、灾害防治及应急管理支出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二十四、预备费</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二十五、其他支出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二十六、转移性支出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二十七、债务还本支出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二十八、债务付息支出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二十九、债务发行费用支出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三十、抗疫特别国债安排的支出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31</w:t>
            </w:r>
          </w:p>
        </w:tc>
        <w:tc>
          <w:tcPr>
            <w:tcW w:w="3402" w:type="dxa"/>
            <w:noWrap w:val="0"/>
            <w:vAlign w:val="center"/>
          </w:tcPr>
          <w:p>
            <w:pPr>
              <w:pStyle w:val="19"/>
              <w:rPr>
                <w:color w:val="auto"/>
              </w:rPr>
            </w:pPr>
            <w:r>
              <w:rPr>
                <w:color w:val="auto"/>
              </w:rPr>
              <w:t>本年收入合计</w:t>
            </w:r>
          </w:p>
        </w:tc>
        <w:tc>
          <w:tcPr>
            <w:tcW w:w="1474" w:type="dxa"/>
            <w:noWrap w:val="0"/>
            <w:vAlign w:val="center"/>
          </w:tcPr>
          <w:p>
            <w:pPr>
              <w:pStyle w:val="20"/>
              <w:rPr>
                <w:rFonts w:hint="default" w:eastAsia="方正书宋_GBK"/>
                <w:color w:val="auto"/>
                <w:lang w:val="en-US" w:eastAsia="zh-CN"/>
              </w:rPr>
            </w:pPr>
            <w:r>
              <w:rPr>
                <w:rFonts w:hint="eastAsia"/>
                <w:b/>
                <w:color w:val="auto"/>
                <w:lang w:val="en-US" w:eastAsia="zh-CN"/>
              </w:rPr>
              <w:t>60.33</w:t>
            </w:r>
          </w:p>
        </w:tc>
        <w:tc>
          <w:tcPr>
            <w:tcW w:w="3402" w:type="dxa"/>
            <w:noWrap w:val="0"/>
            <w:vAlign w:val="center"/>
          </w:tcPr>
          <w:p>
            <w:pPr>
              <w:pStyle w:val="19"/>
              <w:rPr>
                <w:color w:val="auto"/>
              </w:rPr>
            </w:pPr>
            <w:r>
              <w:rPr>
                <w:color w:val="auto"/>
              </w:rPr>
              <w:t>本年支出合计</w:t>
            </w:r>
          </w:p>
        </w:tc>
        <w:tc>
          <w:tcPr>
            <w:tcW w:w="1474" w:type="dxa"/>
            <w:noWrap w:val="0"/>
            <w:vAlign w:val="center"/>
          </w:tcPr>
          <w:p>
            <w:pPr>
              <w:pStyle w:val="20"/>
              <w:rPr>
                <w:rFonts w:hint="default" w:eastAsia="方正书宋_GBK"/>
                <w:color w:val="auto"/>
                <w:lang w:val="en-US" w:eastAsia="zh-CN"/>
              </w:rPr>
            </w:pPr>
            <w:r>
              <w:rPr>
                <w:rFonts w:hint="eastAsia"/>
                <w:b/>
                <w:color w:val="auto"/>
                <w:lang w:val="en-US" w:eastAsia="zh-CN"/>
              </w:rPr>
              <w:t>60.33</w:t>
            </w:r>
          </w:p>
        </w:tc>
        <w:tc>
          <w:tcPr>
            <w:tcW w:w="1474" w:type="dxa"/>
            <w:noWrap w:val="0"/>
            <w:vAlign w:val="center"/>
          </w:tcPr>
          <w:p>
            <w:pPr>
              <w:pStyle w:val="20"/>
              <w:rPr>
                <w:rFonts w:hint="default" w:eastAsia="方正书宋_GBK"/>
                <w:color w:val="auto"/>
                <w:lang w:val="en-US" w:eastAsia="zh-CN"/>
              </w:rPr>
            </w:pPr>
            <w:r>
              <w:rPr>
                <w:rFonts w:hint="eastAsia"/>
                <w:color w:val="auto"/>
                <w:lang w:val="en-US" w:eastAsia="zh-CN"/>
              </w:rPr>
              <w:t>60.33</w:t>
            </w:r>
          </w:p>
        </w:tc>
        <w:tc>
          <w:tcPr>
            <w:tcW w:w="1474" w:type="dxa"/>
            <w:noWrap w:val="0"/>
            <w:vAlign w:val="center"/>
          </w:tcPr>
          <w:p>
            <w:pPr>
              <w:pStyle w:val="20"/>
              <w:rPr>
                <w:rFonts w:hint="default" w:eastAsia="方正书宋_GBK"/>
                <w:color w:val="auto"/>
                <w:lang w:val="en-US" w:eastAsia="zh-CN"/>
              </w:rPr>
            </w:pPr>
          </w:p>
        </w:tc>
        <w:tc>
          <w:tcPr>
            <w:tcW w:w="1474"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32</w:t>
            </w:r>
          </w:p>
        </w:tc>
        <w:tc>
          <w:tcPr>
            <w:tcW w:w="3402" w:type="dxa"/>
            <w:noWrap w:val="0"/>
            <w:vAlign w:val="center"/>
          </w:tcPr>
          <w:p>
            <w:pPr>
              <w:pStyle w:val="17"/>
              <w:rPr>
                <w:color w:val="auto"/>
              </w:rPr>
            </w:pPr>
            <w:r>
              <w:rPr>
                <w:color w:val="auto"/>
              </w:rPr>
              <w:t>年初财政拨款结转和结余</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年末财政拨款结转和结余</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33</w:t>
            </w:r>
          </w:p>
        </w:tc>
        <w:tc>
          <w:tcPr>
            <w:tcW w:w="3402" w:type="dxa"/>
            <w:noWrap w:val="0"/>
            <w:vAlign w:val="center"/>
          </w:tcPr>
          <w:p>
            <w:pPr>
              <w:pStyle w:val="17"/>
              <w:rPr>
                <w:color w:val="auto"/>
              </w:rPr>
            </w:pPr>
            <w:r>
              <w:rPr>
                <w:color w:val="auto"/>
              </w:rPr>
              <w:t>一、一般公共预算拨款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34</w:t>
            </w:r>
          </w:p>
        </w:tc>
        <w:tc>
          <w:tcPr>
            <w:tcW w:w="3402" w:type="dxa"/>
            <w:noWrap w:val="0"/>
            <w:vAlign w:val="center"/>
          </w:tcPr>
          <w:p>
            <w:pPr>
              <w:pStyle w:val="17"/>
              <w:rPr>
                <w:color w:val="auto"/>
              </w:rPr>
            </w:pPr>
            <w:r>
              <w:rPr>
                <w:color w:val="auto"/>
              </w:rPr>
              <w:t>二、政府性基金预算拨款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35</w:t>
            </w:r>
          </w:p>
        </w:tc>
        <w:tc>
          <w:tcPr>
            <w:tcW w:w="3402" w:type="dxa"/>
            <w:noWrap w:val="0"/>
            <w:vAlign w:val="center"/>
          </w:tcPr>
          <w:p>
            <w:pPr>
              <w:pStyle w:val="17"/>
              <w:rPr>
                <w:color w:val="auto"/>
              </w:rPr>
            </w:pPr>
            <w:r>
              <w:rPr>
                <w:color w:val="auto"/>
              </w:rPr>
              <w:t>三、国有资本经营预算拨款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36</w:t>
            </w:r>
          </w:p>
        </w:tc>
        <w:tc>
          <w:tcPr>
            <w:tcW w:w="3402" w:type="dxa"/>
            <w:noWrap w:val="0"/>
            <w:vAlign w:val="center"/>
          </w:tcPr>
          <w:p>
            <w:pPr>
              <w:pStyle w:val="19"/>
              <w:rPr>
                <w:color w:val="auto"/>
              </w:rPr>
            </w:pPr>
            <w:r>
              <w:rPr>
                <w:color w:val="auto"/>
              </w:rPr>
              <w:t>收入总计</w:t>
            </w:r>
          </w:p>
        </w:tc>
        <w:tc>
          <w:tcPr>
            <w:tcW w:w="1474" w:type="dxa"/>
            <w:noWrap w:val="0"/>
            <w:vAlign w:val="center"/>
          </w:tcPr>
          <w:p>
            <w:pPr>
              <w:pStyle w:val="20"/>
              <w:rPr>
                <w:rFonts w:hint="default" w:eastAsia="方正书宋_GBK"/>
                <w:color w:val="auto"/>
                <w:lang w:val="en-US" w:eastAsia="zh-CN"/>
              </w:rPr>
            </w:pPr>
            <w:r>
              <w:rPr>
                <w:rFonts w:hint="eastAsia"/>
                <w:b/>
                <w:color w:val="auto"/>
                <w:lang w:val="en-US" w:eastAsia="zh-CN"/>
              </w:rPr>
              <w:t>60.33</w:t>
            </w:r>
          </w:p>
        </w:tc>
        <w:tc>
          <w:tcPr>
            <w:tcW w:w="3402" w:type="dxa"/>
            <w:noWrap w:val="0"/>
            <w:vAlign w:val="center"/>
          </w:tcPr>
          <w:p>
            <w:pPr>
              <w:pStyle w:val="19"/>
              <w:rPr>
                <w:color w:val="auto"/>
              </w:rPr>
            </w:pPr>
            <w:r>
              <w:rPr>
                <w:color w:val="auto"/>
              </w:rPr>
              <w:t>支出总计</w:t>
            </w:r>
          </w:p>
        </w:tc>
        <w:tc>
          <w:tcPr>
            <w:tcW w:w="1474" w:type="dxa"/>
            <w:noWrap w:val="0"/>
            <w:vAlign w:val="center"/>
          </w:tcPr>
          <w:p>
            <w:pPr>
              <w:pStyle w:val="20"/>
              <w:rPr>
                <w:rFonts w:hint="default" w:eastAsia="方正书宋_GBK"/>
                <w:color w:val="auto"/>
                <w:lang w:val="en-US" w:eastAsia="zh-CN"/>
              </w:rPr>
            </w:pPr>
            <w:r>
              <w:rPr>
                <w:rFonts w:hint="eastAsia"/>
                <w:b/>
                <w:color w:val="auto"/>
                <w:lang w:val="en-US" w:eastAsia="zh-CN"/>
              </w:rPr>
              <w:t>60.33</w:t>
            </w:r>
          </w:p>
        </w:tc>
        <w:tc>
          <w:tcPr>
            <w:tcW w:w="1474" w:type="dxa"/>
            <w:noWrap w:val="0"/>
            <w:vAlign w:val="center"/>
          </w:tcPr>
          <w:p>
            <w:pPr>
              <w:pStyle w:val="20"/>
              <w:rPr>
                <w:rFonts w:hint="default" w:eastAsia="方正书宋_GBK"/>
                <w:color w:val="auto"/>
                <w:lang w:val="en-US" w:eastAsia="zh-CN"/>
              </w:rPr>
            </w:pPr>
            <w:r>
              <w:rPr>
                <w:rFonts w:hint="eastAsia"/>
                <w:color w:val="auto"/>
                <w:lang w:val="en-US" w:eastAsia="zh-CN"/>
              </w:rPr>
              <w:t>60.33</w:t>
            </w:r>
          </w:p>
        </w:tc>
        <w:tc>
          <w:tcPr>
            <w:tcW w:w="1474" w:type="dxa"/>
            <w:noWrap w:val="0"/>
            <w:vAlign w:val="center"/>
          </w:tcPr>
          <w:p>
            <w:pPr>
              <w:pStyle w:val="20"/>
              <w:rPr>
                <w:rFonts w:hint="default"/>
                <w:color w:val="auto"/>
                <w:lang w:val="en-US"/>
              </w:rPr>
            </w:pPr>
          </w:p>
        </w:tc>
        <w:tc>
          <w:tcPr>
            <w:tcW w:w="1474" w:type="dxa"/>
            <w:noWrap w:val="0"/>
            <w:vAlign w:val="center"/>
          </w:tcPr>
          <w:p>
            <w:pPr>
              <w:pStyle w:val="20"/>
              <w:rPr>
                <w:color w:val="auto"/>
              </w:rPr>
            </w:pPr>
          </w:p>
        </w:tc>
      </w:tr>
    </w:tbl>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324004保定市自然资源和规划局满城区分局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(事业全额/事业差额)</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color w:val="auto"/>
              </w:rPr>
            </w:pP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pStyle w:val="20"/>
              <w:rPr>
                <w:color w:val="auto"/>
              </w:rPr>
            </w:pPr>
            <w:r>
              <w:rPr>
                <w:rFonts w:hint="eastAsia"/>
                <w:color w:val="auto"/>
                <w:lang w:val="en-US" w:eastAsia="zh-CN"/>
              </w:rPr>
              <w:t>60.33</w:t>
            </w:r>
          </w:p>
        </w:tc>
        <w:tc>
          <w:tcPr>
            <w:tcW w:w="2551" w:type="dxa"/>
            <w:noWrap w:val="0"/>
            <w:vAlign w:val="center"/>
          </w:tcPr>
          <w:p>
            <w:pPr>
              <w:pStyle w:val="20"/>
              <w:rPr>
                <w:color w:val="auto"/>
              </w:rPr>
            </w:pPr>
            <w:r>
              <w:rPr>
                <w:rFonts w:hint="eastAsia"/>
                <w:color w:val="auto"/>
                <w:lang w:val="en-US" w:eastAsia="zh-CN"/>
              </w:rPr>
              <w:t>60.33</w:t>
            </w:r>
          </w:p>
        </w:tc>
        <w:tc>
          <w:tcPr>
            <w:tcW w:w="2551"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2551" w:type="dxa"/>
            <w:noWrap w:val="0"/>
            <w:vAlign w:val="center"/>
          </w:tcPr>
          <w:p>
            <w:pPr>
              <w:pStyle w:val="16"/>
              <w:rPr>
                <w:color w:val="auto"/>
              </w:rPr>
            </w:pPr>
            <w:r>
              <w:rPr>
                <w:rFonts w:hint="eastAsia"/>
                <w:color w:val="auto"/>
                <w:lang w:val="en-US" w:eastAsia="zh-CN"/>
              </w:rPr>
              <w:t>19.41</w:t>
            </w:r>
          </w:p>
        </w:tc>
        <w:tc>
          <w:tcPr>
            <w:tcW w:w="2551" w:type="dxa"/>
            <w:noWrap w:val="0"/>
            <w:vAlign w:val="center"/>
          </w:tcPr>
          <w:p>
            <w:pPr>
              <w:pStyle w:val="16"/>
              <w:rPr>
                <w:color w:val="auto"/>
              </w:rPr>
            </w:pPr>
            <w:r>
              <w:rPr>
                <w:rFonts w:hint="eastAsia"/>
                <w:color w:val="auto"/>
                <w:lang w:val="en-US" w:eastAsia="zh-CN"/>
              </w:rPr>
              <w:t>19.41</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2551" w:type="dxa"/>
            <w:noWrap w:val="0"/>
            <w:vAlign w:val="center"/>
          </w:tcPr>
          <w:p>
            <w:pPr>
              <w:pStyle w:val="16"/>
              <w:rPr>
                <w:color w:val="auto"/>
              </w:rPr>
            </w:pPr>
            <w:r>
              <w:rPr>
                <w:rFonts w:hint="eastAsia"/>
                <w:color w:val="auto"/>
                <w:lang w:val="en-US" w:eastAsia="zh-CN"/>
              </w:rPr>
              <w:t>14.71</w:t>
            </w:r>
          </w:p>
        </w:tc>
        <w:tc>
          <w:tcPr>
            <w:tcW w:w="2551" w:type="dxa"/>
            <w:noWrap w:val="0"/>
            <w:vAlign w:val="center"/>
          </w:tcPr>
          <w:p>
            <w:pPr>
              <w:pStyle w:val="16"/>
              <w:rPr>
                <w:color w:val="auto"/>
              </w:rPr>
            </w:pPr>
            <w:r>
              <w:rPr>
                <w:rFonts w:hint="eastAsia"/>
                <w:color w:val="auto"/>
                <w:lang w:val="en-US" w:eastAsia="zh-CN"/>
              </w:rPr>
              <w:t>14.71</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2551" w:type="dxa"/>
            <w:noWrap w:val="0"/>
            <w:vAlign w:val="center"/>
          </w:tcPr>
          <w:p>
            <w:pPr>
              <w:pStyle w:val="16"/>
              <w:rPr>
                <w:color w:val="auto"/>
              </w:rPr>
            </w:pPr>
            <w:r>
              <w:rPr>
                <w:rFonts w:hint="eastAsia"/>
                <w:color w:val="auto"/>
                <w:lang w:val="en-US" w:eastAsia="zh-CN"/>
              </w:rPr>
              <w:t>4.13</w:t>
            </w:r>
          </w:p>
        </w:tc>
        <w:tc>
          <w:tcPr>
            <w:tcW w:w="2551" w:type="dxa"/>
            <w:noWrap w:val="0"/>
            <w:vAlign w:val="center"/>
          </w:tcPr>
          <w:p>
            <w:pPr>
              <w:pStyle w:val="16"/>
              <w:rPr>
                <w:color w:val="auto"/>
              </w:rPr>
            </w:pPr>
            <w:r>
              <w:rPr>
                <w:rFonts w:hint="eastAsia"/>
                <w:color w:val="auto"/>
                <w:lang w:val="en-US" w:eastAsia="zh-CN"/>
              </w:rPr>
              <w:t>4.13</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2551" w:type="dxa"/>
            <w:noWrap w:val="0"/>
            <w:vAlign w:val="center"/>
          </w:tcPr>
          <w:p>
            <w:pPr>
              <w:pStyle w:val="16"/>
              <w:rPr>
                <w:color w:val="auto"/>
              </w:rPr>
            </w:pPr>
            <w:r>
              <w:rPr>
                <w:rFonts w:hint="eastAsia"/>
                <w:color w:val="auto"/>
                <w:lang w:val="en-US" w:eastAsia="zh-CN"/>
              </w:rPr>
              <w:t>0.57</w:t>
            </w:r>
          </w:p>
        </w:tc>
        <w:tc>
          <w:tcPr>
            <w:tcW w:w="2551" w:type="dxa"/>
            <w:noWrap w:val="0"/>
            <w:vAlign w:val="center"/>
          </w:tcPr>
          <w:p>
            <w:pPr>
              <w:pStyle w:val="16"/>
              <w:rPr>
                <w:color w:val="auto"/>
              </w:rPr>
            </w:pPr>
            <w:r>
              <w:rPr>
                <w:rFonts w:hint="eastAsia"/>
                <w:color w:val="auto"/>
                <w:lang w:val="en-US" w:eastAsia="zh-CN"/>
              </w:rPr>
              <w:t>0.57</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2551" w:type="dxa"/>
            <w:noWrap w:val="0"/>
            <w:vAlign w:val="center"/>
          </w:tcPr>
          <w:p>
            <w:pPr>
              <w:pStyle w:val="16"/>
              <w:rPr>
                <w:color w:val="auto"/>
              </w:rPr>
            </w:pPr>
            <w:r>
              <w:rPr>
                <w:rFonts w:hint="eastAsia"/>
                <w:color w:val="auto"/>
                <w:lang w:val="en-US" w:eastAsia="zh-CN"/>
              </w:rPr>
              <w:t>1.74</w:t>
            </w:r>
          </w:p>
        </w:tc>
        <w:tc>
          <w:tcPr>
            <w:tcW w:w="2551" w:type="dxa"/>
            <w:noWrap w:val="0"/>
            <w:vAlign w:val="center"/>
          </w:tcPr>
          <w:p>
            <w:pPr>
              <w:pStyle w:val="16"/>
              <w:rPr>
                <w:color w:val="auto"/>
              </w:rPr>
            </w:pPr>
            <w:r>
              <w:rPr>
                <w:rFonts w:hint="eastAsia"/>
                <w:color w:val="auto"/>
                <w:lang w:val="en-US" w:eastAsia="zh-CN"/>
              </w:rPr>
              <w:t>1.74</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2551" w:type="dxa"/>
            <w:noWrap w:val="0"/>
            <w:vAlign w:val="center"/>
          </w:tcPr>
          <w:p>
            <w:pPr>
              <w:pStyle w:val="16"/>
              <w:rPr>
                <w:color w:val="auto"/>
              </w:rPr>
            </w:pPr>
            <w:r>
              <w:rPr>
                <w:rFonts w:hint="eastAsia"/>
                <w:color w:val="auto"/>
                <w:lang w:val="en-US" w:eastAsia="zh-CN"/>
              </w:rPr>
              <w:t>1.74</w:t>
            </w:r>
          </w:p>
        </w:tc>
        <w:tc>
          <w:tcPr>
            <w:tcW w:w="2551" w:type="dxa"/>
            <w:noWrap w:val="0"/>
            <w:vAlign w:val="center"/>
          </w:tcPr>
          <w:p>
            <w:pPr>
              <w:pStyle w:val="16"/>
              <w:rPr>
                <w:color w:val="auto"/>
              </w:rPr>
            </w:pPr>
            <w:r>
              <w:rPr>
                <w:rFonts w:hint="eastAsia"/>
                <w:color w:val="auto"/>
                <w:lang w:val="en-US" w:eastAsia="zh-CN"/>
              </w:rPr>
              <w:t>1.74</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2551" w:type="dxa"/>
            <w:noWrap w:val="0"/>
            <w:vAlign w:val="center"/>
          </w:tcPr>
          <w:p>
            <w:pPr>
              <w:pStyle w:val="20"/>
              <w:rPr>
                <w:color w:val="auto"/>
              </w:rPr>
            </w:pPr>
          </w:p>
        </w:tc>
        <w:tc>
          <w:tcPr>
            <w:tcW w:w="2551" w:type="dxa"/>
            <w:noWrap w:val="0"/>
            <w:vAlign w:val="center"/>
          </w:tcPr>
          <w:p>
            <w:pPr>
              <w:pStyle w:val="20"/>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16</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城乡社区规划与管理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17</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2120201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城乡社区规划与管理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18</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21203</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城乡社区公共设施</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19</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2120399</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20</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征地和拆迁补偿支出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23</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21210</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24</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2121002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25</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农林水支出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26</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农业农村</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27</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2130135</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28</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林业和草原</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29</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2130205</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森林资源培育</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2130206</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技术推广与转化</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31</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2130209</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森林生态效益补偿</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32</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2130234</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林业草原防灾减灾</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33</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220</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36.72</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36.72</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34</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22001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自然资源事务</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行政运行</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一般行政管理事务</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自然资源规划及管理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38</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自然资源利用与保护</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39</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2200113</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40</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41</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2200150</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事业运行</w:t>
            </w:r>
          </w:p>
        </w:tc>
        <w:tc>
          <w:tcPr>
            <w:tcW w:w="255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36.72</w:t>
            </w:r>
          </w:p>
        </w:tc>
        <w:tc>
          <w:tcPr>
            <w:tcW w:w="255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36.72</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住房保障支出</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2.46</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2.46</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住房改革支出</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2.46</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2.46</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住房公积金</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2.46</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2.46</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自然灾害防治</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地质灾害防治</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19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5"/>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324004保定市自然资源和规划局满城区分局</w:t>
            </w:r>
            <w:r>
              <w:rPr>
                <w:rFonts w:hint="eastAsia" w:eastAsia="宋体"/>
                <w:color w:val="auto"/>
                <w:lang w:val="en-US" w:eastAsia="zh-CN"/>
              </w:rPr>
              <w:t xml:space="preserve">              </w:t>
            </w:r>
          </w:p>
          <w:p>
            <w:pPr>
              <w:pStyle w:val="14"/>
              <w:ind w:left="6000" w:hanging="6000" w:hangingChars="2500"/>
              <w:rPr>
                <w:color w:val="auto"/>
              </w:rPr>
            </w:pPr>
            <w:r>
              <w:rPr>
                <w:rFonts w:hint="eastAsia" w:ascii="方正小标宋_GBK" w:eastAsia="方正小标宋_GBK"/>
                <w:color w:val="auto"/>
                <w:sz w:val="24"/>
                <w:lang w:val="en-US" w:eastAsia="zh-CN"/>
              </w:rPr>
              <w:t xml:space="preserve"> </w:t>
            </w:r>
            <w:r>
              <w:rPr>
                <w:color w:val="auto"/>
              </w:rPr>
              <w:t>(事业全额/事业差额)</w:t>
            </w:r>
            <w:r>
              <w:rPr>
                <w:rFonts w:hint="eastAsia"/>
                <w:color w:val="auto"/>
                <w:lang w:val="en-US" w:eastAsia="zh-CN"/>
              </w:rPr>
              <w:t xml:space="preserve">                    </w:t>
            </w:r>
            <w:r>
              <w:rPr>
                <w:color w:val="auto"/>
              </w:rPr>
              <w:t>预算年度202</w:t>
            </w:r>
            <w:r>
              <w:rPr>
                <w:rFonts w:hint="eastAsia"/>
                <w:color w:val="auto"/>
                <w:lang w:val="en-US" w:eastAsia="zh-CN"/>
              </w:rPr>
              <w:t>1</w:t>
            </w:r>
          </w:p>
        </w:tc>
        <w:tc>
          <w:tcPr>
            <w:tcW w:w="2551" w:type="dxa"/>
            <w:tcBorders>
              <w:top w:val="single" w:color="FFFFFF" w:sz="6" w:space="0"/>
              <w:left w:val="single" w:color="FFFFFF" w:sz="6" w:space="0"/>
              <w:right w:val="single" w:color="FFFFFF" w:sz="6" w:space="0"/>
            </w:tcBorders>
            <w:noWrap w:val="0"/>
            <w:vAlign w:val="center"/>
          </w:tcPr>
          <w:p>
            <w:pPr>
              <w:pStyle w:val="13"/>
              <w:rPr>
                <w:color w:val="auto"/>
              </w:rPr>
            </w:pPr>
          </w:p>
        </w:tc>
        <w:tc>
          <w:tcPr>
            <w:tcW w:w="5103"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支出部门经济分类科目</w:t>
            </w:r>
          </w:p>
        </w:tc>
        <w:tc>
          <w:tcPr>
            <w:tcW w:w="7654" w:type="dxa"/>
            <w:gridSpan w:val="3"/>
            <w:noWrap w:val="0"/>
            <w:vAlign w:val="center"/>
          </w:tcPr>
          <w:p>
            <w:pPr>
              <w:pStyle w:val="15"/>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noWrap w:val="0"/>
            <w:vAlign w:val="center"/>
          </w:tcPr>
          <w:p>
            <w:pPr>
              <w:pStyle w:val="15"/>
              <w:rPr>
                <w:color w:val="auto"/>
              </w:rPr>
            </w:pPr>
            <w:r>
              <w:rPr>
                <w:color w:val="auto"/>
              </w:rPr>
              <w:t>合计</w:t>
            </w:r>
          </w:p>
        </w:tc>
        <w:tc>
          <w:tcPr>
            <w:tcW w:w="2551" w:type="dxa"/>
            <w:noWrap w:val="0"/>
            <w:vAlign w:val="center"/>
          </w:tcPr>
          <w:p>
            <w:pPr>
              <w:pStyle w:val="15"/>
              <w:rPr>
                <w:color w:val="auto"/>
              </w:rPr>
            </w:pPr>
            <w:r>
              <w:rPr>
                <w:color w:val="auto"/>
              </w:rPr>
              <w:t>人员经费</w:t>
            </w:r>
          </w:p>
        </w:tc>
        <w:tc>
          <w:tcPr>
            <w:tcW w:w="2552" w:type="dxa"/>
            <w:noWrap w:val="0"/>
            <w:vAlign w:val="center"/>
          </w:tcPr>
          <w:p>
            <w:pPr>
              <w:pStyle w:val="15"/>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2"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rFonts w:ascii="方正书宋_GBK" w:hAnsi="Times New Roman" w:eastAsia="方正书宋_GBK" w:cs="Times New Roman"/>
                <w:b/>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b/>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spacing w:line="300" w:lineRule="exact"/>
              <w:jc w:val="right"/>
              <w:rPr>
                <w:rFonts w:hint="default" w:ascii="方正书宋_GBK" w:hAnsi="Times New Roman" w:eastAsia="方正书宋_GBK" w:cs="Times New Roman"/>
                <w:b/>
                <w:color w:val="auto"/>
                <w:sz w:val="24"/>
                <w:szCs w:val="24"/>
                <w:lang w:val="en-US" w:eastAsia="zh-CN" w:bidi="ar-SA"/>
              </w:rPr>
            </w:pPr>
            <w:r>
              <w:rPr>
                <w:rFonts w:hint="eastAsia" w:ascii="方正书宋_GBK" w:eastAsia="方正书宋_GBK" w:cs="Times New Roman"/>
                <w:b/>
                <w:color w:val="auto"/>
                <w:sz w:val="24"/>
                <w:szCs w:val="24"/>
                <w:lang w:val="en-US" w:eastAsia="zh-CN" w:bidi="ar-SA"/>
              </w:rPr>
              <w:t>60.33</w:t>
            </w:r>
          </w:p>
        </w:tc>
        <w:tc>
          <w:tcPr>
            <w:tcW w:w="2551" w:type="dxa"/>
            <w:noWrap w:val="0"/>
            <w:vAlign w:val="center"/>
          </w:tcPr>
          <w:p>
            <w:pPr>
              <w:spacing w:line="300" w:lineRule="exact"/>
              <w:jc w:val="right"/>
              <w:rPr>
                <w:rFonts w:hint="default" w:ascii="方正书宋_GBK" w:hAnsi="Times New Roman" w:eastAsia="方正书宋_GBK" w:cs="Times New Roman"/>
                <w:b/>
                <w:color w:val="auto"/>
                <w:sz w:val="24"/>
                <w:szCs w:val="24"/>
                <w:lang w:val="en-US" w:eastAsia="zh-CN" w:bidi="ar-SA"/>
              </w:rPr>
            </w:pPr>
            <w:r>
              <w:rPr>
                <w:rFonts w:hint="eastAsia" w:ascii="方正书宋_GBK" w:eastAsia="方正书宋_GBK" w:cs="Times New Roman"/>
                <w:b/>
                <w:color w:val="auto"/>
                <w:sz w:val="24"/>
                <w:szCs w:val="24"/>
                <w:lang w:val="en-US" w:eastAsia="zh-CN" w:bidi="ar-SA"/>
              </w:rPr>
              <w:t>59.74</w:t>
            </w:r>
          </w:p>
        </w:tc>
        <w:tc>
          <w:tcPr>
            <w:tcW w:w="2552" w:type="dxa"/>
            <w:noWrap w:val="0"/>
            <w:vAlign w:val="center"/>
          </w:tcPr>
          <w:p>
            <w:pPr>
              <w:pStyle w:val="20"/>
              <w:rPr>
                <w:rFonts w:hint="default" w:eastAsia="方正书宋_GBK"/>
                <w:color w:val="auto"/>
                <w:lang w:val="en-US" w:eastAsia="zh-CN"/>
              </w:rPr>
            </w:pPr>
            <w:r>
              <w:rPr>
                <w:rFonts w:hint="eastAsia"/>
                <w:color w:val="auto"/>
                <w:lang w:val="en-US" w:eastAsia="zh-CN"/>
              </w:rPr>
              <w:t>0.59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工资福利支出</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40.15</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40.15</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基本工资</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13.99</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13.99</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30102</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津贴补贴</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1.36</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1.36</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30103</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奖金</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1.17</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1.17</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30107</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绩效工资</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10.62</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10.62</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30108</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机关事业单位基本养老保险缴费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4.13</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4.13</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职业年金缴费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0.57</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0.57</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30110</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城镇职工基本医疗保险缴费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1.65</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1.65</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30112</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其他社会保障缴费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0.36</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0.36</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30113</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住房公积金</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2.46</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2.46</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其他工资福利支出</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3.84</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3.84</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商品和服务支出</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hint="eastAsia"/>
                <w:color w:val="auto"/>
                <w:lang w:val="en-US" w:eastAsia="zh-CN"/>
              </w:rPr>
              <w:t>0.01</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rFonts w:hint="default" w:eastAsia="方正书宋_GBK"/>
                <w:color w:val="auto"/>
                <w:lang w:val="en-US" w:eastAsia="zh-CN"/>
              </w:rPr>
            </w:pPr>
            <w:r>
              <w:rPr>
                <w:rFonts w:hint="eastAsia"/>
                <w:color w:val="auto"/>
                <w:lang w:val="en-US" w:eastAsia="zh-CN"/>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办公费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30205</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30206</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电费</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30207</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邮电费</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30208</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取暖费</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30211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差旅费</w:t>
            </w: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20</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30217</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公务接待费</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0.01</w:t>
            </w: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21</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30229</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福利费</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30231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公务用车运行维护费</w:t>
            </w:r>
          </w:p>
        </w:tc>
        <w:tc>
          <w:tcPr>
            <w:tcW w:w="0" w:type="auto"/>
            <w:noWrap w:val="0"/>
            <w:vAlign w:val="top"/>
          </w:tcPr>
          <w:p>
            <w:pPr>
              <w:pStyle w:val="16"/>
              <w:rPr>
                <w:rFonts w:ascii="方正书宋_GBK" w:hAnsi="方正书宋_GBK" w:eastAsia="方正书宋_GBK" w:cs="方正书宋_GBK"/>
                <w:color w:val="auto"/>
                <w:sz w:val="21"/>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30239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其他交通费用</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其他商品和服务支出</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对个人和家庭的补助</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20.17</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19.59</w:t>
            </w: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30302</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退休费</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15.29</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14.71</w:t>
            </w: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30305</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生活补助</w:t>
            </w: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奖励金</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0.11</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0.11</w:t>
            </w: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其他对个人和家庭的补助</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4.77</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4.77</w:t>
            </w: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jc w:val="left"/>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color w:val="auto"/>
              </w:rPr>
            </w:pPr>
          </w:p>
        </w:tc>
      </w:tr>
    </w:tbl>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324004保定市自然资源和规划局满城区分局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(事业全额/事业差额)</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jc w:val="left"/>
              <w:rPr>
                <w:color w:val="auto"/>
              </w:rPr>
            </w:pPr>
          </w:p>
        </w:tc>
        <w:tc>
          <w:tcPr>
            <w:tcW w:w="4535" w:type="dxa"/>
            <w:noWrap w:val="0"/>
            <w:vAlign w:val="center"/>
          </w:tcPr>
          <w:p>
            <w:pPr>
              <w:keepNext w:val="0"/>
              <w:keepLines w:val="0"/>
              <w:widowControl/>
              <w:suppressLineNumbers w:val="0"/>
              <w:jc w:val="left"/>
              <w:textAlignment w:val="center"/>
              <w:rPr>
                <w:color w:val="auto"/>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color w:val="auto"/>
              </w:rPr>
            </w:pPr>
          </w:p>
        </w:tc>
        <w:tc>
          <w:tcPr>
            <w:tcW w:w="4535" w:type="dxa"/>
            <w:noWrap w:val="0"/>
            <w:vAlign w:val="center"/>
          </w:tcPr>
          <w:p>
            <w:pPr>
              <w:keepNext w:val="0"/>
              <w:keepLines w:val="0"/>
              <w:widowControl/>
              <w:suppressLineNumbers w:val="0"/>
              <w:jc w:val="left"/>
              <w:textAlignment w:val="center"/>
              <w:rPr>
                <w:color w:val="auto"/>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324004保定市自然资源和规划局满城区分局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(事业全额/事业差额)</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pStyle w:val="17"/>
              <w:rPr>
                <w:color w:val="auto"/>
              </w:rPr>
            </w:pPr>
          </w:p>
        </w:tc>
        <w:tc>
          <w:tcPr>
            <w:tcW w:w="4535" w:type="dxa"/>
            <w:noWrap w:val="0"/>
            <w:vAlign w:val="center"/>
          </w:tcPr>
          <w:p>
            <w:pPr>
              <w:pStyle w:val="17"/>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eastAsia="方正书宋_GBK"/>
                <w:color w:val="auto"/>
              </w:rPr>
            </w:pPr>
          </w:p>
        </w:tc>
        <w:tc>
          <w:tcPr>
            <w:tcW w:w="2551" w:type="dxa"/>
            <w:noWrap w:val="0"/>
            <w:vAlign w:val="center"/>
          </w:tcPr>
          <w:p>
            <w:pPr>
              <w:pStyle w:val="16"/>
              <w:rPr>
                <w:rFonts w:ascii="方正书宋_GBK" w:eastAsia="方正书宋_GBK"/>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1"/>
        <w:rPr>
          <w:rFonts w:hint="eastAsia" w:hAnsi="宋体"/>
          <w:color w:val="auto"/>
          <w:sz w:val="32"/>
        </w:rPr>
      </w:pPr>
      <w:r>
        <w:rPr>
          <w:rFonts w:hint="eastAsia" w:ascii="方正小标宋_GBK" w:eastAsia="方正小标宋_GBK"/>
          <w:color w:val="auto"/>
          <w:sz w:val="32"/>
          <w:lang w:val="en-US" w:eastAsia="zh-CN"/>
        </w:rPr>
        <w:t>单位</w:t>
      </w:r>
      <w:r>
        <w:rPr>
          <w:rFonts w:hint="cs" w:ascii="方正小标宋_GBK" w:eastAsia="方正小标宋_GBK"/>
          <w:color w:val="auto"/>
          <w:sz w:val="32"/>
          <w:cs/>
        </w:rPr>
        <w:t>“</w:t>
      </w:r>
      <w:r>
        <w:rPr>
          <w:rFonts w:hint="eastAsia" w:ascii="方正小标宋_GBK" w:eastAsia="方正小标宋_GBK"/>
          <w:color w:val="auto"/>
          <w:sz w:val="32"/>
        </w:rPr>
        <w:t>三公</w:t>
      </w:r>
      <w:r>
        <w:rPr>
          <w:rFonts w:hint="cs" w:ascii="方正小标宋_GBK" w:eastAsia="方正小标宋_GBK"/>
          <w:color w:val="auto"/>
          <w:sz w:val="32"/>
          <w:cs/>
        </w:rPr>
        <w:t>”</w:t>
      </w:r>
      <w:r>
        <w:rPr>
          <w:rFonts w:hint="eastAsia" w:ascii="方正小标宋_GBK" w:eastAsia="方正小标宋_GBK"/>
          <w:color w:val="auto"/>
          <w:sz w:val="32"/>
        </w:rPr>
        <w:t>及会议培训经费预算</w:t>
      </w:r>
    </w:p>
    <w:tbl>
      <w:tblPr>
        <w:tblStyle w:val="5"/>
        <w:tblW w:w="143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02"/>
        <w:gridCol w:w="1843"/>
        <w:gridCol w:w="1814"/>
        <w:gridCol w:w="1814"/>
        <w:gridCol w:w="1814"/>
        <w:gridCol w:w="1814"/>
        <w:gridCol w:w="1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873" w:type="dxa"/>
            <w:gridSpan w:val="4"/>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324004保定市自然资源和规划局满城区分局</w:t>
            </w:r>
            <w:r>
              <w:rPr>
                <w:rFonts w:hint="eastAsia" w:eastAsia="宋体"/>
                <w:color w:val="auto"/>
                <w:lang w:val="en-US" w:eastAsia="zh-CN"/>
              </w:rPr>
              <w:t xml:space="preserve">              </w:t>
            </w:r>
          </w:p>
          <w:p>
            <w:pPr>
              <w:spacing w:line="300" w:lineRule="exact"/>
              <w:jc w:val="left"/>
              <w:rPr>
                <w:rFonts w:ascii="方正小标宋_GBK" w:eastAsia="方正小标宋_GBK"/>
                <w:color w:val="auto"/>
                <w:sz w:val="24"/>
              </w:rPr>
            </w:pPr>
            <w:r>
              <w:rPr>
                <w:rFonts w:hint="eastAsia" w:ascii="方正小标宋_GBK" w:eastAsia="方正小标宋_GBK"/>
                <w:color w:val="auto"/>
                <w:sz w:val="24"/>
                <w:lang w:val="en-US" w:eastAsia="zh-CN"/>
              </w:rPr>
              <w:t xml:space="preserve"> </w:t>
            </w:r>
            <w:r>
              <w:rPr>
                <w:color w:val="auto"/>
              </w:rPr>
              <w:t>(事业全额/事业差额)</w:t>
            </w:r>
            <w:r>
              <w:rPr>
                <w:rFonts w:hint="eastAsia" w:ascii="方正小标宋_GBK" w:eastAsia="方正小标宋_GBK"/>
                <w:color w:val="auto"/>
                <w:sz w:val="24"/>
                <w:lang w:val="en-US" w:eastAsia="zh-CN"/>
              </w:rPr>
              <w:t xml:space="preserve">                  </w:t>
            </w:r>
            <w:r>
              <w:rPr>
                <w:color w:val="auto"/>
              </w:rPr>
              <w:t>预算年度：202</w:t>
            </w:r>
            <w:r>
              <w:rPr>
                <w:rFonts w:hint="eastAsia"/>
                <w:color w:val="auto"/>
                <w:lang w:val="en-US" w:eastAsia="zh-CN"/>
              </w:rPr>
              <w:t>1</w:t>
            </w:r>
          </w:p>
        </w:tc>
        <w:tc>
          <w:tcPr>
            <w:tcW w:w="5442" w:type="dxa"/>
            <w:gridSpan w:val="3"/>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olor w:val="auto"/>
                <w:sz w:val="24"/>
              </w:rPr>
            </w:pPr>
            <w:r>
              <w:rPr>
                <w:rFonts w:hint="eastAsia" w:ascii="方正书宋_GBK" w:eastAsia="方正书宋_GBK"/>
                <w:color w:val="auto"/>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3402" w:type="dxa"/>
            <w:vMerge w:val="restart"/>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支出内容</w:t>
            </w:r>
          </w:p>
        </w:tc>
        <w:tc>
          <w:tcPr>
            <w:tcW w:w="10913" w:type="dxa"/>
            <w:gridSpan w:val="6"/>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资</w:t>
            </w:r>
            <w:r>
              <w:rPr>
                <w:rFonts w:ascii="方正书宋_GBK" w:eastAsia="方正书宋_GBK"/>
                <w:b/>
                <w:color w:val="auto"/>
              </w:rPr>
              <w:t xml:space="preserve"> </w:t>
            </w:r>
            <w:r>
              <w:rPr>
                <w:rFonts w:hint="eastAsia" w:ascii="方正书宋_GBK" w:eastAsia="方正书宋_GBK"/>
                <w:b/>
                <w:color w:val="auto"/>
              </w:rPr>
              <w:t>金</w:t>
            </w:r>
            <w:r>
              <w:rPr>
                <w:rFonts w:ascii="方正书宋_GBK" w:eastAsia="方正书宋_GBK"/>
                <w:b/>
                <w:color w:val="auto"/>
              </w:rPr>
              <w:t xml:space="preserve"> </w:t>
            </w:r>
            <w:r>
              <w:rPr>
                <w:rFonts w:hint="eastAsia" w:ascii="方正书宋_GBK" w:eastAsia="方正书宋_GBK"/>
                <w:b/>
                <w:color w:val="auto"/>
              </w:rPr>
              <w:t>来</w:t>
            </w:r>
            <w:r>
              <w:rPr>
                <w:rFonts w:ascii="方正书宋_GBK" w:eastAsia="方正书宋_GBK"/>
                <w:b/>
                <w:color w:val="auto"/>
              </w:rPr>
              <w:t xml:space="preserve"> </w:t>
            </w:r>
            <w:r>
              <w:rPr>
                <w:rFonts w:hint="eastAsia" w:ascii="方正书宋_GBK" w:eastAsia="方正书宋_GBK"/>
                <w:b/>
                <w:color w:val="auto"/>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3402" w:type="dxa"/>
            <w:vMerge w:val="continue"/>
            <w:noWrap w:val="0"/>
            <w:vAlign w:val="center"/>
          </w:tcPr>
          <w:p>
            <w:pPr>
              <w:spacing w:line="300" w:lineRule="exact"/>
              <w:jc w:val="left"/>
              <w:outlineLvl w:val="1"/>
              <w:rPr>
                <w:rFonts w:eastAsia="方正仿宋_GBK"/>
                <w:color w:val="auto"/>
                <w:sz w:val="28"/>
              </w:rPr>
            </w:pPr>
          </w:p>
        </w:tc>
        <w:tc>
          <w:tcPr>
            <w:tcW w:w="1843"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合计</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一般公共预算</w:t>
            </w:r>
            <w:r>
              <w:rPr>
                <w:rFonts w:ascii="方正书宋_GBK" w:eastAsia="方正书宋_GBK"/>
                <w:b/>
                <w:color w:val="auto"/>
              </w:rPr>
              <w:t xml:space="preserve">  </w:t>
            </w:r>
            <w:r>
              <w:rPr>
                <w:rFonts w:hint="eastAsia" w:ascii="方正书宋_GBK" w:eastAsia="方正书宋_GBK"/>
                <w:b/>
                <w:color w:val="auto"/>
              </w:rPr>
              <w:t>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基金预算拨款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国有资本经营</w:t>
            </w:r>
            <w:r>
              <w:rPr>
                <w:rFonts w:ascii="方正书宋_GBK" w:eastAsia="方正书宋_GBK"/>
                <w:b/>
                <w:color w:val="auto"/>
              </w:rPr>
              <w:t xml:space="preserve">  </w:t>
            </w:r>
            <w:r>
              <w:rPr>
                <w:rFonts w:hint="eastAsia" w:ascii="方正书宋_GBK" w:eastAsia="方正书宋_GBK"/>
                <w:b/>
                <w:color w:val="auto"/>
              </w:rPr>
              <w:t>预算拨款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财政专户核拨</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合计</w:t>
            </w:r>
          </w:p>
        </w:tc>
        <w:tc>
          <w:tcPr>
            <w:tcW w:w="1843"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center"/>
              <w:rPr>
                <w:rFonts w:hint="eastAsia" w:ascii="方正书宋_GBK" w:eastAsia="方正书宋_GBK"/>
                <w:b/>
                <w:color w:val="auto"/>
              </w:rPr>
            </w:pPr>
            <w:r>
              <w:rPr>
                <w:rFonts w:hint="cs" w:ascii="方正书宋_GBK" w:eastAsia="方正书宋_GBK"/>
                <w:b/>
                <w:color w:val="auto"/>
                <w:cs/>
              </w:rPr>
              <w:t>“</w:t>
            </w:r>
            <w:r>
              <w:rPr>
                <w:rFonts w:hint="eastAsia" w:ascii="方正书宋_GBK" w:eastAsia="方正书宋_GBK"/>
                <w:b/>
                <w:color w:val="auto"/>
              </w:rPr>
              <w:t>三公</w:t>
            </w:r>
            <w:r>
              <w:rPr>
                <w:rFonts w:hint="cs" w:ascii="方正书宋_GBK" w:eastAsia="方正书宋_GBK"/>
                <w:b/>
                <w:color w:val="auto"/>
                <w:cs/>
              </w:rPr>
              <w:t>”</w:t>
            </w:r>
            <w:r>
              <w:rPr>
                <w:rFonts w:hint="eastAsia" w:ascii="方正书宋_GBK" w:eastAsia="方正书宋_GBK"/>
                <w:b/>
                <w:color w:val="auto"/>
              </w:rPr>
              <w:t>经费小计</w:t>
            </w:r>
          </w:p>
        </w:tc>
        <w:tc>
          <w:tcPr>
            <w:tcW w:w="1843" w:type="dxa"/>
            <w:noWrap w:val="0"/>
            <w:vAlign w:val="center"/>
          </w:tcPr>
          <w:p>
            <w:pPr>
              <w:spacing w:line="300" w:lineRule="exact"/>
              <w:jc w:val="right"/>
              <w:rPr>
                <w:rFonts w:hint="default" w:ascii="方正书宋_GBK" w:eastAsia="方正书宋_GBK"/>
                <w:b/>
                <w:color w:val="auto"/>
                <w:lang w:val="en-US" w:eastAsia="zh-CN"/>
              </w:rPr>
            </w:pPr>
            <w:r>
              <w:rPr>
                <w:rFonts w:hint="eastAsia" w:ascii="方正书宋_GBK" w:eastAsia="方正书宋_GBK"/>
                <w:b/>
                <w:color w:val="auto"/>
                <w:lang w:val="en-US" w:eastAsia="zh-CN"/>
              </w:rPr>
              <w:t>0.01</w:t>
            </w:r>
          </w:p>
        </w:tc>
        <w:tc>
          <w:tcPr>
            <w:tcW w:w="1814" w:type="dxa"/>
            <w:noWrap w:val="0"/>
            <w:vAlign w:val="center"/>
          </w:tcPr>
          <w:p>
            <w:pPr>
              <w:spacing w:line="300" w:lineRule="exact"/>
              <w:jc w:val="right"/>
              <w:rPr>
                <w:rFonts w:hint="default" w:ascii="方正书宋_GBK" w:eastAsia="方正书宋_GBK"/>
                <w:b/>
                <w:color w:val="auto"/>
                <w:lang w:val="en-US" w:eastAsia="zh-CN"/>
              </w:rPr>
            </w:pPr>
            <w:r>
              <w:rPr>
                <w:rFonts w:hint="eastAsia" w:ascii="方正书宋_GBK" w:eastAsia="方正书宋_GBK"/>
                <w:b/>
                <w:color w:val="auto"/>
                <w:lang w:val="en-US" w:eastAsia="zh-CN"/>
              </w:rPr>
              <w:t>0.01</w:t>
            </w: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cs" w:ascii="方正书宋_GBK" w:eastAsia="方正书宋_GBK"/>
                <w:color w:val="auto"/>
                <w:cs/>
              </w:rPr>
            </w:pPr>
            <w:r>
              <w:rPr>
                <w:rFonts w:hint="eastAsia" w:ascii="方正书宋_GBK" w:eastAsia="方正书宋_GBK"/>
                <w:color w:val="auto"/>
              </w:rPr>
              <w:t>一、因公出国（境）费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二、公务用车购置及运维费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ascii="方正书宋_GBK" w:eastAsia="方正书宋_GBK"/>
                <w:color w:val="auto"/>
              </w:rPr>
              <w:t xml:space="preserve">    </w:t>
            </w:r>
            <w:r>
              <w:rPr>
                <w:rFonts w:hint="eastAsia" w:ascii="方正书宋_GBK" w:eastAsia="方正书宋_GBK"/>
                <w:color w:val="auto"/>
              </w:rPr>
              <w:t>其中：公务用车购置费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ascii="方正书宋_GBK" w:eastAsia="方正书宋_GBK"/>
                <w:color w:val="auto"/>
              </w:rPr>
            </w:pPr>
            <w:r>
              <w:rPr>
                <w:rFonts w:ascii="方正书宋_GBK" w:eastAsia="方正书宋_GBK"/>
                <w:color w:val="auto"/>
              </w:rPr>
              <w:t xml:space="preserve">        </w:t>
            </w:r>
            <w:r>
              <w:rPr>
                <w:rFonts w:hint="eastAsia" w:ascii="方正书宋_GBK" w:eastAsia="方正书宋_GBK"/>
                <w:color w:val="auto"/>
              </w:rPr>
              <w:t>公务用车运行维护费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ascii="方正书宋_GBK" w:eastAsia="方正书宋_GBK"/>
                <w:color w:val="auto"/>
              </w:rPr>
            </w:pPr>
            <w:r>
              <w:rPr>
                <w:rFonts w:hint="eastAsia" w:ascii="方正书宋_GBK" w:eastAsia="方正书宋_GBK"/>
                <w:color w:val="auto"/>
              </w:rPr>
              <w:t>三、公务接待费</w:t>
            </w:r>
          </w:p>
        </w:tc>
        <w:tc>
          <w:tcPr>
            <w:tcW w:w="1843"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0.01</w:t>
            </w:r>
          </w:p>
        </w:tc>
        <w:tc>
          <w:tcPr>
            <w:tcW w:w="1814"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0.01</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四、会议费</w:t>
            </w:r>
          </w:p>
        </w:tc>
        <w:tc>
          <w:tcPr>
            <w:tcW w:w="1843"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五、培训费</w:t>
            </w:r>
          </w:p>
        </w:tc>
        <w:tc>
          <w:tcPr>
            <w:tcW w:w="1843"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bl>
    <w:p>
      <w:pPr>
        <w:spacing w:line="300" w:lineRule="exact"/>
        <w:jc w:val="left"/>
        <w:outlineLvl w:val="1"/>
        <w:rPr>
          <w:rFonts w:eastAsia="方正仿宋_GBK"/>
          <w:color w:val="auto"/>
          <w:sz w:val="28"/>
        </w:rPr>
        <w:sectPr>
          <w:pgSz w:w="16839" w:h="11907" w:orient="landscape"/>
          <w:pgMar w:top="1361" w:right="1020" w:bottom="1361" w:left="1020" w:header="851" w:footer="992" w:gutter="0"/>
          <w:cols w:space="720" w:num="1"/>
          <w:docGrid w:type="lines" w:linePitch="312" w:charSpace="0"/>
        </w:sectPr>
      </w:pPr>
    </w:p>
    <w:p>
      <w:pPr>
        <w:jc w:val="center"/>
        <w:outlineLvl w:val="4"/>
        <w:rPr>
          <w:rFonts w:ascii="方正小标宋_GBK" w:hAnsi="方正小标宋_GBK" w:eastAsia="方正小标宋_GBK" w:cs="方正小标宋_GBK"/>
          <w:color w:val="auto"/>
          <w:sz w:val="36"/>
        </w:rPr>
      </w:pPr>
    </w:p>
    <w:p>
      <w:pPr>
        <w:jc w:val="center"/>
        <w:outlineLvl w:val="4"/>
        <w:rPr>
          <w:color w:val="auto"/>
        </w:rPr>
      </w:pPr>
      <w:r>
        <w:rPr>
          <w:rFonts w:ascii="方正小标宋_GBK" w:hAnsi="方正小标宋_GBK" w:eastAsia="方正小标宋_GBK" w:cs="方正小标宋_GBK"/>
          <w:color w:val="auto"/>
          <w:sz w:val="44"/>
        </w:rPr>
        <w:t>保定市自然资源和规划局满城区分局(事业全额/事业差额)202</w:t>
      </w:r>
      <w:r>
        <w:rPr>
          <w:rFonts w:hint="eastAsia" w:ascii="方正小标宋_GBK" w:hAnsi="方正小标宋_GBK" w:eastAsia="方正小标宋_GBK" w:cs="方正小标宋_GBK"/>
          <w:color w:val="auto"/>
          <w:sz w:val="44"/>
          <w:lang w:val="en-US" w:eastAsia="zh-CN"/>
        </w:rPr>
        <w:t>1</w:t>
      </w:r>
      <w:r>
        <w:rPr>
          <w:rFonts w:ascii="方正小标宋_GBK" w:hAnsi="方正小标宋_GBK" w:eastAsia="方正小标宋_GBK" w:cs="方正小标宋_GBK"/>
          <w:color w:val="auto"/>
          <w:sz w:val="44"/>
        </w:rPr>
        <w:t>年单位预算信息公开情况说明</w:t>
      </w:r>
    </w:p>
    <w:p>
      <w:pPr>
        <w:spacing w:line="500" w:lineRule="exact"/>
        <w:ind w:firstLine="560"/>
        <w:rPr>
          <w:color w:val="auto"/>
        </w:rPr>
      </w:pPr>
      <w:r>
        <w:rPr>
          <w:rFonts w:eastAsia="方正仿宋_GBK"/>
          <w:color w:val="auto"/>
          <w:sz w:val="28"/>
        </w:rPr>
        <w:t>按照《</w:t>
      </w:r>
      <w:r>
        <w:rPr>
          <w:rFonts w:hint="eastAsia" w:eastAsia="方正仿宋_GBK"/>
          <w:color w:val="auto"/>
          <w:sz w:val="28"/>
          <w:lang w:eastAsia="zh-CN"/>
        </w:rPr>
        <w:t>中华人民共和国预算法</w:t>
      </w:r>
      <w:r>
        <w:rPr>
          <w:rFonts w:eastAsia="方正仿宋_GBK"/>
          <w:color w:val="auto"/>
          <w:sz w:val="28"/>
        </w:rPr>
        <w:t>》、《地方预决算公开操作规程》和《关于进一步推进预算公开工作的实施意见》规定，现将保定市自然资源和规划局满城区分局(事业全额/事业差额)202</w:t>
      </w:r>
      <w:r>
        <w:rPr>
          <w:rFonts w:hint="eastAsia" w:eastAsia="方正仿宋_GBK"/>
          <w:color w:val="auto"/>
          <w:sz w:val="28"/>
          <w:lang w:val="en-US" w:eastAsia="zh-CN"/>
        </w:rPr>
        <w:t>1</w:t>
      </w:r>
      <w:r>
        <w:rPr>
          <w:rFonts w:eastAsia="方正仿宋_GBK"/>
          <w:color w:val="auto"/>
          <w:sz w:val="28"/>
        </w:rPr>
        <w:t>年单位预算公开如下：</w:t>
      </w:r>
    </w:p>
    <w:p>
      <w:pPr>
        <w:spacing w:before="10" w:after="10"/>
        <w:ind w:firstLine="640"/>
        <w:outlineLvl w:val="5"/>
        <w:rPr>
          <w:color w:val="auto"/>
        </w:rPr>
      </w:pPr>
      <w:r>
        <w:rPr>
          <w:rFonts w:ascii="黑体" w:hAnsi="黑体" w:eastAsia="黑体" w:cs="黑体"/>
          <w:color w:val="auto"/>
          <w:sz w:val="32"/>
        </w:rPr>
        <w:t>一、单位职责及机构设置情况</w:t>
      </w:r>
    </w:p>
    <w:p>
      <w:pPr>
        <w:spacing w:line="640" w:lineRule="exact"/>
        <w:ind w:firstLine="643" w:firstLineChars="200"/>
        <w:jc w:val="left"/>
        <w:rPr>
          <w:rFonts w:hint="eastAsia" w:ascii="宋体" w:hAnsi="宋体" w:cs="Times New Roman"/>
          <w:b w:val="0"/>
          <w:bCs/>
          <w:color w:val="auto"/>
          <w:kern w:val="2"/>
          <w:sz w:val="28"/>
          <w:szCs w:val="28"/>
        </w:rPr>
      </w:pPr>
      <w:r>
        <w:rPr>
          <w:rFonts w:ascii="方正楷体_GBK" w:hAnsi="方正楷体_GBK" w:eastAsia="方正楷体_GBK" w:cs="方正楷体_GBK"/>
          <w:b/>
          <w:color w:val="auto"/>
          <w:sz w:val="32"/>
        </w:rPr>
        <w:t>单位职责：</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2021年，我们将认真贯彻落实区委、区政府的安排部署，强化措施，明确责任，合力攻坚，确保完成各项工作任务。</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一是用足用好法规政策，积极组卷报批用地手续，为重点项目建设提供用地支撑。</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二是加大矿山停产整治力度，推进露天矿山企业主动关闭退出工作。</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三是加大土地供应力度，加快推进批而未供土地处置工作，提高土地调控和服务重点项目的能力，加快完善旅发项目用地手续。</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四是加大土地整治力度。</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五是保持高压态势，强化管控措施，严格行政执法程序，依法依规严厉打击各类违法行为。</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六是积极谋划完成满城区新一轮《林地保护利用规划》的编制工作。</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七是加大工作力度，加快推进“两权”发证工作。</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八是不断深化不动产登记便民利民举措，认真贯彻执行“一窗受理、并行办理”。</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九是认真做好2021年汛期地质灾害防治工作，确保安全度汛。</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十是进一步强化森林防火工作。</w:t>
      </w:r>
    </w:p>
    <w:p>
      <w:pPr>
        <w:ind w:firstLine="640"/>
        <w:rPr>
          <w:rFonts w:hint="eastAsia" w:eastAsia="方正楷体_GBK"/>
          <w:color w:val="auto"/>
          <w:lang w:eastAsia="zh-CN"/>
        </w:rPr>
      </w:pPr>
      <w:r>
        <w:rPr>
          <w:rFonts w:ascii="宋体" w:hAnsi="宋体" w:cs="Times New Roman"/>
          <w:b w:val="0"/>
          <w:bCs/>
          <w:color w:val="auto"/>
          <w:kern w:val="2"/>
          <w:sz w:val="28"/>
          <w:szCs w:val="28"/>
        </w:rPr>
        <w:t>十一是加强苗木供应及良种基地建设。</w:t>
      </w:r>
    </w:p>
    <w:p>
      <w:pPr>
        <w:pStyle w:val="30"/>
        <w:rPr>
          <w:color w:val="auto"/>
        </w:rPr>
      </w:pPr>
    </w:p>
    <w:p>
      <w:pPr>
        <w:ind w:firstLine="640"/>
        <w:rPr>
          <w:color w:val="auto"/>
        </w:rPr>
      </w:pPr>
      <w:r>
        <w:rPr>
          <w:rFonts w:ascii="方正楷体_GBK" w:hAnsi="方正楷体_GBK" w:eastAsia="方正楷体_GBK" w:cs="方正楷体_GBK"/>
          <w:b/>
          <w:color w:val="auto"/>
          <w:sz w:val="32"/>
        </w:rPr>
        <w:t>机构设置：</w:t>
      </w:r>
    </w:p>
    <w:p>
      <w:pPr>
        <w:jc w:val="center"/>
        <w:rPr>
          <w:color w:val="auto"/>
        </w:rPr>
      </w:pPr>
      <w:r>
        <w:rPr>
          <w:rFonts w:ascii="方正小标宋_GBK" w:hAnsi="方正小标宋_GBK" w:eastAsia="方正小标宋_GBK" w:cs="方正小标宋_GBK"/>
          <w:color w:val="auto"/>
          <w:sz w:val="32"/>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5"/>
              <w:rPr>
                <w:color w:val="auto"/>
              </w:rPr>
            </w:pPr>
            <w:r>
              <w:rPr>
                <w:color w:val="auto"/>
              </w:rPr>
              <w:t>单位名称</w:t>
            </w:r>
          </w:p>
        </w:tc>
        <w:tc>
          <w:tcPr>
            <w:tcW w:w="1843" w:type="dxa"/>
            <w:noWrap w:val="0"/>
            <w:vAlign w:val="center"/>
          </w:tcPr>
          <w:p>
            <w:pPr>
              <w:pStyle w:val="15"/>
              <w:rPr>
                <w:color w:val="auto"/>
              </w:rPr>
            </w:pPr>
            <w:r>
              <w:rPr>
                <w:color w:val="auto"/>
              </w:rPr>
              <w:t>单位性质</w:t>
            </w:r>
          </w:p>
        </w:tc>
        <w:tc>
          <w:tcPr>
            <w:tcW w:w="2126" w:type="dxa"/>
            <w:noWrap w:val="0"/>
            <w:vAlign w:val="center"/>
          </w:tcPr>
          <w:p>
            <w:pPr>
              <w:pStyle w:val="15"/>
              <w:rPr>
                <w:color w:val="auto"/>
              </w:rPr>
            </w:pPr>
            <w:r>
              <w:rPr>
                <w:color w:val="auto"/>
              </w:rPr>
              <w:t>单位规格</w:t>
            </w:r>
          </w:p>
        </w:tc>
        <w:tc>
          <w:tcPr>
            <w:tcW w:w="3827" w:type="dxa"/>
            <w:noWrap w:val="0"/>
            <w:vAlign w:val="center"/>
          </w:tcPr>
          <w:p>
            <w:pPr>
              <w:pStyle w:val="15"/>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7"/>
              <w:rPr>
                <w:color w:val="auto"/>
              </w:rPr>
            </w:pPr>
            <w:r>
              <w:rPr>
                <w:color w:val="auto"/>
              </w:rPr>
              <w:t>保定市自然资源和规划局满城区分局(事业全额/事业差额)</w:t>
            </w:r>
          </w:p>
        </w:tc>
        <w:tc>
          <w:tcPr>
            <w:tcW w:w="1843" w:type="dxa"/>
            <w:noWrap w:val="0"/>
            <w:vAlign w:val="center"/>
          </w:tcPr>
          <w:p>
            <w:pPr>
              <w:pStyle w:val="18"/>
              <w:rPr>
                <w:color w:val="auto"/>
              </w:rPr>
            </w:pPr>
            <w:r>
              <w:rPr>
                <w:color w:val="auto"/>
              </w:rPr>
              <w:t>事业</w:t>
            </w:r>
          </w:p>
        </w:tc>
        <w:tc>
          <w:tcPr>
            <w:tcW w:w="2126" w:type="dxa"/>
            <w:noWrap w:val="0"/>
            <w:vAlign w:val="center"/>
          </w:tcPr>
          <w:p>
            <w:pPr>
              <w:pStyle w:val="18"/>
              <w:rPr>
                <w:color w:val="auto"/>
              </w:rPr>
            </w:pPr>
            <w:r>
              <w:rPr>
                <w:color w:val="auto"/>
              </w:rPr>
              <w:t>股级</w:t>
            </w:r>
          </w:p>
        </w:tc>
        <w:tc>
          <w:tcPr>
            <w:tcW w:w="3827" w:type="dxa"/>
            <w:noWrap w:val="0"/>
            <w:vAlign w:val="center"/>
          </w:tcPr>
          <w:p>
            <w:pPr>
              <w:pStyle w:val="18"/>
              <w:rPr>
                <w:color w:val="auto"/>
              </w:rPr>
            </w:pPr>
            <w:r>
              <w:rPr>
                <w:color w:val="auto"/>
              </w:rPr>
              <w:t>财政性资金基本保证</w:t>
            </w:r>
          </w:p>
        </w:tc>
      </w:tr>
    </w:tbl>
    <w:p>
      <w:pPr>
        <w:spacing w:before="10" w:after="10"/>
        <w:ind w:firstLine="640"/>
        <w:outlineLvl w:val="5"/>
        <w:rPr>
          <w:color w:val="auto"/>
        </w:rPr>
      </w:pPr>
      <w:r>
        <w:rPr>
          <w:rFonts w:ascii="黑体" w:hAnsi="黑体" w:eastAsia="黑体" w:cs="黑体"/>
          <w:color w:val="auto"/>
          <w:sz w:val="32"/>
        </w:rPr>
        <w:t>二、单位预算安排的总体情况</w:t>
      </w:r>
    </w:p>
    <w:p>
      <w:pPr>
        <w:spacing w:line="500" w:lineRule="exact"/>
        <w:ind w:firstLine="560"/>
        <w:rPr>
          <w:color w:val="auto"/>
        </w:rPr>
      </w:pPr>
      <w:r>
        <w:rPr>
          <w:rFonts w:eastAsia="方正仿宋_GBK"/>
          <w:color w:val="auto"/>
          <w:sz w:val="28"/>
        </w:rPr>
        <w:t>按照预算管理有关规定，目前我单位预算的编制实行综合预算管理，即全部收入和支出都反映在预算中。</w:t>
      </w:r>
    </w:p>
    <w:p>
      <w:pPr>
        <w:pStyle w:val="2"/>
        <w:spacing w:before="6"/>
        <w:ind w:firstLine="640" w:firstLineChars="200"/>
        <w:rPr>
          <w:color w:val="auto"/>
        </w:rPr>
      </w:pPr>
      <w:r>
        <w:rPr>
          <w:color w:val="auto"/>
        </w:rPr>
        <w:t>1、收入说明</w:t>
      </w:r>
    </w:p>
    <w:p>
      <w:pPr>
        <w:pStyle w:val="2"/>
        <w:spacing w:before="149"/>
        <w:ind w:firstLine="608" w:firstLineChars="200"/>
        <w:rPr>
          <w:color w:val="auto"/>
          <w:spacing w:val="-3"/>
          <w:w w:val="95"/>
        </w:rPr>
      </w:pPr>
      <w:r>
        <w:rPr>
          <w:color w:val="auto"/>
          <w:w w:val="95"/>
        </w:rPr>
        <w:t>反映本</w:t>
      </w:r>
      <w:r>
        <w:rPr>
          <w:rFonts w:hint="eastAsia"/>
          <w:color w:val="auto"/>
          <w:w w:val="95"/>
          <w:lang w:eastAsia="zh-CN"/>
        </w:rPr>
        <w:t>单位</w:t>
      </w:r>
      <w:r>
        <w:rPr>
          <w:color w:val="auto"/>
          <w:w w:val="95"/>
        </w:rPr>
        <w:t>当年全部收入。202</w:t>
      </w:r>
      <w:r>
        <w:rPr>
          <w:rFonts w:hint="eastAsia"/>
          <w:color w:val="auto"/>
          <w:w w:val="95"/>
          <w:lang w:val="en-US" w:eastAsia="zh-CN"/>
        </w:rPr>
        <w:t>1</w:t>
      </w:r>
      <w:r>
        <w:rPr>
          <w:color w:val="auto"/>
          <w:spacing w:val="10"/>
          <w:w w:val="95"/>
        </w:rPr>
        <w:t xml:space="preserve"> 年预算收入</w:t>
      </w:r>
      <w:r>
        <w:rPr>
          <w:rFonts w:hint="eastAsia"/>
          <w:color w:val="auto"/>
          <w:lang w:val="en-US" w:eastAsia="zh-CN"/>
        </w:rPr>
        <w:t>60.33</w:t>
      </w:r>
      <w:r>
        <w:rPr>
          <w:color w:val="auto"/>
          <w:spacing w:val="2"/>
          <w:w w:val="95"/>
        </w:rPr>
        <w:t>万元，</w:t>
      </w:r>
      <w:r>
        <w:rPr>
          <w:rFonts w:hint="eastAsia"/>
          <w:color w:val="auto"/>
          <w:spacing w:val="2"/>
          <w:w w:val="95"/>
          <w:lang w:eastAsia="zh-CN"/>
        </w:rPr>
        <w:t>全部为</w:t>
      </w:r>
      <w:r>
        <w:rPr>
          <w:color w:val="auto"/>
          <w:spacing w:val="2"/>
          <w:w w:val="95"/>
        </w:rPr>
        <w:t>一般公共预算收入</w:t>
      </w:r>
      <w:r>
        <w:rPr>
          <w:rFonts w:hint="eastAsia"/>
          <w:color w:val="auto"/>
          <w:spacing w:val="9"/>
          <w:w w:val="95"/>
          <w:lang w:eastAsia="zh-CN"/>
        </w:rPr>
        <w:t>，</w:t>
      </w:r>
      <w:r>
        <w:rPr>
          <w:rFonts w:hint="eastAsia"/>
          <w:color w:val="auto"/>
          <w:spacing w:val="9"/>
          <w:w w:val="95"/>
        </w:rPr>
        <w:t>政府</w:t>
      </w:r>
      <w:r>
        <w:rPr>
          <w:color w:val="auto"/>
          <w:spacing w:val="-1"/>
          <w:w w:val="95"/>
        </w:rPr>
        <w:t>基金预算收入</w:t>
      </w:r>
      <w:r>
        <w:rPr>
          <w:rFonts w:hint="eastAsia"/>
          <w:color w:val="auto"/>
          <w:lang w:val="en-US" w:eastAsia="zh-CN"/>
        </w:rPr>
        <w:t>0</w:t>
      </w:r>
      <w:r>
        <w:rPr>
          <w:color w:val="auto"/>
          <w:w w:val="95"/>
        </w:rPr>
        <w:t>万元，国有资本经营预算收入 0 万元，财政专户核拨收入 0 万元，单位资金收入 0 万元，</w:t>
      </w:r>
      <w:r>
        <w:rPr>
          <w:color w:val="auto"/>
          <w:spacing w:val="-2"/>
          <w:w w:val="95"/>
        </w:rPr>
        <w:t>上</w:t>
      </w:r>
      <w:r>
        <w:rPr>
          <w:color w:val="auto"/>
        </w:rPr>
        <w:t>年结转结</w:t>
      </w:r>
      <w:r>
        <w:rPr>
          <w:rFonts w:hint="eastAsia"/>
          <w:color w:val="auto"/>
          <w:lang w:eastAsia="zh-CN"/>
        </w:rPr>
        <w:t>余</w:t>
      </w:r>
      <w:r>
        <w:rPr>
          <w:rFonts w:hint="eastAsia"/>
          <w:color w:val="auto"/>
        </w:rPr>
        <w:t xml:space="preserve"> 0 万</w:t>
      </w:r>
      <w:r>
        <w:rPr>
          <w:color w:val="auto"/>
          <w:spacing w:val="-1"/>
          <w:w w:val="95"/>
        </w:rPr>
        <w:t>元。</w:t>
      </w:r>
    </w:p>
    <w:p>
      <w:pPr>
        <w:pStyle w:val="2"/>
        <w:spacing w:before="3" w:line="328" w:lineRule="auto"/>
        <w:ind w:right="739" w:firstLine="640" w:firstLineChars="200"/>
        <w:jc w:val="both"/>
        <w:rPr>
          <w:color w:val="auto"/>
        </w:rPr>
      </w:pPr>
      <w:r>
        <w:rPr>
          <w:color w:val="auto"/>
        </w:rPr>
        <w:t>2、支出</w:t>
      </w:r>
      <w:r>
        <w:rPr>
          <w:rFonts w:hint="eastAsia"/>
          <w:color w:val="auto"/>
          <w:lang w:eastAsia="zh-CN"/>
        </w:rPr>
        <w:t>说</w:t>
      </w:r>
      <w:r>
        <w:rPr>
          <w:color w:val="auto"/>
        </w:rPr>
        <w:t>明</w:t>
      </w:r>
    </w:p>
    <w:p>
      <w:pPr>
        <w:pStyle w:val="2"/>
        <w:spacing w:before="3" w:line="328" w:lineRule="auto"/>
        <w:ind w:right="739" w:firstLine="640" w:firstLineChars="200"/>
        <w:jc w:val="both"/>
        <w:rPr>
          <w:color w:val="auto"/>
        </w:rPr>
      </w:pPr>
      <w:r>
        <w:rPr>
          <w:color w:val="auto"/>
        </w:rPr>
        <w:t>收支预算总表支出栏、基本支出表、项目支出表按经济分类和支出功能分类科目编制，反映保定市</w:t>
      </w:r>
      <w:r>
        <w:rPr>
          <w:rFonts w:hint="eastAsia"/>
          <w:color w:val="auto"/>
        </w:rPr>
        <w:t>自然资源和规划局满城区分局</w:t>
      </w:r>
      <w:r>
        <w:rPr>
          <w:color w:val="auto"/>
          <w:w w:val="95"/>
        </w:rPr>
        <w:t>年度</w:t>
      </w:r>
      <w:r>
        <w:rPr>
          <w:rFonts w:hint="eastAsia"/>
          <w:color w:val="auto"/>
          <w:w w:val="95"/>
          <w:lang w:eastAsia="zh-CN"/>
        </w:rPr>
        <w:t>单位</w:t>
      </w:r>
      <w:r>
        <w:rPr>
          <w:color w:val="auto"/>
          <w:w w:val="95"/>
        </w:rPr>
        <w:t>预算中支出预算的总体情况。202</w:t>
      </w:r>
      <w:r>
        <w:rPr>
          <w:rFonts w:hint="eastAsia"/>
          <w:color w:val="auto"/>
          <w:w w:val="95"/>
          <w:lang w:val="en-US" w:eastAsia="zh-CN"/>
        </w:rPr>
        <w:t>1</w:t>
      </w:r>
      <w:r>
        <w:rPr>
          <w:color w:val="auto"/>
          <w:spacing w:val="40"/>
          <w:w w:val="95"/>
        </w:rPr>
        <w:t xml:space="preserve"> 年支出预算</w:t>
      </w:r>
      <w:r>
        <w:rPr>
          <w:rFonts w:hint="eastAsia"/>
          <w:color w:val="auto"/>
          <w:spacing w:val="40"/>
          <w:w w:val="95"/>
          <w:lang w:val="en-US" w:eastAsia="zh-CN"/>
        </w:rPr>
        <w:t>60.33</w:t>
      </w:r>
      <w:r>
        <w:rPr>
          <w:color w:val="auto"/>
          <w:spacing w:val="14"/>
          <w:w w:val="95"/>
        </w:rPr>
        <w:t>万元，</w:t>
      </w:r>
      <w:r>
        <w:rPr>
          <w:rFonts w:hint="eastAsia"/>
          <w:color w:val="auto"/>
          <w:spacing w:val="14"/>
          <w:w w:val="95"/>
          <w:lang w:eastAsia="zh-CN"/>
        </w:rPr>
        <w:t>全部为</w:t>
      </w:r>
      <w:r>
        <w:rPr>
          <w:color w:val="auto"/>
          <w:spacing w:val="14"/>
          <w:w w:val="95"/>
        </w:rPr>
        <w:t>基本支</w:t>
      </w:r>
      <w:r>
        <w:rPr>
          <w:color w:val="auto"/>
          <w:spacing w:val="1"/>
          <w:w w:val="95"/>
        </w:rPr>
        <w:t>出</w:t>
      </w:r>
      <w:r>
        <w:rPr>
          <w:rFonts w:hint="eastAsia"/>
          <w:color w:val="auto"/>
          <w:spacing w:val="1"/>
          <w:w w:val="95"/>
          <w:lang w:val="en-US" w:eastAsia="zh-CN"/>
        </w:rPr>
        <w:t>60.33</w:t>
      </w:r>
      <w:r>
        <w:rPr>
          <w:color w:val="auto"/>
          <w:w w:val="95"/>
        </w:rPr>
        <w:t>万元</w:t>
      </w:r>
      <w:r>
        <w:rPr>
          <w:rFonts w:hint="eastAsia"/>
          <w:color w:val="auto"/>
          <w:w w:val="95"/>
          <w:lang w:eastAsia="zh-CN"/>
        </w:rPr>
        <w:t>，包括人员经费预算为</w:t>
      </w:r>
      <w:r>
        <w:rPr>
          <w:rFonts w:hint="eastAsia"/>
          <w:color w:val="auto"/>
          <w:w w:val="95"/>
          <w:lang w:val="en-US" w:eastAsia="zh-CN"/>
        </w:rPr>
        <w:t>59.74万元和日常公用经费0.59万元</w:t>
      </w:r>
      <w:r>
        <w:rPr>
          <w:rFonts w:hint="eastAsia"/>
          <w:color w:val="auto"/>
          <w:w w:val="95"/>
        </w:rPr>
        <w:t>。</w:t>
      </w:r>
    </w:p>
    <w:p>
      <w:pPr>
        <w:pStyle w:val="2"/>
        <w:spacing w:line="405" w:lineRule="exact"/>
        <w:ind w:firstLine="640" w:firstLineChars="200"/>
        <w:rPr>
          <w:color w:val="auto"/>
        </w:rPr>
      </w:pPr>
      <w:r>
        <w:rPr>
          <w:color w:val="auto"/>
        </w:rPr>
        <w:t>3、比上年增减情况</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40" w:firstLineChars="200"/>
        <w:jc w:val="both"/>
        <w:textAlignment w:val="auto"/>
        <w:rPr>
          <w:rFonts w:ascii="Times New Roman" w:hAnsi="Times New Roman" w:eastAsia="方正仿宋_GBK" w:cs="Times New Roman"/>
          <w:color w:val="auto"/>
          <w:sz w:val="28"/>
          <w:szCs w:val="24"/>
          <w:lang w:val="en-US" w:eastAsia="uk-UA" w:bidi="ar-SA"/>
        </w:rPr>
      </w:pPr>
      <w:r>
        <w:rPr>
          <w:color w:val="auto"/>
          <w:lang w:val="en-US" w:eastAsia="uk-UA"/>
        </w:rPr>
        <w:t>202</w:t>
      </w:r>
      <w:r>
        <w:rPr>
          <w:rFonts w:hint="eastAsia"/>
          <w:color w:val="auto"/>
          <w:lang w:val="en-US" w:eastAsia="zh-CN"/>
        </w:rPr>
        <w:t>1</w:t>
      </w:r>
      <w:r>
        <w:rPr>
          <w:color w:val="auto"/>
          <w:lang w:val="en-US" w:eastAsia="uk-UA"/>
        </w:rPr>
        <w:t xml:space="preserve">年预算收支安排 </w:t>
      </w:r>
      <w:r>
        <w:rPr>
          <w:rFonts w:hint="eastAsia"/>
          <w:color w:val="auto"/>
          <w:lang w:val="en-US" w:eastAsia="zh-CN"/>
        </w:rPr>
        <w:t>60.33</w:t>
      </w:r>
      <w:r>
        <w:rPr>
          <w:color w:val="auto"/>
          <w:lang w:val="en-US" w:eastAsia="uk-UA"/>
        </w:rPr>
        <w:t>万元，</w:t>
      </w:r>
      <w:r>
        <w:rPr>
          <w:rFonts w:hint="eastAsia"/>
          <w:color w:val="auto"/>
          <w:lang w:val="en-US" w:eastAsia="zh-CN"/>
        </w:rPr>
        <w:t>全部为新增。</w:t>
      </w:r>
    </w:p>
    <w:p>
      <w:pPr>
        <w:pStyle w:val="2"/>
        <w:spacing w:before="162"/>
        <w:ind w:firstLine="534" w:firstLineChars="200"/>
        <w:rPr>
          <w:b/>
          <w:color w:val="auto"/>
          <w:sz w:val="28"/>
          <w:szCs w:val="28"/>
        </w:rPr>
      </w:pPr>
      <w:r>
        <w:rPr>
          <w:b/>
          <w:color w:val="auto"/>
          <w:w w:val="95"/>
          <w:sz w:val="28"/>
          <w:szCs w:val="28"/>
        </w:rPr>
        <w:t>三、机关运行经费安排情况</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640" w:firstLineChars="200"/>
        <w:jc w:val="both"/>
        <w:textAlignment w:val="auto"/>
        <w:rPr>
          <w:rFonts w:ascii="Times New Roman" w:hAnsi="Times New Roman" w:eastAsia="方正仿宋_GBK" w:cs="Times New Roman"/>
          <w:color w:val="auto"/>
          <w:sz w:val="28"/>
          <w:szCs w:val="24"/>
          <w:lang w:val="en-US" w:eastAsia="uk-UA" w:bidi="ar-SA"/>
        </w:rPr>
      </w:pPr>
      <w:r>
        <w:rPr>
          <w:color w:val="auto"/>
          <w:lang w:val="en-US" w:eastAsia="uk-UA"/>
        </w:rPr>
        <w:t>202</w:t>
      </w:r>
      <w:r>
        <w:rPr>
          <w:rFonts w:hint="eastAsia"/>
          <w:color w:val="auto"/>
          <w:lang w:val="en-US" w:eastAsia="zh-CN"/>
        </w:rPr>
        <w:t>1</w:t>
      </w:r>
      <w:r>
        <w:rPr>
          <w:color w:val="auto"/>
          <w:lang w:val="en-US" w:eastAsia="uk-UA"/>
        </w:rPr>
        <w:t>年，我</w:t>
      </w:r>
      <w:r>
        <w:rPr>
          <w:rFonts w:hint="eastAsia"/>
          <w:color w:val="auto"/>
          <w:lang w:val="en-US" w:eastAsia="zh-CN"/>
        </w:rPr>
        <w:t>单位</w:t>
      </w:r>
      <w:r>
        <w:rPr>
          <w:color w:val="auto"/>
          <w:lang w:val="en-US" w:eastAsia="uk-UA"/>
        </w:rPr>
        <w:t>运行经费共计安排</w:t>
      </w:r>
      <w:r>
        <w:rPr>
          <w:rFonts w:hint="eastAsia"/>
          <w:color w:val="auto"/>
          <w:lang w:val="en-US" w:eastAsia="zh-CN"/>
        </w:rPr>
        <w:t>0.59</w:t>
      </w:r>
      <w:r>
        <w:rPr>
          <w:color w:val="auto"/>
          <w:lang w:val="en-US" w:eastAsia="uk-UA"/>
        </w:rPr>
        <w:t>万元，主要用于日常运行</w:t>
      </w:r>
      <w:r>
        <w:rPr>
          <w:rFonts w:hint="eastAsia"/>
          <w:color w:val="auto"/>
          <w:lang w:val="en-US" w:eastAsia="zh-CN"/>
        </w:rPr>
        <w:t>公务接待</w:t>
      </w:r>
      <w:r>
        <w:rPr>
          <w:color w:val="auto"/>
          <w:lang w:val="en-US" w:eastAsia="uk-UA"/>
        </w:rPr>
        <w:t>支出。</w:t>
      </w:r>
    </w:p>
    <w:p>
      <w:pPr>
        <w:pStyle w:val="2"/>
        <w:spacing w:before="58"/>
        <w:ind w:firstLine="534" w:firstLineChars="200"/>
        <w:rPr>
          <w:b/>
          <w:color w:val="auto"/>
          <w:sz w:val="28"/>
          <w:szCs w:val="28"/>
        </w:rPr>
      </w:pPr>
      <w:bookmarkStart w:id="20" w:name="四、财政拨款“三公”经费预算情况及增减变化原因"/>
      <w:bookmarkEnd w:id="20"/>
      <w:bookmarkStart w:id="21" w:name="_bookmark12"/>
      <w:bookmarkEnd w:id="21"/>
      <w:r>
        <w:rPr>
          <w:b/>
          <w:color w:val="auto"/>
          <w:w w:val="95"/>
          <w:sz w:val="28"/>
          <w:szCs w:val="28"/>
        </w:rPr>
        <w:t>四、财政拨款“三公”经费预算情况及增减变化原因</w:t>
      </w:r>
    </w:p>
    <w:p>
      <w:pPr>
        <w:spacing w:before="10" w:after="10"/>
        <w:ind w:firstLine="640"/>
        <w:outlineLvl w:val="5"/>
        <w:rPr>
          <w:rFonts w:hint="default" w:ascii="宋体" w:hAnsi="宋体" w:eastAsia="宋体" w:cs="宋体"/>
          <w:color w:val="auto"/>
          <w:sz w:val="32"/>
          <w:szCs w:val="32"/>
          <w:lang w:val="en-US" w:eastAsia="zh-CN" w:bidi="ar-SA"/>
        </w:rPr>
      </w:pPr>
      <w:r>
        <w:rPr>
          <w:rFonts w:ascii="宋体" w:hAnsi="宋体" w:eastAsia="宋体" w:cs="宋体"/>
          <w:color w:val="auto"/>
          <w:sz w:val="32"/>
          <w:szCs w:val="32"/>
          <w:lang w:val="en-US" w:eastAsia="uk-UA" w:bidi="ar-SA"/>
        </w:rPr>
        <w:t>202</w:t>
      </w:r>
      <w:r>
        <w:rPr>
          <w:rFonts w:hint="eastAsia" w:ascii="宋体" w:hAnsi="宋体" w:eastAsia="宋体" w:cs="宋体"/>
          <w:color w:val="auto"/>
          <w:sz w:val="32"/>
          <w:szCs w:val="32"/>
          <w:lang w:val="en-US" w:eastAsia="zh-CN" w:bidi="ar-SA"/>
        </w:rPr>
        <w:t>1</w:t>
      </w:r>
      <w:r>
        <w:rPr>
          <w:rFonts w:ascii="宋体" w:hAnsi="宋体" w:eastAsia="宋体" w:cs="宋体"/>
          <w:color w:val="auto"/>
          <w:sz w:val="32"/>
          <w:szCs w:val="32"/>
          <w:lang w:val="en-US" w:eastAsia="uk-UA" w:bidi="ar-SA"/>
        </w:rPr>
        <w:t xml:space="preserve"> 年我</w:t>
      </w:r>
      <w:r>
        <w:rPr>
          <w:rFonts w:hint="eastAsia" w:ascii="宋体" w:hAnsi="宋体" w:eastAsia="宋体" w:cs="宋体"/>
          <w:color w:val="auto"/>
          <w:sz w:val="32"/>
          <w:szCs w:val="32"/>
          <w:lang w:val="en-US" w:eastAsia="zh-CN" w:bidi="ar-SA"/>
        </w:rPr>
        <w:t>单位</w:t>
      </w:r>
      <w:r>
        <w:rPr>
          <w:rFonts w:ascii="宋体" w:hAnsi="宋体" w:eastAsia="宋体" w:cs="宋体"/>
          <w:color w:val="auto"/>
          <w:sz w:val="32"/>
          <w:szCs w:val="32"/>
          <w:lang w:val="en-US" w:eastAsia="uk-UA" w:bidi="ar-SA"/>
        </w:rPr>
        <w:t>财政拨款“三公”经费预算安排</w:t>
      </w:r>
      <w:r>
        <w:rPr>
          <w:rFonts w:hint="eastAsia" w:ascii="宋体" w:hAnsi="宋体" w:eastAsia="宋体" w:cs="宋体"/>
          <w:color w:val="auto"/>
          <w:sz w:val="32"/>
          <w:szCs w:val="32"/>
          <w:lang w:val="en-US" w:eastAsia="zh-CN" w:bidi="ar-SA"/>
        </w:rPr>
        <w:t>为0.01</w:t>
      </w:r>
      <w:r>
        <w:rPr>
          <w:rFonts w:ascii="宋体" w:hAnsi="宋体" w:eastAsia="宋体" w:cs="宋体"/>
          <w:color w:val="auto"/>
          <w:sz w:val="32"/>
          <w:szCs w:val="32"/>
          <w:lang w:val="en-US" w:eastAsia="uk-UA" w:bidi="ar-SA"/>
        </w:rPr>
        <w:t>万元</w:t>
      </w:r>
      <w:r>
        <w:rPr>
          <w:rFonts w:hint="eastAsia" w:ascii="宋体" w:hAnsi="宋体" w:eastAsia="宋体" w:cs="宋体"/>
          <w:color w:val="auto"/>
          <w:sz w:val="32"/>
          <w:szCs w:val="32"/>
          <w:lang w:val="en-US" w:eastAsia="zh-CN" w:bidi="ar-SA"/>
        </w:rPr>
        <w:t>，全部为公务接待费,全部为新增。</w:t>
      </w:r>
    </w:p>
    <w:p>
      <w:pPr>
        <w:numPr>
          <w:ilvl w:val="0"/>
          <w:numId w:val="0"/>
        </w:numPr>
        <w:spacing w:before="10" w:after="10"/>
        <w:ind w:left="640" w:leftChars="0"/>
        <w:outlineLvl w:val="5"/>
        <w:rPr>
          <w:rFonts w:ascii="黑体" w:hAnsi="黑体" w:eastAsia="黑体" w:cs="黑体"/>
          <w:color w:val="auto"/>
          <w:sz w:val="32"/>
        </w:rPr>
      </w:pPr>
      <w:r>
        <w:rPr>
          <w:rFonts w:hint="eastAsia" w:ascii="黑体" w:hAnsi="黑体" w:eastAsia="黑体" w:cs="黑体"/>
          <w:color w:val="auto"/>
          <w:sz w:val="32"/>
          <w:lang w:eastAsia="zh-CN"/>
        </w:rPr>
        <w:t>五、</w:t>
      </w:r>
      <w:r>
        <w:rPr>
          <w:rFonts w:ascii="黑体" w:hAnsi="黑体" w:eastAsia="黑体" w:cs="黑体"/>
          <w:color w:val="auto"/>
          <w:sz w:val="32"/>
        </w:rPr>
        <w:t>预算绩效信息</w:t>
      </w:r>
    </w:p>
    <w:p>
      <w:pPr>
        <w:spacing w:before="62"/>
        <w:ind w:left="1279" w:right="0" w:firstLine="0"/>
        <w:jc w:val="left"/>
        <w:rPr>
          <w:color w:val="auto"/>
          <w:sz w:val="28"/>
        </w:rPr>
      </w:pPr>
      <w:r>
        <w:rPr>
          <w:color w:val="auto"/>
          <w:sz w:val="28"/>
        </w:rPr>
        <w:t>综合事务管理工作经费绩效目标表</w:t>
      </w:r>
    </w:p>
    <w:tbl>
      <w:tblPr>
        <w:tblStyle w:val="5"/>
        <w:tblpPr w:leftFromText="180" w:rightFromText="180" w:vertAnchor="text" w:horzAnchor="page" w:tblpX="1212" w:tblpY="669"/>
        <w:tblOverlap w:val="never"/>
        <w:tblW w:w="1417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noWrap w:val="0"/>
            <w:vAlign w:val="top"/>
          </w:tcPr>
          <w:p>
            <w:pPr>
              <w:pStyle w:val="38"/>
              <w:spacing w:before="63"/>
              <w:ind w:left="162" w:right="149"/>
              <w:jc w:val="center"/>
              <w:rPr>
                <w:color w:val="auto"/>
                <w:sz w:val="21"/>
              </w:rPr>
            </w:pPr>
            <w:r>
              <w:rPr>
                <w:color w:val="auto"/>
                <w:w w:val="95"/>
                <w:sz w:val="21"/>
              </w:rPr>
              <w:t>绩效目标</w:t>
            </w:r>
          </w:p>
        </w:tc>
        <w:tc>
          <w:tcPr>
            <w:tcW w:w="12757" w:type="dxa"/>
            <w:gridSpan w:val="5"/>
            <w:noWrap w:val="0"/>
            <w:vAlign w:val="top"/>
          </w:tcPr>
          <w:p>
            <w:pPr>
              <w:pStyle w:val="38"/>
              <w:spacing w:before="63"/>
              <w:ind w:left="108"/>
              <w:rPr>
                <w:color w:val="auto"/>
                <w:sz w:val="21"/>
              </w:rPr>
            </w:pPr>
            <w:r>
              <w:rPr>
                <w:color w:val="auto"/>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38"/>
              <w:spacing w:before="64"/>
              <w:ind w:left="162" w:right="149"/>
              <w:jc w:val="center"/>
              <w:rPr>
                <w:color w:val="auto"/>
                <w:sz w:val="21"/>
              </w:rPr>
            </w:pPr>
            <w:r>
              <w:rPr>
                <w:color w:val="auto"/>
                <w:w w:val="95"/>
                <w:sz w:val="21"/>
              </w:rPr>
              <w:t>一级指标</w:t>
            </w:r>
          </w:p>
        </w:tc>
        <w:tc>
          <w:tcPr>
            <w:tcW w:w="2268" w:type="dxa"/>
            <w:noWrap w:val="0"/>
            <w:vAlign w:val="top"/>
          </w:tcPr>
          <w:p>
            <w:pPr>
              <w:pStyle w:val="38"/>
              <w:spacing w:before="64"/>
              <w:ind w:left="712"/>
              <w:rPr>
                <w:color w:val="auto"/>
                <w:sz w:val="21"/>
              </w:rPr>
            </w:pPr>
            <w:r>
              <w:rPr>
                <w:color w:val="auto"/>
                <w:w w:val="95"/>
                <w:sz w:val="21"/>
              </w:rPr>
              <w:t>二级指标</w:t>
            </w:r>
          </w:p>
        </w:tc>
        <w:tc>
          <w:tcPr>
            <w:tcW w:w="2835" w:type="dxa"/>
            <w:noWrap w:val="0"/>
            <w:vAlign w:val="top"/>
          </w:tcPr>
          <w:p>
            <w:pPr>
              <w:pStyle w:val="38"/>
              <w:spacing w:before="64"/>
              <w:ind w:left="998" w:right="984"/>
              <w:jc w:val="center"/>
              <w:rPr>
                <w:color w:val="auto"/>
                <w:sz w:val="21"/>
              </w:rPr>
            </w:pPr>
            <w:r>
              <w:rPr>
                <w:color w:val="auto"/>
                <w:w w:val="95"/>
                <w:sz w:val="21"/>
              </w:rPr>
              <w:t>三级指标</w:t>
            </w:r>
          </w:p>
        </w:tc>
        <w:tc>
          <w:tcPr>
            <w:tcW w:w="2835" w:type="dxa"/>
            <w:noWrap w:val="0"/>
            <w:vAlign w:val="top"/>
          </w:tcPr>
          <w:p>
            <w:pPr>
              <w:pStyle w:val="38"/>
              <w:spacing w:before="64"/>
              <w:ind w:left="786"/>
              <w:rPr>
                <w:color w:val="auto"/>
                <w:sz w:val="21"/>
              </w:rPr>
            </w:pPr>
            <w:r>
              <w:rPr>
                <w:color w:val="auto"/>
                <w:w w:val="95"/>
                <w:sz w:val="21"/>
              </w:rPr>
              <w:t>绩效指标描述</w:t>
            </w:r>
          </w:p>
        </w:tc>
        <w:tc>
          <w:tcPr>
            <w:tcW w:w="2551" w:type="dxa"/>
            <w:noWrap w:val="0"/>
            <w:vAlign w:val="top"/>
          </w:tcPr>
          <w:p>
            <w:pPr>
              <w:pStyle w:val="38"/>
              <w:spacing w:before="64"/>
              <w:ind w:left="955" w:right="942"/>
              <w:jc w:val="center"/>
              <w:rPr>
                <w:color w:val="auto"/>
                <w:sz w:val="21"/>
              </w:rPr>
            </w:pPr>
            <w:r>
              <w:rPr>
                <w:color w:val="auto"/>
                <w:w w:val="95"/>
                <w:sz w:val="21"/>
              </w:rPr>
              <w:t>指标值</w:t>
            </w:r>
          </w:p>
        </w:tc>
        <w:tc>
          <w:tcPr>
            <w:tcW w:w="2268" w:type="dxa"/>
            <w:noWrap w:val="0"/>
            <w:vAlign w:val="top"/>
          </w:tcPr>
          <w:p>
            <w:pPr>
              <w:pStyle w:val="38"/>
              <w:spacing w:before="64"/>
              <w:ind w:left="397"/>
              <w:rPr>
                <w:color w:val="auto"/>
                <w:sz w:val="21"/>
              </w:rPr>
            </w:pPr>
            <w:r>
              <w:rPr>
                <w:color w:val="auto"/>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38"/>
              <w:rPr>
                <w:color w:val="auto"/>
                <w:sz w:val="20"/>
              </w:rPr>
            </w:pPr>
          </w:p>
          <w:p>
            <w:pPr>
              <w:pStyle w:val="38"/>
              <w:rPr>
                <w:color w:val="auto"/>
                <w:sz w:val="20"/>
              </w:rPr>
            </w:pPr>
          </w:p>
          <w:p>
            <w:pPr>
              <w:pStyle w:val="38"/>
              <w:spacing w:before="169"/>
              <w:ind w:left="286"/>
              <w:rPr>
                <w:color w:val="auto"/>
                <w:sz w:val="21"/>
              </w:rPr>
            </w:pPr>
            <w:r>
              <w:rPr>
                <w:color w:val="auto"/>
                <w:sz w:val="21"/>
              </w:rPr>
              <w:t>产出指标</w:t>
            </w:r>
          </w:p>
        </w:tc>
        <w:tc>
          <w:tcPr>
            <w:tcW w:w="2268" w:type="dxa"/>
            <w:noWrap w:val="0"/>
            <w:vAlign w:val="top"/>
          </w:tcPr>
          <w:p>
            <w:pPr>
              <w:pStyle w:val="38"/>
              <w:spacing w:before="62"/>
              <w:ind w:left="108"/>
              <w:rPr>
                <w:color w:val="auto"/>
                <w:sz w:val="21"/>
              </w:rPr>
            </w:pPr>
            <w:r>
              <w:rPr>
                <w:color w:val="auto"/>
                <w:sz w:val="21"/>
              </w:rPr>
              <w:t>数量指标</w:t>
            </w:r>
          </w:p>
        </w:tc>
        <w:tc>
          <w:tcPr>
            <w:tcW w:w="2835" w:type="dxa"/>
            <w:noWrap w:val="0"/>
            <w:vAlign w:val="top"/>
          </w:tcPr>
          <w:p>
            <w:pPr>
              <w:pStyle w:val="38"/>
              <w:spacing w:before="62"/>
              <w:ind w:left="108"/>
              <w:rPr>
                <w:color w:val="auto"/>
                <w:sz w:val="21"/>
              </w:rPr>
            </w:pPr>
            <w:r>
              <w:rPr>
                <w:color w:val="auto"/>
                <w:sz w:val="21"/>
              </w:rPr>
              <w:t>支付日常公用经费</w:t>
            </w:r>
          </w:p>
        </w:tc>
        <w:tc>
          <w:tcPr>
            <w:tcW w:w="2835" w:type="dxa"/>
            <w:noWrap w:val="0"/>
            <w:vAlign w:val="top"/>
          </w:tcPr>
          <w:p>
            <w:pPr>
              <w:pStyle w:val="38"/>
              <w:spacing w:before="62"/>
              <w:ind w:left="107"/>
              <w:rPr>
                <w:color w:val="auto"/>
                <w:sz w:val="21"/>
              </w:rPr>
            </w:pPr>
            <w:r>
              <w:rPr>
                <w:color w:val="auto"/>
                <w:sz w:val="21"/>
              </w:rPr>
              <w:t>支付日常公用经费</w:t>
            </w:r>
          </w:p>
        </w:tc>
        <w:tc>
          <w:tcPr>
            <w:tcW w:w="2551" w:type="dxa"/>
            <w:noWrap w:val="0"/>
            <w:vAlign w:val="top"/>
          </w:tcPr>
          <w:p>
            <w:pPr>
              <w:pStyle w:val="38"/>
              <w:spacing w:before="62"/>
              <w:ind w:left="106"/>
              <w:rPr>
                <w:color w:val="auto"/>
                <w:sz w:val="21"/>
              </w:rPr>
            </w:pPr>
            <w:r>
              <w:rPr>
                <w:color w:val="auto"/>
                <w:sz w:val="21"/>
              </w:rPr>
              <w:t>足额支付</w:t>
            </w:r>
          </w:p>
        </w:tc>
        <w:tc>
          <w:tcPr>
            <w:tcW w:w="2268" w:type="dxa"/>
            <w:noWrap w:val="0"/>
            <w:vAlign w:val="top"/>
          </w:tcPr>
          <w:p>
            <w:pPr>
              <w:pStyle w:val="38"/>
              <w:spacing w:before="62"/>
              <w:ind w:left="107"/>
              <w:rPr>
                <w:color w:val="auto"/>
                <w:sz w:val="21"/>
              </w:rPr>
            </w:pPr>
            <w:r>
              <w:rPr>
                <w:color w:val="auto"/>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color w:val="auto"/>
                <w:sz w:val="2"/>
                <w:szCs w:val="2"/>
              </w:rPr>
            </w:pPr>
          </w:p>
        </w:tc>
        <w:tc>
          <w:tcPr>
            <w:tcW w:w="2268" w:type="dxa"/>
            <w:noWrap w:val="0"/>
            <w:vAlign w:val="top"/>
          </w:tcPr>
          <w:p>
            <w:pPr>
              <w:pStyle w:val="38"/>
              <w:spacing w:before="63"/>
              <w:ind w:left="108"/>
              <w:rPr>
                <w:color w:val="auto"/>
                <w:sz w:val="21"/>
              </w:rPr>
            </w:pPr>
            <w:r>
              <w:rPr>
                <w:color w:val="auto"/>
                <w:sz w:val="21"/>
              </w:rPr>
              <w:t>质量指标</w:t>
            </w:r>
          </w:p>
        </w:tc>
        <w:tc>
          <w:tcPr>
            <w:tcW w:w="2835" w:type="dxa"/>
            <w:noWrap w:val="0"/>
            <w:vAlign w:val="top"/>
          </w:tcPr>
          <w:p>
            <w:pPr>
              <w:pStyle w:val="38"/>
              <w:spacing w:before="63"/>
              <w:ind w:left="108"/>
              <w:rPr>
                <w:color w:val="auto"/>
                <w:sz w:val="21"/>
              </w:rPr>
            </w:pPr>
            <w:r>
              <w:rPr>
                <w:color w:val="auto"/>
                <w:sz w:val="21"/>
              </w:rPr>
              <w:t>资金按时支付</w:t>
            </w:r>
          </w:p>
        </w:tc>
        <w:tc>
          <w:tcPr>
            <w:tcW w:w="2835" w:type="dxa"/>
            <w:noWrap w:val="0"/>
            <w:vAlign w:val="top"/>
          </w:tcPr>
          <w:p>
            <w:pPr>
              <w:pStyle w:val="38"/>
              <w:spacing w:before="63"/>
              <w:ind w:left="107"/>
              <w:rPr>
                <w:color w:val="auto"/>
                <w:sz w:val="21"/>
              </w:rPr>
            </w:pPr>
            <w:r>
              <w:rPr>
                <w:color w:val="auto"/>
                <w:sz w:val="21"/>
              </w:rPr>
              <w:t>资金按时支付</w:t>
            </w:r>
          </w:p>
        </w:tc>
        <w:tc>
          <w:tcPr>
            <w:tcW w:w="2551" w:type="dxa"/>
            <w:noWrap w:val="0"/>
            <w:vAlign w:val="top"/>
          </w:tcPr>
          <w:p>
            <w:pPr>
              <w:pStyle w:val="38"/>
              <w:spacing w:before="63"/>
              <w:ind w:left="106"/>
              <w:rPr>
                <w:color w:val="auto"/>
                <w:sz w:val="21"/>
              </w:rPr>
            </w:pPr>
            <w:r>
              <w:rPr>
                <w:color w:val="auto"/>
                <w:sz w:val="21"/>
              </w:rPr>
              <w:t>按时支付</w:t>
            </w:r>
          </w:p>
        </w:tc>
        <w:tc>
          <w:tcPr>
            <w:tcW w:w="2268" w:type="dxa"/>
            <w:noWrap w:val="0"/>
            <w:vAlign w:val="top"/>
          </w:tcPr>
          <w:p>
            <w:pPr>
              <w:pStyle w:val="38"/>
              <w:spacing w:before="63"/>
              <w:ind w:left="107"/>
              <w:rPr>
                <w:color w:val="auto"/>
                <w:sz w:val="21"/>
              </w:rPr>
            </w:pPr>
            <w:r>
              <w:rPr>
                <w:color w:val="auto"/>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color w:val="auto"/>
                <w:sz w:val="2"/>
                <w:szCs w:val="2"/>
              </w:rPr>
            </w:pPr>
          </w:p>
        </w:tc>
        <w:tc>
          <w:tcPr>
            <w:tcW w:w="2268" w:type="dxa"/>
            <w:noWrap w:val="0"/>
            <w:vAlign w:val="top"/>
          </w:tcPr>
          <w:p>
            <w:pPr>
              <w:pStyle w:val="38"/>
              <w:spacing w:before="64"/>
              <w:ind w:left="108"/>
              <w:rPr>
                <w:color w:val="auto"/>
                <w:sz w:val="21"/>
              </w:rPr>
            </w:pPr>
            <w:r>
              <w:rPr>
                <w:color w:val="auto"/>
                <w:sz w:val="21"/>
              </w:rPr>
              <w:t>时效指标</w:t>
            </w:r>
          </w:p>
        </w:tc>
        <w:tc>
          <w:tcPr>
            <w:tcW w:w="2835" w:type="dxa"/>
            <w:noWrap w:val="0"/>
            <w:vAlign w:val="top"/>
          </w:tcPr>
          <w:p>
            <w:pPr>
              <w:pStyle w:val="38"/>
              <w:spacing w:before="64"/>
              <w:ind w:left="108"/>
              <w:rPr>
                <w:color w:val="auto"/>
                <w:sz w:val="21"/>
              </w:rPr>
            </w:pPr>
            <w:r>
              <w:rPr>
                <w:color w:val="auto"/>
                <w:sz w:val="21"/>
              </w:rPr>
              <w:t>工作完成时间</w:t>
            </w:r>
          </w:p>
        </w:tc>
        <w:tc>
          <w:tcPr>
            <w:tcW w:w="2835" w:type="dxa"/>
            <w:noWrap w:val="0"/>
            <w:vAlign w:val="top"/>
          </w:tcPr>
          <w:p>
            <w:pPr>
              <w:pStyle w:val="38"/>
              <w:spacing w:before="64"/>
              <w:ind w:left="107"/>
              <w:rPr>
                <w:color w:val="auto"/>
                <w:sz w:val="21"/>
              </w:rPr>
            </w:pPr>
            <w:r>
              <w:rPr>
                <w:color w:val="auto"/>
                <w:sz w:val="21"/>
              </w:rPr>
              <w:t>协调所有工作完成时间</w:t>
            </w:r>
          </w:p>
        </w:tc>
        <w:tc>
          <w:tcPr>
            <w:tcW w:w="2551" w:type="dxa"/>
            <w:noWrap w:val="0"/>
            <w:vAlign w:val="top"/>
          </w:tcPr>
          <w:p>
            <w:pPr>
              <w:pStyle w:val="38"/>
              <w:spacing w:before="64"/>
              <w:ind w:left="106"/>
              <w:rPr>
                <w:color w:val="auto"/>
                <w:sz w:val="21"/>
              </w:rPr>
            </w:pPr>
            <w:r>
              <w:rPr>
                <w:color w:val="auto"/>
                <w:sz w:val="21"/>
              </w:rPr>
              <w:t>及时完成</w:t>
            </w:r>
          </w:p>
        </w:tc>
        <w:tc>
          <w:tcPr>
            <w:tcW w:w="2268" w:type="dxa"/>
            <w:noWrap w:val="0"/>
            <w:vAlign w:val="top"/>
          </w:tcPr>
          <w:p>
            <w:pPr>
              <w:pStyle w:val="38"/>
              <w:spacing w:before="64"/>
              <w:ind w:left="107"/>
              <w:rPr>
                <w:color w:val="auto"/>
                <w:sz w:val="21"/>
              </w:rPr>
            </w:pPr>
            <w:r>
              <w:rPr>
                <w:color w:val="auto"/>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rPr>
                <w:color w:val="auto"/>
                <w:sz w:val="2"/>
                <w:szCs w:val="2"/>
              </w:rPr>
            </w:pPr>
          </w:p>
        </w:tc>
        <w:tc>
          <w:tcPr>
            <w:tcW w:w="2268" w:type="dxa"/>
            <w:noWrap w:val="0"/>
            <w:vAlign w:val="top"/>
          </w:tcPr>
          <w:p>
            <w:pPr>
              <w:pStyle w:val="38"/>
              <w:spacing w:before="62"/>
              <w:ind w:left="108"/>
              <w:rPr>
                <w:color w:val="auto"/>
                <w:sz w:val="21"/>
              </w:rPr>
            </w:pPr>
            <w:r>
              <w:rPr>
                <w:color w:val="auto"/>
                <w:sz w:val="21"/>
              </w:rPr>
              <w:t>成本指标</w:t>
            </w:r>
          </w:p>
        </w:tc>
        <w:tc>
          <w:tcPr>
            <w:tcW w:w="2835" w:type="dxa"/>
            <w:noWrap w:val="0"/>
            <w:vAlign w:val="top"/>
          </w:tcPr>
          <w:p>
            <w:pPr>
              <w:pStyle w:val="38"/>
              <w:spacing w:before="62"/>
              <w:ind w:left="108"/>
              <w:rPr>
                <w:color w:val="auto"/>
                <w:sz w:val="21"/>
              </w:rPr>
            </w:pPr>
            <w:r>
              <w:rPr>
                <w:color w:val="auto"/>
                <w:sz w:val="21"/>
              </w:rPr>
              <w:t>资金成本</w:t>
            </w:r>
          </w:p>
        </w:tc>
        <w:tc>
          <w:tcPr>
            <w:tcW w:w="2835" w:type="dxa"/>
            <w:noWrap w:val="0"/>
            <w:vAlign w:val="top"/>
          </w:tcPr>
          <w:p>
            <w:pPr>
              <w:pStyle w:val="38"/>
              <w:spacing w:before="62"/>
              <w:ind w:left="107"/>
              <w:rPr>
                <w:color w:val="auto"/>
                <w:sz w:val="21"/>
              </w:rPr>
            </w:pPr>
            <w:r>
              <w:rPr>
                <w:color w:val="auto"/>
                <w:sz w:val="21"/>
              </w:rPr>
              <w:t>资金成本</w:t>
            </w:r>
          </w:p>
        </w:tc>
        <w:tc>
          <w:tcPr>
            <w:tcW w:w="2551" w:type="dxa"/>
            <w:noWrap w:val="0"/>
            <w:vAlign w:val="top"/>
          </w:tcPr>
          <w:p>
            <w:pPr>
              <w:pStyle w:val="38"/>
              <w:spacing w:before="62"/>
              <w:ind w:left="106"/>
              <w:rPr>
                <w:color w:val="auto"/>
                <w:sz w:val="21"/>
              </w:rPr>
            </w:pPr>
            <w:r>
              <w:rPr>
                <w:color w:val="auto"/>
                <w:sz w:val="21"/>
              </w:rPr>
              <w:t>不超预算数</w:t>
            </w:r>
          </w:p>
        </w:tc>
        <w:tc>
          <w:tcPr>
            <w:tcW w:w="2268" w:type="dxa"/>
            <w:noWrap w:val="0"/>
            <w:vAlign w:val="top"/>
          </w:tcPr>
          <w:p>
            <w:pPr>
              <w:pStyle w:val="38"/>
              <w:spacing w:before="62"/>
              <w:ind w:left="107"/>
              <w:rPr>
                <w:color w:val="auto"/>
                <w:sz w:val="21"/>
              </w:rPr>
            </w:pPr>
            <w:r>
              <w:rPr>
                <w:color w:val="auto"/>
                <w:sz w:val="21"/>
              </w:rPr>
              <w:t>年度工作计划</w:t>
            </w:r>
          </w:p>
        </w:tc>
      </w:tr>
    </w:tbl>
    <w:p>
      <w:pPr>
        <w:spacing w:after="0"/>
        <w:rPr>
          <w:color w:val="auto"/>
          <w:sz w:val="21"/>
        </w:rPr>
        <w:sectPr>
          <w:pgSz w:w="16838" w:h="11905" w:orient="landscape"/>
          <w:pgMar w:top="1304" w:right="1984" w:bottom="1304" w:left="1134" w:header="850" w:footer="992" w:gutter="0"/>
          <w:cols w:space="720" w:num="1"/>
          <w:rtlGutter w:val="0"/>
          <w:docGrid w:type="lines" w:linePitch="332" w:charSpace="0"/>
        </w:sectPr>
      </w:pPr>
    </w:p>
    <w:p>
      <w:pPr>
        <w:spacing w:before="10" w:after="10"/>
        <w:ind w:firstLine="640" w:firstLineChars="200"/>
        <w:outlineLvl w:val="5"/>
        <w:rPr>
          <w:color w:val="auto"/>
        </w:rPr>
      </w:pPr>
      <w:r>
        <w:rPr>
          <w:rFonts w:ascii="黑体" w:hAnsi="黑体" w:eastAsia="黑体" w:cs="黑体"/>
          <w:color w:val="auto"/>
          <w:sz w:val="32"/>
        </w:rPr>
        <w:t>六、政府采购预算情况</w:t>
      </w:r>
    </w:p>
    <w:p>
      <w:pPr>
        <w:spacing w:line="500" w:lineRule="exact"/>
        <w:ind w:firstLine="560" w:firstLineChars="200"/>
        <w:rPr>
          <w:color w:val="auto"/>
        </w:rPr>
      </w:pPr>
      <w:r>
        <w:rPr>
          <w:rFonts w:eastAsia="方正仿宋_GBK"/>
          <w:color w:val="auto"/>
          <w:sz w:val="28"/>
        </w:rPr>
        <w:t>202</w:t>
      </w:r>
      <w:r>
        <w:rPr>
          <w:rFonts w:hint="eastAsia" w:eastAsia="方正仿宋_GBK"/>
          <w:color w:val="auto"/>
          <w:sz w:val="28"/>
          <w:lang w:val="en-US" w:eastAsia="zh-CN"/>
        </w:rPr>
        <w:t>1</w:t>
      </w:r>
      <w:r>
        <w:rPr>
          <w:rFonts w:eastAsia="方正仿宋_GBK"/>
          <w:color w:val="auto"/>
          <w:sz w:val="28"/>
        </w:rPr>
        <w:t>年，保定市自然资源和规划局满城区分局(事业全额/事业差额)</w:t>
      </w:r>
      <w:r>
        <w:rPr>
          <w:rFonts w:hint="eastAsia" w:eastAsia="方正仿宋_GBK"/>
          <w:color w:val="auto"/>
          <w:sz w:val="28"/>
          <w:lang w:eastAsia="zh-CN"/>
        </w:rPr>
        <w:t>无政府采购预算，空表列示</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单位政府采购预算</w:t>
      </w:r>
    </w:p>
    <w:tbl>
      <w:tblPr>
        <w:tblStyle w:val="5"/>
        <w:tblpPr w:leftFromText="180" w:rightFromText="180" w:vertAnchor="text" w:horzAnchor="page" w:tblpX="963" w:tblpY="404"/>
        <w:tblOverlap w:val="never"/>
        <w:tblW w:w="1467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3"/>
        <w:gridCol w:w="950"/>
        <w:gridCol w:w="1020"/>
        <w:gridCol w:w="930"/>
        <w:gridCol w:w="980"/>
        <w:gridCol w:w="760"/>
        <w:gridCol w:w="790"/>
        <w:gridCol w:w="740"/>
        <w:gridCol w:w="970"/>
        <w:gridCol w:w="1060"/>
        <w:gridCol w:w="1130"/>
        <w:gridCol w:w="970"/>
        <w:gridCol w:w="780"/>
        <w:gridCol w:w="970"/>
        <w:gridCol w:w="880"/>
        <w:gridCol w:w="9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6213" w:type="dxa"/>
            <w:gridSpan w:val="7"/>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324004保定市自然资源和规划局满城区分局(事业全额/事业差额)</w:t>
            </w:r>
          </w:p>
        </w:tc>
        <w:tc>
          <w:tcPr>
            <w:tcW w:w="8466" w:type="dxa"/>
            <w:gridSpan w:val="9"/>
            <w:tcBorders>
              <w:top w:val="single" w:color="FFFFFF" w:sz="6" w:space="0"/>
              <w:left w:val="single" w:color="FFFFFF" w:sz="6" w:space="0"/>
              <w:right w:val="single" w:color="FFFFFF" w:sz="6" w:space="0"/>
            </w:tcBorders>
            <w:noWrap w:val="0"/>
            <w:vAlign w:val="center"/>
          </w:tcPr>
          <w:p>
            <w:pPr>
              <w:pStyle w:val="2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1733" w:type="dxa"/>
            <w:gridSpan w:val="2"/>
            <w:noWrap w:val="0"/>
            <w:vAlign w:val="center"/>
          </w:tcPr>
          <w:p>
            <w:pPr>
              <w:pStyle w:val="15"/>
              <w:rPr>
                <w:color w:val="auto"/>
              </w:rPr>
            </w:pPr>
            <w:r>
              <w:rPr>
                <w:color w:val="auto"/>
              </w:rPr>
              <w:t>政府采购项目来源</w:t>
            </w:r>
          </w:p>
        </w:tc>
        <w:tc>
          <w:tcPr>
            <w:tcW w:w="1020" w:type="dxa"/>
            <w:vMerge w:val="restart"/>
            <w:noWrap w:val="0"/>
            <w:vAlign w:val="center"/>
          </w:tcPr>
          <w:p>
            <w:pPr>
              <w:pStyle w:val="15"/>
              <w:rPr>
                <w:color w:val="auto"/>
              </w:rPr>
            </w:pPr>
            <w:r>
              <w:rPr>
                <w:color w:val="auto"/>
              </w:rPr>
              <w:t>采购物品名称</w:t>
            </w:r>
          </w:p>
        </w:tc>
        <w:tc>
          <w:tcPr>
            <w:tcW w:w="930" w:type="dxa"/>
            <w:vMerge w:val="restart"/>
            <w:noWrap w:val="0"/>
            <w:vAlign w:val="center"/>
          </w:tcPr>
          <w:p>
            <w:pPr>
              <w:pStyle w:val="15"/>
              <w:rPr>
                <w:color w:val="auto"/>
              </w:rPr>
            </w:pPr>
            <w:r>
              <w:rPr>
                <w:color w:val="auto"/>
              </w:rPr>
              <w:t>政府采购目录序号</w:t>
            </w:r>
          </w:p>
        </w:tc>
        <w:tc>
          <w:tcPr>
            <w:tcW w:w="980" w:type="dxa"/>
            <w:vMerge w:val="restart"/>
            <w:noWrap w:val="0"/>
            <w:vAlign w:val="center"/>
          </w:tcPr>
          <w:p>
            <w:pPr>
              <w:pStyle w:val="15"/>
              <w:rPr>
                <w:color w:val="auto"/>
              </w:rPr>
            </w:pPr>
            <w:r>
              <w:rPr>
                <w:color w:val="auto"/>
              </w:rPr>
              <w:t>计量  单位</w:t>
            </w:r>
          </w:p>
        </w:tc>
        <w:tc>
          <w:tcPr>
            <w:tcW w:w="760" w:type="dxa"/>
            <w:vMerge w:val="restart"/>
            <w:noWrap w:val="0"/>
            <w:vAlign w:val="center"/>
          </w:tcPr>
          <w:p>
            <w:pPr>
              <w:pStyle w:val="15"/>
              <w:rPr>
                <w:color w:val="auto"/>
              </w:rPr>
            </w:pPr>
            <w:r>
              <w:rPr>
                <w:color w:val="auto"/>
              </w:rPr>
              <w:t>数量</w:t>
            </w:r>
          </w:p>
        </w:tc>
        <w:tc>
          <w:tcPr>
            <w:tcW w:w="790" w:type="dxa"/>
            <w:vMerge w:val="restart"/>
            <w:noWrap w:val="0"/>
            <w:vAlign w:val="center"/>
          </w:tcPr>
          <w:p>
            <w:pPr>
              <w:pStyle w:val="15"/>
              <w:rPr>
                <w:color w:val="auto"/>
              </w:rPr>
            </w:pPr>
            <w:r>
              <w:rPr>
                <w:color w:val="auto"/>
              </w:rPr>
              <w:t>单价</w:t>
            </w:r>
          </w:p>
        </w:tc>
        <w:tc>
          <w:tcPr>
            <w:tcW w:w="7500" w:type="dxa"/>
            <w:gridSpan w:val="8"/>
            <w:noWrap w:val="0"/>
            <w:vAlign w:val="center"/>
          </w:tcPr>
          <w:p>
            <w:pPr>
              <w:pStyle w:val="15"/>
              <w:rPr>
                <w:color w:val="auto"/>
              </w:rPr>
            </w:pPr>
            <w:r>
              <w:rPr>
                <w:color w:val="auto"/>
              </w:rPr>
              <w:t>政府采购金额（当年部门预算安排资金）</w:t>
            </w:r>
          </w:p>
        </w:tc>
        <w:tc>
          <w:tcPr>
            <w:tcW w:w="966" w:type="dxa"/>
            <w:vMerge w:val="restart"/>
            <w:noWrap w:val="0"/>
            <w:vAlign w:val="center"/>
          </w:tcPr>
          <w:p>
            <w:pPr>
              <w:pStyle w:val="15"/>
              <w:rPr>
                <w:color w:val="auto"/>
              </w:rPr>
            </w:pPr>
            <w:r>
              <w:rPr>
                <w:color w:val="auto"/>
              </w:rPr>
              <w:t>202</w:t>
            </w:r>
            <w:r>
              <w:rPr>
                <w:rFonts w:hint="eastAsia"/>
                <w:color w:val="auto"/>
                <w:lang w:val="en-US" w:eastAsia="zh-CN"/>
              </w:rPr>
              <w:t>1</w:t>
            </w:r>
            <w:r>
              <w:rPr>
                <w:color w:val="auto"/>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783" w:type="dxa"/>
            <w:noWrap w:val="0"/>
            <w:vAlign w:val="center"/>
          </w:tcPr>
          <w:p>
            <w:pPr>
              <w:pStyle w:val="15"/>
              <w:rPr>
                <w:color w:val="auto"/>
              </w:rPr>
            </w:pPr>
            <w:r>
              <w:rPr>
                <w:color w:val="auto"/>
              </w:rPr>
              <w:t>项目名称</w:t>
            </w:r>
          </w:p>
        </w:tc>
        <w:tc>
          <w:tcPr>
            <w:tcW w:w="950" w:type="dxa"/>
            <w:noWrap w:val="0"/>
            <w:vAlign w:val="center"/>
          </w:tcPr>
          <w:p>
            <w:pPr>
              <w:pStyle w:val="15"/>
              <w:rPr>
                <w:color w:val="auto"/>
              </w:rPr>
            </w:pPr>
            <w:r>
              <w:rPr>
                <w:color w:val="auto"/>
              </w:rPr>
              <w:t>预算    资金</w:t>
            </w:r>
          </w:p>
        </w:tc>
        <w:tc>
          <w:tcPr>
            <w:tcW w:w="1020" w:type="dxa"/>
            <w:vMerge w:val="continue"/>
            <w:noWrap w:val="0"/>
            <w:vAlign w:val="top"/>
          </w:tcPr>
          <w:p>
            <w:pPr>
              <w:rPr>
                <w:color w:val="auto"/>
              </w:rPr>
            </w:pPr>
          </w:p>
        </w:tc>
        <w:tc>
          <w:tcPr>
            <w:tcW w:w="930" w:type="dxa"/>
            <w:vMerge w:val="continue"/>
            <w:noWrap w:val="0"/>
            <w:vAlign w:val="top"/>
          </w:tcPr>
          <w:p>
            <w:pPr>
              <w:rPr>
                <w:color w:val="auto"/>
              </w:rPr>
            </w:pPr>
          </w:p>
        </w:tc>
        <w:tc>
          <w:tcPr>
            <w:tcW w:w="980" w:type="dxa"/>
            <w:vMerge w:val="continue"/>
            <w:noWrap w:val="0"/>
            <w:vAlign w:val="top"/>
          </w:tcPr>
          <w:p>
            <w:pPr>
              <w:rPr>
                <w:color w:val="auto"/>
              </w:rPr>
            </w:pPr>
          </w:p>
        </w:tc>
        <w:tc>
          <w:tcPr>
            <w:tcW w:w="760" w:type="dxa"/>
            <w:vMerge w:val="continue"/>
            <w:noWrap w:val="0"/>
            <w:vAlign w:val="top"/>
          </w:tcPr>
          <w:p>
            <w:pPr>
              <w:rPr>
                <w:color w:val="auto"/>
              </w:rPr>
            </w:pPr>
          </w:p>
        </w:tc>
        <w:tc>
          <w:tcPr>
            <w:tcW w:w="790" w:type="dxa"/>
            <w:vMerge w:val="continue"/>
            <w:noWrap w:val="0"/>
            <w:vAlign w:val="top"/>
          </w:tcPr>
          <w:p>
            <w:pPr>
              <w:rPr>
                <w:color w:val="auto"/>
              </w:rPr>
            </w:pPr>
          </w:p>
        </w:tc>
        <w:tc>
          <w:tcPr>
            <w:tcW w:w="740" w:type="dxa"/>
            <w:noWrap w:val="0"/>
            <w:vAlign w:val="center"/>
          </w:tcPr>
          <w:p>
            <w:pPr>
              <w:pStyle w:val="15"/>
              <w:rPr>
                <w:color w:val="auto"/>
              </w:rPr>
            </w:pPr>
            <w:r>
              <w:rPr>
                <w:color w:val="auto"/>
              </w:rPr>
              <w:t>合计</w:t>
            </w:r>
          </w:p>
        </w:tc>
        <w:tc>
          <w:tcPr>
            <w:tcW w:w="970" w:type="dxa"/>
            <w:noWrap w:val="0"/>
            <w:vAlign w:val="center"/>
          </w:tcPr>
          <w:p>
            <w:pPr>
              <w:pStyle w:val="15"/>
              <w:rPr>
                <w:color w:val="auto"/>
              </w:rPr>
            </w:pPr>
            <w:r>
              <w:rPr>
                <w:color w:val="auto"/>
              </w:rPr>
              <w:t>一般公共预算拨款</w:t>
            </w:r>
          </w:p>
        </w:tc>
        <w:tc>
          <w:tcPr>
            <w:tcW w:w="1060" w:type="dxa"/>
            <w:noWrap w:val="0"/>
            <w:vAlign w:val="center"/>
          </w:tcPr>
          <w:p>
            <w:pPr>
              <w:pStyle w:val="15"/>
              <w:rPr>
                <w:color w:val="auto"/>
              </w:rPr>
            </w:pPr>
            <w:r>
              <w:rPr>
                <w:color w:val="auto"/>
              </w:rPr>
              <w:t>基金预算拨款</w:t>
            </w:r>
          </w:p>
        </w:tc>
        <w:tc>
          <w:tcPr>
            <w:tcW w:w="1130" w:type="dxa"/>
            <w:noWrap w:val="0"/>
            <w:vAlign w:val="center"/>
          </w:tcPr>
          <w:p>
            <w:pPr>
              <w:pStyle w:val="15"/>
              <w:rPr>
                <w:color w:val="auto"/>
              </w:rPr>
            </w:pPr>
            <w:r>
              <w:rPr>
                <w:color w:val="auto"/>
              </w:rPr>
              <w:t>国有资本经营预算拨款</w:t>
            </w:r>
          </w:p>
        </w:tc>
        <w:tc>
          <w:tcPr>
            <w:tcW w:w="970" w:type="dxa"/>
            <w:noWrap w:val="0"/>
            <w:vAlign w:val="center"/>
          </w:tcPr>
          <w:p>
            <w:pPr>
              <w:pStyle w:val="15"/>
              <w:rPr>
                <w:color w:val="auto"/>
              </w:rPr>
            </w:pPr>
            <w:r>
              <w:rPr>
                <w:color w:val="auto"/>
              </w:rPr>
              <w:t>财政专户核拨</w:t>
            </w:r>
          </w:p>
        </w:tc>
        <w:tc>
          <w:tcPr>
            <w:tcW w:w="780" w:type="dxa"/>
            <w:noWrap w:val="0"/>
            <w:vAlign w:val="center"/>
          </w:tcPr>
          <w:p>
            <w:pPr>
              <w:pStyle w:val="15"/>
              <w:rPr>
                <w:color w:val="auto"/>
              </w:rPr>
            </w:pPr>
            <w:r>
              <w:rPr>
                <w:color w:val="auto"/>
              </w:rPr>
              <w:t>单位    资金</w:t>
            </w:r>
          </w:p>
        </w:tc>
        <w:tc>
          <w:tcPr>
            <w:tcW w:w="970" w:type="dxa"/>
            <w:noWrap w:val="0"/>
            <w:vAlign w:val="center"/>
          </w:tcPr>
          <w:p>
            <w:pPr>
              <w:pStyle w:val="15"/>
              <w:rPr>
                <w:color w:val="auto"/>
              </w:rPr>
            </w:pPr>
            <w:r>
              <w:rPr>
                <w:color w:val="auto"/>
              </w:rPr>
              <w:t>财政拨    款结转</w:t>
            </w:r>
          </w:p>
        </w:tc>
        <w:tc>
          <w:tcPr>
            <w:tcW w:w="880" w:type="dxa"/>
            <w:noWrap w:val="0"/>
            <w:vAlign w:val="center"/>
          </w:tcPr>
          <w:p>
            <w:pPr>
              <w:pStyle w:val="15"/>
              <w:rPr>
                <w:color w:val="auto"/>
              </w:rPr>
            </w:pPr>
            <w:r>
              <w:rPr>
                <w:color w:val="auto"/>
              </w:rPr>
              <w:t>非财政    拨款结    转结余</w:t>
            </w:r>
          </w:p>
        </w:tc>
        <w:tc>
          <w:tcPr>
            <w:tcW w:w="966"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783" w:type="dxa"/>
            <w:noWrap w:val="0"/>
            <w:vAlign w:val="center"/>
          </w:tcPr>
          <w:p>
            <w:pPr>
              <w:pStyle w:val="17"/>
              <w:rPr>
                <w:color w:val="auto"/>
              </w:rPr>
            </w:pPr>
          </w:p>
        </w:tc>
        <w:tc>
          <w:tcPr>
            <w:tcW w:w="950" w:type="dxa"/>
            <w:noWrap w:val="0"/>
            <w:vAlign w:val="center"/>
          </w:tcPr>
          <w:p>
            <w:pPr>
              <w:pStyle w:val="16"/>
              <w:rPr>
                <w:color w:val="auto"/>
              </w:rPr>
            </w:pPr>
          </w:p>
        </w:tc>
        <w:tc>
          <w:tcPr>
            <w:tcW w:w="1020" w:type="dxa"/>
            <w:noWrap w:val="0"/>
            <w:vAlign w:val="center"/>
          </w:tcPr>
          <w:p>
            <w:pPr>
              <w:pStyle w:val="17"/>
              <w:rPr>
                <w:color w:val="auto"/>
              </w:rPr>
            </w:pPr>
          </w:p>
        </w:tc>
        <w:tc>
          <w:tcPr>
            <w:tcW w:w="930" w:type="dxa"/>
            <w:noWrap w:val="0"/>
            <w:vAlign w:val="center"/>
          </w:tcPr>
          <w:p>
            <w:pPr>
              <w:pStyle w:val="17"/>
              <w:rPr>
                <w:color w:val="auto"/>
              </w:rPr>
            </w:pPr>
          </w:p>
        </w:tc>
        <w:tc>
          <w:tcPr>
            <w:tcW w:w="980" w:type="dxa"/>
            <w:noWrap w:val="0"/>
            <w:vAlign w:val="center"/>
          </w:tcPr>
          <w:p>
            <w:pPr>
              <w:pStyle w:val="18"/>
              <w:rPr>
                <w:color w:val="auto"/>
              </w:rPr>
            </w:pPr>
          </w:p>
        </w:tc>
        <w:tc>
          <w:tcPr>
            <w:tcW w:w="760" w:type="dxa"/>
            <w:noWrap w:val="0"/>
            <w:vAlign w:val="center"/>
          </w:tcPr>
          <w:p>
            <w:pPr>
              <w:pStyle w:val="16"/>
              <w:rPr>
                <w:color w:val="auto"/>
              </w:rPr>
            </w:pPr>
          </w:p>
        </w:tc>
        <w:tc>
          <w:tcPr>
            <w:tcW w:w="790" w:type="dxa"/>
            <w:noWrap w:val="0"/>
            <w:vAlign w:val="center"/>
          </w:tcPr>
          <w:p>
            <w:pPr>
              <w:pStyle w:val="16"/>
              <w:rPr>
                <w:color w:val="auto"/>
              </w:rPr>
            </w:pPr>
          </w:p>
        </w:tc>
        <w:tc>
          <w:tcPr>
            <w:tcW w:w="740" w:type="dxa"/>
            <w:noWrap w:val="0"/>
            <w:vAlign w:val="center"/>
          </w:tcPr>
          <w:p>
            <w:pPr>
              <w:pStyle w:val="16"/>
              <w:rPr>
                <w:color w:val="auto"/>
              </w:rPr>
            </w:pPr>
          </w:p>
        </w:tc>
        <w:tc>
          <w:tcPr>
            <w:tcW w:w="970" w:type="dxa"/>
            <w:noWrap w:val="0"/>
            <w:vAlign w:val="center"/>
          </w:tcPr>
          <w:p>
            <w:pPr>
              <w:pStyle w:val="16"/>
              <w:rPr>
                <w:color w:val="auto"/>
              </w:rPr>
            </w:pPr>
          </w:p>
        </w:tc>
        <w:tc>
          <w:tcPr>
            <w:tcW w:w="1060" w:type="dxa"/>
            <w:noWrap w:val="0"/>
            <w:vAlign w:val="center"/>
          </w:tcPr>
          <w:p>
            <w:pPr>
              <w:pStyle w:val="16"/>
              <w:rPr>
                <w:color w:val="auto"/>
              </w:rPr>
            </w:pPr>
          </w:p>
        </w:tc>
        <w:tc>
          <w:tcPr>
            <w:tcW w:w="1130" w:type="dxa"/>
            <w:noWrap w:val="0"/>
            <w:vAlign w:val="center"/>
          </w:tcPr>
          <w:p>
            <w:pPr>
              <w:pStyle w:val="16"/>
              <w:rPr>
                <w:color w:val="auto"/>
              </w:rPr>
            </w:pPr>
          </w:p>
        </w:tc>
        <w:tc>
          <w:tcPr>
            <w:tcW w:w="970" w:type="dxa"/>
            <w:noWrap w:val="0"/>
            <w:vAlign w:val="center"/>
          </w:tcPr>
          <w:p>
            <w:pPr>
              <w:pStyle w:val="16"/>
              <w:rPr>
                <w:color w:val="auto"/>
              </w:rPr>
            </w:pPr>
          </w:p>
        </w:tc>
        <w:tc>
          <w:tcPr>
            <w:tcW w:w="780" w:type="dxa"/>
            <w:noWrap w:val="0"/>
            <w:vAlign w:val="center"/>
          </w:tcPr>
          <w:p>
            <w:pPr>
              <w:pStyle w:val="16"/>
              <w:rPr>
                <w:color w:val="auto"/>
              </w:rPr>
            </w:pPr>
          </w:p>
        </w:tc>
        <w:tc>
          <w:tcPr>
            <w:tcW w:w="970" w:type="dxa"/>
            <w:noWrap w:val="0"/>
            <w:vAlign w:val="center"/>
          </w:tcPr>
          <w:p>
            <w:pPr>
              <w:pStyle w:val="16"/>
              <w:rPr>
                <w:color w:val="auto"/>
              </w:rPr>
            </w:pPr>
          </w:p>
        </w:tc>
        <w:tc>
          <w:tcPr>
            <w:tcW w:w="880" w:type="dxa"/>
            <w:noWrap w:val="0"/>
            <w:vAlign w:val="center"/>
          </w:tcPr>
          <w:p>
            <w:pPr>
              <w:pStyle w:val="16"/>
              <w:rPr>
                <w:color w:val="auto"/>
              </w:rPr>
            </w:pPr>
          </w:p>
        </w:tc>
        <w:tc>
          <w:tcPr>
            <w:tcW w:w="966" w:type="dxa"/>
            <w:noWrap w:val="0"/>
            <w:vAlign w:val="center"/>
          </w:tcPr>
          <w:p>
            <w:pPr>
              <w:pStyle w:val="16"/>
              <w:rPr>
                <w:color w:val="auto"/>
              </w:rPr>
            </w:pPr>
          </w:p>
        </w:tc>
      </w:tr>
    </w:tbl>
    <w:p>
      <w:pPr>
        <w:spacing w:line="500" w:lineRule="exact"/>
        <w:ind w:firstLine="420" w:firstLineChars="200"/>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spacing w:before="10" w:after="10"/>
        <w:ind w:firstLine="640" w:firstLineChars="200"/>
        <w:outlineLvl w:val="5"/>
        <w:rPr>
          <w:color w:val="auto"/>
        </w:rPr>
      </w:pPr>
      <w:r>
        <w:rPr>
          <w:rFonts w:ascii="黑体" w:hAnsi="黑体" w:eastAsia="黑体" w:cs="黑体"/>
          <w:color w:val="auto"/>
          <w:sz w:val="32"/>
        </w:rPr>
        <w:t>七、国有资产信息</w:t>
      </w:r>
    </w:p>
    <w:p>
      <w:pPr>
        <w:spacing w:line="500" w:lineRule="exact"/>
        <w:ind w:firstLine="560" w:firstLineChars="200"/>
        <w:rPr>
          <w:color w:val="auto"/>
        </w:rPr>
      </w:pPr>
      <w:r>
        <w:rPr>
          <w:rFonts w:eastAsia="方正仿宋_GBK"/>
          <w:color w:val="auto"/>
          <w:sz w:val="28"/>
        </w:rPr>
        <w:t>保定市自然资源和规划局满城区分局(事业全额/事业差额)上年末固定资产（详见下表）。本年度</w:t>
      </w:r>
      <w:r>
        <w:rPr>
          <w:rFonts w:hint="eastAsia" w:eastAsia="方正仿宋_GBK"/>
          <w:color w:val="auto"/>
          <w:sz w:val="28"/>
          <w:lang w:eastAsia="zh-CN"/>
        </w:rPr>
        <w:t>无</w:t>
      </w:r>
      <w:r>
        <w:rPr>
          <w:rFonts w:eastAsia="方正仿宋_GBK"/>
          <w:color w:val="auto"/>
          <w:sz w:val="28"/>
        </w:rPr>
        <w:t>拟购置固定资产</w:t>
      </w:r>
      <w:r>
        <w:rPr>
          <w:rFonts w:hint="eastAsia" w:eastAsia="方正仿宋_GBK"/>
          <w:color w:val="auto"/>
          <w:sz w:val="28"/>
          <w:lang w:eastAsia="zh-CN"/>
        </w:rPr>
        <w:t>计划</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5"/>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324004保定市自然资源和规划局满城区分局(事业全额/事业差额)</w:t>
            </w:r>
          </w:p>
        </w:tc>
        <w:tc>
          <w:tcPr>
            <w:tcW w:w="5670"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截止时间：202</w:t>
            </w:r>
            <w:r>
              <w:rPr>
                <w:rFonts w:hint="eastAsia"/>
                <w:color w:val="auto"/>
                <w:lang w:val="en-US" w:eastAsia="zh-CN"/>
              </w:rPr>
              <w:t>0</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5"/>
              <w:rPr>
                <w:color w:val="auto"/>
              </w:rPr>
            </w:pPr>
            <w:r>
              <w:rPr>
                <w:color w:val="auto"/>
              </w:rPr>
              <w:t>项   目</w:t>
            </w:r>
          </w:p>
        </w:tc>
        <w:tc>
          <w:tcPr>
            <w:tcW w:w="2835" w:type="dxa"/>
            <w:noWrap w:val="0"/>
            <w:vAlign w:val="center"/>
          </w:tcPr>
          <w:p>
            <w:pPr>
              <w:pStyle w:val="15"/>
              <w:rPr>
                <w:color w:val="auto"/>
              </w:rPr>
            </w:pPr>
            <w:r>
              <w:rPr>
                <w:color w:val="auto"/>
              </w:rPr>
              <w:t>数量</w:t>
            </w:r>
          </w:p>
        </w:tc>
        <w:tc>
          <w:tcPr>
            <w:tcW w:w="2835" w:type="dxa"/>
            <w:noWrap w:val="0"/>
            <w:vAlign w:val="center"/>
          </w:tcPr>
          <w:p>
            <w:pPr>
              <w:pStyle w:val="15"/>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color w:val="auto"/>
              </w:rPr>
            </w:pPr>
          </w:p>
        </w:tc>
        <w:tc>
          <w:tcPr>
            <w:tcW w:w="2835" w:type="dxa"/>
            <w:noWrap w:val="0"/>
            <w:vAlign w:val="center"/>
          </w:tcPr>
          <w:p>
            <w:pPr>
              <w:pStyle w:val="18"/>
              <w:rPr>
                <w:color w:val="auto"/>
              </w:rPr>
            </w:pPr>
          </w:p>
        </w:tc>
        <w:tc>
          <w:tcPr>
            <w:tcW w:w="2835" w:type="dxa"/>
            <w:noWrap w:val="0"/>
            <w:vAlign w:val="center"/>
          </w:tcPr>
          <w:p>
            <w:pPr>
              <w:pStyle w:val="16"/>
              <w:rPr>
                <w:color w:val="auto"/>
              </w:rPr>
            </w:pPr>
          </w:p>
        </w:tc>
      </w:tr>
    </w:tbl>
    <w:p>
      <w:pPr>
        <w:ind w:firstLine="420"/>
        <w:rPr>
          <w:color w:val="auto"/>
        </w:rPr>
      </w:pPr>
      <w:r>
        <w:rPr>
          <w:rFonts w:ascii="方正书宋_GBK" w:hAnsi="方正书宋_GBK" w:eastAsia="方正书宋_GBK" w:cs="方正书宋_GBK"/>
          <w:color w:val="auto"/>
          <w:sz w:val="21"/>
        </w:rPr>
        <w:t>注：无固定资产占用情况，空表列示。</w:t>
      </w:r>
    </w:p>
    <w:p>
      <w:pPr>
        <w:ind w:firstLine="640"/>
        <w:rPr>
          <w:color w:val="auto"/>
        </w:rPr>
      </w:pPr>
      <w:r>
        <w:rPr>
          <w:rFonts w:eastAsia="方正仿宋_GBK"/>
          <w:color w:val="auto"/>
          <w:sz w:val="32"/>
        </w:rPr>
        <w:t xml:space="preserve"> </w:t>
      </w:r>
    </w:p>
    <w:p>
      <w:pPr>
        <w:spacing w:before="10" w:after="10"/>
        <w:ind w:firstLine="640"/>
        <w:outlineLvl w:val="5"/>
        <w:rPr>
          <w:color w:val="auto"/>
        </w:rPr>
      </w:pPr>
      <w:r>
        <w:rPr>
          <w:rFonts w:ascii="黑体" w:hAnsi="黑体" w:eastAsia="黑体" w:cs="黑体"/>
          <w:color w:val="auto"/>
          <w:sz w:val="32"/>
        </w:rPr>
        <w:t>八、名词解释</w:t>
      </w:r>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区</w:t>
      </w:r>
      <w:r>
        <w:rPr>
          <w:rFonts w:eastAsia="方正仿宋_GBK"/>
          <w:color w:val="auto"/>
          <w:sz w:val="28"/>
        </w:rPr>
        <w:t>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w:t>
      </w:r>
      <w:r>
        <w:rPr>
          <w:rFonts w:hint="eastAsia" w:eastAsia="方正仿宋_GBK"/>
          <w:color w:val="auto"/>
          <w:sz w:val="28"/>
          <w:lang w:eastAsia="zh-CN"/>
        </w:rPr>
        <w:t>区</w:t>
      </w:r>
      <w:r>
        <w:rPr>
          <w:rFonts w:eastAsia="方正仿宋_GBK"/>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5"/>
        <w:rPr>
          <w:color w:val="auto"/>
        </w:rPr>
      </w:pPr>
      <w:r>
        <w:rPr>
          <w:rFonts w:ascii="黑体" w:hAnsi="黑体" w:eastAsia="黑体" w:cs="黑体"/>
          <w:color w:val="auto"/>
          <w:sz w:val="32"/>
        </w:rPr>
        <w:t>九、其他需要说明的事项</w:t>
      </w:r>
    </w:p>
    <w:p>
      <w:pPr>
        <w:spacing w:line="500" w:lineRule="exact"/>
        <w:ind w:firstLine="560"/>
        <w:rPr>
          <w:color w:val="auto"/>
        </w:rPr>
        <w:sectPr>
          <w:pgSz w:w="16838" w:h="11905" w:orient="landscape"/>
          <w:pgMar w:top="1304" w:right="1984" w:bottom="1304" w:left="1134" w:header="850" w:footer="992" w:gutter="0"/>
          <w:cols w:space="720" w:num="1"/>
          <w:rtlGutter w:val="0"/>
          <w:docGrid w:type="lines" w:linePitch="332" w:charSpace="0"/>
        </w:sectPr>
      </w:pPr>
      <w:r>
        <w:rPr>
          <w:rFonts w:eastAsia="方正仿宋_GBK"/>
          <w:color w:val="auto"/>
          <w:sz w:val="28"/>
        </w:rPr>
        <w:t>我单位无其他需要说明的事项。</w:t>
      </w:r>
    </w:p>
    <w:p>
      <w:pPr>
        <w:jc w:val="center"/>
        <w:outlineLvl w:val="3"/>
        <w:rPr>
          <w:color w:val="auto"/>
        </w:rPr>
      </w:pPr>
      <w:bookmarkStart w:id="22" w:name="_Toc_4_4_0000000023"/>
      <w:r>
        <w:rPr>
          <w:rFonts w:hint="eastAsia" w:ascii="方正小标宋_GBK" w:hAnsi="方正小标宋_GBK" w:eastAsia="方正小标宋_GBK" w:cs="方正小标宋_GBK"/>
          <w:color w:val="auto"/>
          <w:sz w:val="44"/>
          <w:lang w:val="en-US" w:eastAsia="zh-CN"/>
        </w:rPr>
        <w:t>三</w:t>
      </w:r>
      <w:r>
        <w:rPr>
          <w:rFonts w:ascii="方正小标宋_GBK" w:hAnsi="方正小标宋_GBK" w:eastAsia="方正小标宋_GBK" w:cs="方正小标宋_GBK"/>
          <w:color w:val="auto"/>
          <w:sz w:val="44"/>
        </w:rPr>
        <w:t>、保定市自然资源和规划局满城区分局(供养人员)收支预算</w:t>
      </w:r>
      <w:bookmarkEnd w:id="22"/>
    </w:p>
    <w:p>
      <w:pPr>
        <w:jc w:val="center"/>
        <w:outlineLvl w:val="4"/>
        <w:rPr>
          <w:rFonts w:ascii="方正小标宋_GBK" w:hAnsi="方正小标宋_GBK" w:eastAsia="方正小标宋_GBK" w:cs="方正小标宋_GBK"/>
          <w:color w:val="auto"/>
          <w:sz w:val="36"/>
        </w:rPr>
      </w:pPr>
      <w:r>
        <w:rPr>
          <w:rFonts w:ascii="方正小标宋_GBK" w:hAnsi="方正小标宋_GBK" w:eastAsia="方正小标宋_GBK" w:cs="方正小标宋_GBK"/>
          <w:color w:val="auto"/>
          <w:sz w:val="36"/>
        </w:rPr>
        <w:t>单位预算收支总表</w:t>
      </w:r>
    </w:p>
    <w:tbl>
      <w:tblPr>
        <w:tblStyle w:val="5"/>
        <w:tblW w:w="132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4"/>
        <w:gridCol w:w="6565"/>
        <w:gridCol w:w="57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539" w:type="dxa"/>
            <w:gridSpan w:val="2"/>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w:t>
            </w:r>
            <w:r>
              <w:rPr>
                <w:rFonts w:hint="eastAsia" w:eastAsia="宋体"/>
                <w:color w:val="auto"/>
                <w:lang w:val="en-US" w:eastAsia="zh-CN"/>
              </w:rPr>
              <w:t>5</w:t>
            </w:r>
            <w:r>
              <w:rPr>
                <w:color w:val="auto"/>
              </w:rPr>
              <w:t>保定市自然资源和规划局满城区分局</w:t>
            </w:r>
            <w:r>
              <w:rPr>
                <w:rFonts w:hint="eastAsia" w:ascii="方正小标宋_GBK" w:eastAsia="方正小标宋_GBK"/>
                <w:color w:val="auto"/>
                <w:sz w:val="24"/>
                <w:lang w:val="en-US" w:eastAsia="zh-CN"/>
              </w:rPr>
              <w:t xml:space="preserve"> </w:t>
            </w:r>
            <w:r>
              <w:rPr>
                <w:color w:val="auto"/>
              </w:rPr>
              <w:t>(供养人员)</w:t>
            </w:r>
            <w:r>
              <w:rPr>
                <w:rFonts w:hint="eastAsia" w:eastAsia="宋体"/>
                <w:color w:val="auto"/>
                <w:lang w:val="en-US" w:eastAsia="zh-CN"/>
              </w:rPr>
              <w:t xml:space="preserve">                                              </w:t>
            </w:r>
            <w:r>
              <w:rPr>
                <w:rFonts w:hint="eastAsia" w:ascii="方正小标宋_GBK" w:eastAsia="方正小标宋_GBK"/>
                <w:color w:val="auto"/>
                <w:sz w:val="24"/>
                <w:lang w:val="en-US" w:eastAsia="zh-CN"/>
              </w:rPr>
              <w:t xml:space="preserve"> </w:t>
            </w:r>
          </w:p>
          <w:p>
            <w:pPr>
              <w:spacing w:line="240" w:lineRule="auto"/>
              <w:ind w:left="1680" w:hanging="1680" w:hangingChars="700"/>
              <w:jc w:val="left"/>
              <w:rPr>
                <w:rFonts w:hint="default" w:ascii="方正小标宋_GBK" w:eastAsia="方正小标宋_GBK"/>
                <w:color w:val="auto"/>
                <w:sz w:val="24"/>
                <w:lang w:val="en-US" w:eastAsia="zh-CN"/>
              </w:rPr>
            </w:pPr>
          </w:p>
        </w:tc>
        <w:tc>
          <w:tcPr>
            <w:tcW w:w="5751" w:type="dxa"/>
            <w:tcBorders>
              <w:top w:val="single" w:color="FFFFFF" w:sz="6" w:space="0"/>
              <w:left w:val="single" w:color="FFFFFF" w:sz="6" w:space="0"/>
              <w:right w:val="single" w:color="FFFFFF" w:sz="6" w:space="0"/>
            </w:tcBorders>
            <w:noWrap w:val="0"/>
            <w:vAlign w:val="center"/>
          </w:tcPr>
          <w:p>
            <w:pPr>
              <w:spacing w:line="240" w:lineRule="auto"/>
              <w:ind w:left="0" w:firstLine="0" w:firstLineChars="0"/>
              <w:jc w:val="left"/>
              <w:rPr>
                <w:rFonts w:ascii="方正书宋_GBK" w:eastAsia="方正书宋_GBK"/>
                <w:color w:val="auto"/>
                <w:sz w:val="24"/>
              </w:rPr>
            </w:pPr>
            <w:r>
              <w:rPr>
                <w:color w:val="auto"/>
              </w:rPr>
              <w:t>预算年度：202</w:t>
            </w:r>
            <w:r>
              <w:rPr>
                <w:rFonts w:hint="eastAsia"/>
                <w:color w:val="auto"/>
                <w:lang w:val="en-US" w:eastAsia="zh-CN"/>
              </w:rPr>
              <w:t>1</w:t>
            </w:r>
            <w:r>
              <w:rPr>
                <w:rFonts w:hint="eastAsia" w:eastAsia="宋体"/>
                <w:color w:val="auto"/>
                <w:lang w:val="en-US" w:eastAsia="zh-CN"/>
              </w:rPr>
              <w:t xml:space="preserve">                                 </w:t>
            </w:r>
            <w:r>
              <w:rPr>
                <w:rFonts w:hint="eastAsia" w:ascii="方正书宋_GBK" w:eastAsia="方正书宋_GBK"/>
                <w:color w:val="auto"/>
                <w:sz w:val="24"/>
              </w:rPr>
              <w:t>单位：万元</w:t>
            </w:r>
            <w:r>
              <w:rPr>
                <w:rFonts w:hint="eastAsia" w:eastAsia="宋体"/>
                <w:color w:val="auto"/>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7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项</w:t>
            </w:r>
            <w:r>
              <w:rPr>
                <w:rFonts w:ascii="方正书宋_GBK" w:eastAsia="方正书宋_GBK"/>
                <w:b/>
                <w:color w:val="auto"/>
              </w:rPr>
              <w:t xml:space="preserve">  </w:t>
            </w:r>
            <w:r>
              <w:rPr>
                <w:rFonts w:hint="eastAsia" w:ascii="方正书宋_GBK" w:eastAsia="方正书宋_GBK"/>
                <w:b/>
                <w:color w:val="auto"/>
              </w:rPr>
              <w:t>目代</w:t>
            </w:r>
            <w:r>
              <w:rPr>
                <w:rFonts w:ascii="方正书宋_GBK" w:eastAsia="方正书宋_GBK"/>
                <w:b/>
                <w:color w:val="auto"/>
              </w:rPr>
              <w:t xml:space="preserve">  </w:t>
            </w:r>
            <w:r>
              <w:rPr>
                <w:rFonts w:hint="eastAsia" w:ascii="方正书宋_GBK" w:eastAsia="方正书宋_GBK"/>
                <w:b/>
                <w:color w:val="auto"/>
              </w:rPr>
              <w:t>码</w:t>
            </w:r>
          </w:p>
        </w:tc>
        <w:tc>
          <w:tcPr>
            <w:tcW w:w="6565"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预算收支项目</w:t>
            </w:r>
          </w:p>
        </w:tc>
        <w:tc>
          <w:tcPr>
            <w:tcW w:w="5751"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预算收入</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1987.94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本年收入</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1987.94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一般公共预算拨款</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1987.94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其中：财政拨款</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1987.94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行政事业性收费</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国有资源（资产）有偿使用收入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政府住房基金收入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上级一般公共预算安排转移支付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一般债券</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其他</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基金预算拨款</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其中：政府性基金收入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专项债券对应项目专项收入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上级政府性基金预算安排转移支付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专项债券</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3</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国有资本经营预算拨款</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其中：国有资本经营收入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上级国有资本经营预算安排转移支付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4</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财政专户核拨</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5</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其他来源收入（单位资金）</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其中：事业收入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上级补助收入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附属单位上缴收入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事业单位经营收入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其他收入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上年结转结余</w:t>
            </w:r>
          </w:p>
        </w:tc>
        <w:tc>
          <w:tcPr>
            <w:tcW w:w="5751"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一般公共预算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政府性基金预算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3</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国有资本经营预算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4</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财政专户核拨</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5</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其他来源收入（单位资金）</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预算支出</w:t>
            </w:r>
          </w:p>
        </w:tc>
        <w:tc>
          <w:tcPr>
            <w:tcW w:w="5751" w:type="dxa"/>
            <w:noWrap w:val="0"/>
            <w:vAlign w:val="center"/>
          </w:tcPr>
          <w:p>
            <w:pPr>
              <w:spacing w:line="300" w:lineRule="exact"/>
              <w:jc w:val="right"/>
              <w:rPr>
                <w:rFonts w:hint="default" w:ascii="方正书宋_GBK" w:eastAsia="方正书宋_GBK"/>
                <w:b/>
                <w:color w:val="auto"/>
                <w:lang w:val="en-US" w:eastAsia="zh-CN"/>
              </w:rPr>
            </w:pPr>
            <w:r>
              <w:rPr>
                <w:rFonts w:hint="eastAsia" w:ascii="方正书宋_GBK" w:eastAsia="方正书宋_GBK"/>
                <w:b/>
                <w:color w:val="auto"/>
                <w:lang w:val="en-US" w:eastAsia="zh-CN"/>
              </w:rPr>
              <w:t>1987.94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本年收入安排</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1987.94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基本支出</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1987.94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其中：人员经费</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1974.19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日常公用经费</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项目支出</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上年结转安排</w:t>
            </w:r>
          </w:p>
        </w:tc>
        <w:tc>
          <w:tcPr>
            <w:tcW w:w="5751" w:type="dxa"/>
            <w:noWrap w:val="0"/>
            <w:vAlign w:val="center"/>
          </w:tcPr>
          <w:p>
            <w:pPr>
              <w:spacing w:line="300" w:lineRule="exact"/>
              <w:jc w:val="right"/>
              <w:rPr>
                <w:rFonts w:ascii="方正书宋_GBK" w:eastAsia="方正书宋_GBK"/>
                <w:b/>
                <w:color w:val="auto"/>
              </w:rPr>
            </w:pPr>
          </w:p>
        </w:tc>
      </w:tr>
    </w:tbl>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5"/>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w:t>
            </w:r>
            <w:r>
              <w:rPr>
                <w:rFonts w:hint="eastAsia" w:eastAsia="宋体"/>
                <w:color w:val="auto"/>
                <w:lang w:val="en-US" w:eastAsia="zh-CN"/>
              </w:rPr>
              <w:t>5</w:t>
            </w:r>
            <w:r>
              <w:rPr>
                <w:color w:val="auto"/>
              </w:rPr>
              <w:t>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w:t>
            </w:r>
            <w:r>
              <w:rPr>
                <w:rFonts w:hint="eastAsia"/>
                <w:color w:val="auto"/>
                <w:lang w:val="en-US" w:eastAsia="zh-CN"/>
              </w:rPr>
              <w:t>供养人员</w:t>
            </w:r>
            <w:r>
              <w:rPr>
                <w:color w:val="auto"/>
              </w:rPr>
              <w:t>)</w:t>
            </w:r>
          </w:p>
        </w:tc>
        <w:tc>
          <w:tcPr>
            <w:tcW w:w="3402" w:type="dxa"/>
            <w:gridSpan w:val="3"/>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670" w:type="dxa"/>
            <w:gridSpan w:val="5"/>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5"/>
              <w:rPr>
                <w:color w:val="auto"/>
              </w:rPr>
            </w:pPr>
            <w:r>
              <w:rPr>
                <w:color w:val="auto"/>
              </w:rPr>
              <w:t>序号</w:t>
            </w:r>
          </w:p>
        </w:tc>
        <w:tc>
          <w:tcPr>
            <w:tcW w:w="2551" w:type="dxa"/>
            <w:gridSpan w:val="2"/>
            <w:noWrap w:val="0"/>
            <w:vAlign w:val="center"/>
          </w:tcPr>
          <w:p>
            <w:pPr>
              <w:pStyle w:val="15"/>
              <w:rPr>
                <w:color w:val="auto"/>
              </w:rPr>
            </w:pPr>
            <w:r>
              <w:rPr>
                <w:color w:val="auto"/>
              </w:rPr>
              <w:t>功能分类科目</w:t>
            </w:r>
          </w:p>
        </w:tc>
        <w:tc>
          <w:tcPr>
            <w:tcW w:w="1134" w:type="dxa"/>
            <w:vMerge w:val="restart"/>
            <w:noWrap w:val="0"/>
            <w:vAlign w:val="center"/>
          </w:tcPr>
          <w:p>
            <w:pPr>
              <w:pStyle w:val="15"/>
              <w:rPr>
                <w:color w:val="auto"/>
              </w:rPr>
            </w:pPr>
            <w:r>
              <w:rPr>
                <w:color w:val="auto"/>
              </w:rPr>
              <w:t>合计</w:t>
            </w:r>
          </w:p>
        </w:tc>
        <w:tc>
          <w:tcPr>
            <w:tcW w:w="9072" w:type="dxa"/>
            <w:gridSpan w:val="8"/>
            <w:noWrap w:val="0"/>
            <w:vAlign w:val="center"/>
          </w:tcPr>
          <w:p>
            <w:pPr>
              <w:pStyle w:val="15"/>
              <w:rPr>
                <w:color w:val="auto"/>
              </w:rPr>
            </w:pPr>
            <w:r>
              <w:rPr>
                <w:color w:val="auto"/>
              </w:rPr>
              <w:t>本年收入</w:t>
            </w:r>
          </w:p>
        </w:tc>
        <w:tc>
          <w:tcPr>
            <w:tcW w:w="1134" w:type="dxa"/>
            <w:vMerge w:val="restart"/>
            <w:noWrap w:val="0"/>
            <w:vAlign w:val="center"/>
          </w:tcPr>
          <w:p>
            <w:pPr>
              <w:pStyle w:val="15"/>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pPr>
              <w:rPr>
                <w:color w:val="auto"/>
              </w:rPr>
            </w:pPr>
          </w:p>
        </w:tc>
        <w:tc>
          <w:tcPr>
            <w:tcW w:w="992" w:type="dxa"/>
            <w:noWrap w:val="0"/>
            <w:vAlign w:val="center"/>
          </w:tcPr>
          <w:p>
            <w:pPr>
              <w:pStyle w:val="15"/>
              <w:rPr>
                <w:color w:val="auto"/>
              </w:rPr>
            </w:pPr>
            <w:r>
              <w:rPr>
                <w:color w:val="auto"/>
              </w:rPr>
              <w:t>科目    编码</w:t>
            </w:r>
          </w:p>
        </w:tc>
        <w:tc>
          <w:tcPr>
            <w:tcW w:w="1559" w:type="dxa"/>
            <w:noWrap w:val="0"/>
            <w:vAlign w:val="center"/>
          </w:tcPr>
          <w:p>
            <w:pPr>
              <w:pStyle w:val="15"/>
              <w:rPr>
                <w:color w:val="auto"/>
              </w:rPr>
            </w:pPr>
            <w:r>
              <w:rPr>
                <w:color w:val="auto"/>
              </w:rPr>
              <w:t>科目名称</w:t>
            </w:r>
          </w:p>
        </w:tc>
        <w:tc>
          <w:tcPr>
            <w:tcW w:w="1134" w:type="dxa"/>
            <w:vMerge w:val="continue"/>
            <w:noWrap w:val="0"/>
            <w:vAlign w:val="top"/>
          </w:tcPr>
          <w:p>
            <w:pPr>
              <w:rPr>
                <w:color w:val="auto"/>
              </w:rPr>
            </w:pPr>
          </w:p>
        </w:tc>
        <w:tc>
          <w:tcPr>
            <w:tcW w:w="1134" w:type="dxa"/>
            <w:noWrap w:val="0"/>
            <w:vAlign w:val="center"/>
          </w:tcPr>
          <w:p>
            <w:pPr>
              <w:pStyle w:val="15"/>
              <w:rPr>
                <w:color w:val="auto"/>
              </w:rPr>
            </w:pPr>
            <w:r>
              <w:rPr>
                <w:color w:val="auto"/>
              </w:rPr>
              <w:t>小计</w:t>
            </w:r>
          </w:p>
        </w:tc>
        <w:tc>
          <w:tcPr>
            <w:tcW w:w="1134" w:type="dxa"/>
            <w:noWrap w:val="0"/>
            <w:vAlign w:val="center"/>
          </w:tcPr>
          <w:p>
            <w:pPr>
              <w:pStyle w:val="15"/>
              <w:rPr>
                <w:color w:val="auto"/>
              </w:rPr>
            </w:pPr>
            <w:r>
              <w:rPr>
                <w:color w:val="auto"/>
              </w:rPr>
              <w:t>财政拨款 收入</w:t>
            </w:r>
          </w:p>
        </w:tc>
        <w:tc>
          <w:tcPr>
            <w:tcW w:w="1134" w:type="dxa"/>
            <w:noWrap w:val="0"/>
            <w:vAlign w:val="center"/>
          </w:tcPr>
          <w:p>
            <w:pPr>
              <w:pStyle w:val="15"/>
              <w:rPr>
                <w:color w:val="auto"/>
              </w:rPr>
            </w:pPr>
            <w:r>
              <w:rPr>
                <w:color w:val="auto"/>
              </w:rPr>
              <w:t>财政专户 收入</w:t>
            </w:r>
          </w:p>
        </w:tc>
        <w:tc>
          <w:tcPr>
            <w:tcW w:w="1134" w:type="dxa"/>
            <w:noWrap w:val="0"/>
            <w:vAlign w:val="center"/>
          </w:tcPr>
          <w:p>
            <w:pPr>
              <w:pStyle w:val="15"/>
              <w:rPr>
                <w:color w:val="auto"/>
              </w:rPr>
            </w:pPr>
            <w:r>
              <w:rPr>
                <w:color w:val="auto"/>
              </w:rPr>
              <w:t>事业收入</w:t>
            </w:r>
          </w:p>
        </w:tc>
        <w:tc>
          <w:tcPr>
            <w:tcW w:w="1134" w:type="dxa"/>
            <w:noWrap w:val="0"/>
            <w:vAlign w:val="center"/>
          </w:tcPr>
          <w:p>
            <w:pPr>
              <w:pStyle w:val="15"/>
              <w:rPr>
                <w:color w:val="auto"/>
              </w:rPr>
            </w:pPr>
            <w:r>
              <w:rPr>
                <w:color w:val="auto"/>
              </w:rPr>
              <w:t>经营收入</w:t>
            </w:r>
          </w:p>
        </w:tc>
        <w:tc>
          <w:tcPr>
            <w:tcW w:w="1134" w:type="dxa"/>
            <w:noWrap w:val="0"/>
            <w:vAlign w:val="center"/>
          </w:tcPr>
          <w:p>
            <w:pPr>
              <w:pStyle w:val="15"/>
              <w:rPr>
                <w:color w:val="auto"/>
              </w:rPr>
            </w:pPr>
            <w:r>
              <w:rPr>
                <w:color w:val="auto"/>
              </w:rPr>
              <w:t>上级补助收入</w:t>
            </w:r>
          </w:p>
        </w:tc>
        <w:tc>
          <w:tcPr>
            <w:tcW w:w="1134" w:type="dxa"/>
            <w:noWrap w:val="0"/>
            <w:vAlign w:val="center"/>
          </w:tcPr>
          <w:p>
            <w:pPr>
              <w:pStyle w:val="15"/>
              <w:rPr>
                <w:color w:val="auto"/>
              </w:rPr>
            </w:pPr>
            <w:r>
              <w:rPr>
                <w:color w:val="auto"/>
              </w:rPr>
              <w:t>附属单位上缴收入</w:t>
            </w:r>
          </w:p>
        </w:tc>
        <w:tc>
          <w:tcPr>
            <w:tcW w:w="1134" w:type="dxa"/>
            <w:noWrap w:val="0"/>
            <w:vAlign w:val="center"/>
          </w:tcPr>
          <w:p>
            <w:pPr>
              <w:pStyle w:val="15"/>
              <w:rPr>
                <w:color w:val="auto"/>
              </w:rPr>
            </w:pPr>
            <w:r>
              <w:rPr>
                <w:color w:val="auto"/>
              </w:rPr>
              <w:t>其他收入</w:t>
            </w:r>
          </w:p>
        </w:tc>
        <w:tc>
          <w:tcPr>
            <w:tcW w:w="1134"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5"/>
              <w:rPr>
                <w:color w:val="auto"/>
              </w:rPr>
            </w:pPr>
            <w:r>
              <w:rPr>
                <w:color w:val="auto"/>
              </w:rPr>
              <w:t>栏次</w:t>
            </w:r>
          </w:p>
        </w:tc>
        <w:tc>
          <w:tcPr>
            <w:tcW w:w="992" w:type="dxa"/>
            <w:noWrap w:val="0"/>
            <w:vAlign w:val="center"/>
          </w:tcPr>
          <w:p>
            <w:pPr>
              <w:pStyle w:val="15"/>
              <w:rPr>
                <w:color w:val="auto"/>
              </w:rPr>
            </w:pPr>
            <w:r>
              <w:rPr>
                <w:color w:val="auto"/>
              </w:rPr>
              <w:t>1</w:t>
            </w:r>
          </w:p>
        </w:tc>
        <w:tc>
          <w:tcPr>
            <w:tcW w:w="1559" w:type="dxa"/>
            <w:noWrap w:val="0"/>
            <w:vAlign w:val="center"/>
          </w:tcPr>
          <w:p>
            <w:pPr>
              <w:pStyle w:val="15"/>
              <w:rPr>
                <w:color w:val="auto"/>
              </w:rPr>
            </w:pPr>
            <w:r>
              <w:rPr>
                <w:color w:val="auto"/>
              </w:rPr>
              <w:t>2</w:t>
            </w:r>
          </w:p>
        </w:tc>
        <w:tc>
          <w:tcPr>
            <w:tcW w:w="1134" w:type="dxa"/>
            <w:noWrap w:val="0"/>
            <w:vAlign w:val="center"/>
          </w:tcPr>
          <w:p>
            <w:pPr>
              <w:pStyle w:val="15"/>
              <w:rPr>
                <w:color w:val="auto"/>
              </w:rPr>
            </w:pPr>
            <w:r>
              <w:rPr>
                <w:color w:val="auto"/>
              </w:rPr>
              <w:t>3</w:t>
            </w:r>
          </w:p>
        </w:tc>
        <w:tc>
          <w:tcPr>
            <w:tcW w:w="1134" w:type="dxa"/>
            <w:noWrap w:val="0"/>
            <w:vAlign w:val="center"/>
          </w:tcPr>
          <w:p>
            <w:pPr>
              <w:pStyle w:val="15"/>
              <w:rPr>
                <w:color w:val="auto"/>
              </w:rPr>
            </w:pPr>
            <w:r>
              <w:rPr>
                <w:color w:val="auto"/>
              </w:rPr>
              <w:t>4</w:t>
            </w:r>
          </w:p>
        </w:tc>
        <w:tc>
          <w:tcPr>
            <w:tcW w:w="1134" w:type="dxa"/>
            <w:noWrap w:val="0"/>
            <w:vAlign w:val="center"/>
          </w:tcPr>
          <w:p>
            <w:pPr>
              <w:pStyle w:val="15"/>
              <w:rPr>
                <w:color w:val="auto"/>
              </w:rPr>
            </w:pPr>
            <w:r>
              <w:rPr>
                <w:color w:val="auto"/>
              </w:rPr>
              <w:t>5</w:t>
            </w:r>
          </w:p>
        </w:tc>
        <w:tc>
          <w:tcPr>
            <w:tcW w:w="1134" w:type="dxa"/>
            <w:noWrap w:val="0"/>
            <w:vAlign w:val="center"/>
          </w:tcPr>
          <w:p>
            <w:pPr>
              <w:pStyle w:val="15"/>
              <w:rPr>
                <w:color w:val="auto"/>
              </w:rPr>
            </w:pPr>
            <w:r>
              <w:rPr>
                <w:color w:val="auto"/>
              </w:rPr>
              <w:t>6</w:t>
            </w:r>
          </w:p>
        </w:tc>
        <w:tc>
          <w:tcPr>
            <w:tcW w:w="1134" w:type="dxa"/>
            <w:noWrap w:val="0"/>
            <w:vAlign w:val="center"/>
          </w:tcPr>
          <w:p>
            <w:pPr>
              <w:pStyle w:val="15"/>
              <w:rPr>
                <w:color w:val="auto"/>
              </w:rPr>
            </w:pPr>
            <w:r>
              <w:rPr>
                <w:color w:val="auto"/>
              </w:rPr>
              <w:t>7</w:t>
            </w:r>
          </w:p>
        </w:tc>
        <w:tc>
          <w:tcPr>
            <w:tcW w:w="1134" w:type="dxa"/>
            <w:noWrap w:val="0"/>
            <w:vAlign w:val="center"/>
          </w:tcPr>
          <w:p>
            <w:pPr>
              <w:pStyle w:val="15"/>
              <w:rPr>
                <w:color w:val="auto"/>
              </w:rPr>
            </w:pPr>
            <w:r>
              <w:rPr>
                <w:color w:val="auto"/>
              </w:rPr>
              <w:t>8</w:t>
            </w:r>
          </w:p>
        </w:tc>
        <w:tc>
          <w:tcPr>
            <w:tcW w:w="1134" w:type="dxa"/>
            <w:noWrap w:val="0"/>
            <w:vAlign w:val="center"/>
          </w:tcPr>
          <w:p>
            <w:pPr>
              <w:pStyle w:val="15"/>
              <w:rPr>
                <w:color w:val="auto"/>
              </w:rPr>
            </w:pPr>
            <w:r>
              <w:rPr>
                <w:color w:val="auto"/>
              </w:rPr>
              <w:t>9</w:t>
            </w:r>
          </w:p>
        </w:tc>
        <w:tc>
          <w:tcPr>
            <w:tcW w:w="1134" w:type="dxa"/>
            <w:noWrap w:val="0"/>
            <w:vAlign w:val="center"/>
          </w:tcPr>
          <w:p>
            <w:pPr>
              <w:pStyle w:val="15"/>
              <w:rPr>
                <w:color w:val="auto"/>
              </w:rPr>
            </w:pPr>
            <w:r>
              <w:rPr>
                <w:color w:val="auto"/>
              </w:rPr>
              <w:t>10</w:t>
            </w:r>
          </w:p>
        </w:tc>
        <w:tc>
          <w:tcPr>
            <w:tcW w:w="1134" w:type="dxa"/>
            <w:noWrap w:val="0"/>
            <w:vAlign w:val="center"/>
          </w:tcPr>
          <w:p>
            <w:pPr>
              <w:pStyle w:val="15"/>
              <w:rPr>
                <w:color w:val="auto"/>
              </w:rPr>
            </w:pPr>
            <w:r>
              <w:rPr>
                <w:color w:val="auto"/>
              </w:rPr>
              <w:t>11</w:t>
            </w:r>
          </w:p>
        </w:tc>
        <w:tc>
          <w:tcPr>
            <w:tcW w:w="1134" w:type="dxa"/>
            <w:noWrap w:val="0"/>
            <w:vAlign w:val="center"/>
          </w:tcPr>
          <w:p>
            <w:pPr>
              <w:pStyle w:val="15"/>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992" w:type="dxa"/>
            <w:noWrap w:val="0"/>
            <w:vAlign w:val="center"/>
          </w:tcPr>
          <w:p>
            <w:pPr>
              <w:jc w:val="left"/>
              <w:rPr>
                <w:color w:val="auto"/>
              </w:rPr>
            </w:pP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1987.94</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1987.94</w:t>
            </w:r>
          </w:p>
        </w:tc>
        <w:tc>
          <w:tcPr>
            <w:tcW w:w="1134" w:type="dxa"/>
            <w:noWrap w:val="0"/>
            <w:vAlign w:val="center"/>
          </w:tcPr>
          <w:p>
            <w:pPr>
              <w:pStyle w:val="20"/>
              <w:rPr>
                <w:rFonts w:hint="default" w:eastAsia="方正书宋_GBK"/>
                <w:color w:val="auto"/>
                <w:lang w:val="en-US" w:eastAsia="zh-CN"/>
              </w:rPr>
            </w:pPr>
            <w:r>
              <w:rPr>
                <w:rFonts w:hint="eastAsia"/>
                <w:color w:val="auto"/>
                <w:lang w:val="en-US" w:eastAsia="zh-CN"/>
              </w:rPr>
              <w:t>1987.94</w:t>
            </w: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312.61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312.61</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312.61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65.17</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65.17</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65.17</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164.96</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164.96</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164.96</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82.48</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82.48</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82.48</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67.25</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67.25</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67.25</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67.25</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67.25</w:t>
            </w:r>
          </w:p>
        </w:tc>
        <w:tc>
          <w:tcPr>
            <w:tcW w:w="1134" w:type="dxa"/>
            <w:noWrap w:val="0"/>
            <w:vAlign w:val="center"/>
          </w:tcPr>
          <w:p>
            <w:pPr>
              <w:pStyle w:val="16"/>
              <w:rPr>
                <w:rFonts w:hint="default" w:eastAsia="方正书宋_GBK"/>
                <w:color w:val="auto"/>
                <w:lang w:val="en-US" w:eastAsia="zh-CN"/>
              </w:rPr>
            </w:pPr>
            <w:r>
              <w:rPr>
                <w:rFonts w:hint="eastAsia"/>
                <w:color w:val="auto"/>
                <w:lang w:val="en-US" w:eastAsia="zh-CN"/>
              </w:rPr>
              <w:t>67.25</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城乡社区规划与管理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2120201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城乡社区规划与管理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城乡社区公共设施</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2120399</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征地和拆迁补偿支出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21210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2121002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农林水支出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农业农村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2130135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林业和草原</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森林资源培育</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技术推广与转化</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2130209</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森林生态效益补偿</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2130234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林业草原防灾减灾</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1509.51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1509.51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自然资源事务</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行政运行</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一般行政管理事务</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自然资源规划及管理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自然资源利用与保护</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2200150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事业运行</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1509.51</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1509.51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住房保障支出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住房改革支出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住房公积金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自然灾害防治</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地质灾害防治</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p>
        </w:tc>
        <w:tc>
          <w:tcPr>
            <w:tcW w:w="992" w:type="dxa"/>
            <w:noWrap w:val="0"/>
            <w:vAlign w:val="center"/>
          </w:tcPr>
          <w:p>
            <w:pPr>
              <w:jc w:val="left"/>
              <w:rPr>
                <w:color w:val="auto"/>
              </w:rPr>
            </w:pPr>
          </w:p>
        </w:tc>
        <w:tc>
          <w:tcPr>
            <w:tcW w:w="1559" w:type="dxa"/>
            <w:noWrap w:val="0"/>
            <w:vAlign w:val="center"/>
          </w:tcPr>
          <w:p>
            <w:pPr>
              <w:keepNext w:val="0"/>
              <w:keepLines w:val="0"/>
              <w:widowControl/>
              <w:suppressLineNumbers w:val="0"/>
              <w:jc w:val="left"/>
              <w:textAlignment w:val="center"/>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rFonts w:hint="eastAsia"/>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5"/>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w:t>
            </w:r>
            <w:r>
              <w:rPr>
                <w:rFonts w:hint="eastAsia" w:eastAsia="宋体"/>
                <w:color w:val="auto"/>
                <w:lang w:val="en-US" w:eastAsia="zh-CN"/>
              </w:rPr>
              <w:t>5</w:t>
            </w:r>
            <w:r>
              <w:rPr>
                <w:color w:val="auto"/>
              </w:rPr>
              <w:t>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w:t>
            </w:r>
            <w:r>
              <w:rPr>
                <w:rFonts w:hint="eastAsia"/>
                <w:color w:val="auto"/>
                <w:lang w:val="en-US" w:eastAsia="zh-CN"/>
              </w:rPr>
              <w:t>供养人员</w:t>
            </w:r>
            <w:r>
              <w:rPr>
                <w:color w:val="auto"/>
              </w:rPr>
              <w:t>)</w:t>
            </w:r>
          </w:p>
        </w:tc>
        <w:tc>
          <w:tcPr>
            <w:tcW w:w="2722" w:type="dxa"/>
            <w:gridSpan w:val="2"/>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444" w:type="dxa"/>
            <w:gridSpan w:val="4"/>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528" w:type="dxa"/>
            <w:gridSpan w:val="2"/>
            <w:noWrap w:val="0"/>
            <w:vAlign w:val="center"/>
          </w:tcPr>
          <w:p>
            <w:pPr>
              <w:pStyle w:val="15"/>
              <w:rPr>
                <w:color w:val="auto"/>
              </w:rPr>
            </w:pPr>
            <w:r>
              <w:rPr>
                <w:color w:val="auto"/>
              </w:rPr>
              <w:t>功能分类科目</w:t>
            </w:r>
          </w:p>
        </w:tc>
        <w:tc>
          <w:tcPr>
            <w:tcW w:w="1361" w:type="dxa"/>
            <w:vMerge w:val="restart"/>
            <w:noWrap w:val="0"/>
            <w:vAlign w:val="center"/>
          </w:tcPr>
          <w:p>
            <w:pPr>
              <w:pStyle w:val="15"/>
              <w:rPr>
                <w:color w:val="auto"/>
              </w:rPr>
            </w:pPr>
            <w:r>
              <w:rPr>
                <w:color w:val="auto"/>
              </w:rPr>
              <w:t>合计</w:t>
            </w:r>
          </w:p>
        </w:tc>
        <w:tc>
          <w:tcPr>
            <w:tcW w:w="1361" w:type="dxa"/>
            <w:vMerge w:val="restart"/>
            <w:noWrap w:val="0"/>
            <w:vAlign w:val="center"/>
          </w:tcPr>
          <w:p>
            <w:pPr>
              <w:pStyle w:val="15"/>
              <w:rPr>
                <w:color w:val="auto"/>
              </w:rPr>
            </w:pPr>
            <w:r>
              <w:rPr>
                <w:color w:val="auto"/>
              </w:rPr>
              <w:t>基本支出</w:t>
            </w:r>
          </w:p>
        </w:tc>
        <w:tc>
          <w:tcPr>
            <w:tcW w:w="1361" w:type="dxa"/>
            <w:vMerge w:val="restart"/>
            <w:noWrap w:val="0"/>
            <w:vAlign w:val="center"/>
          </w:tcPr>
          <w:p>
            <w:pPr>
              <w:pStyle w:val="15"/>
              <w:rPr>
                <w:color w:val="auto"/>
              </w:rPr>
            </w:pPr>
            <w:r>
              <w:rPr>
                <w:color w:val="auto"/>
              </w:rPr>
              <w:t>项目支出</w:t>
            </w:r>
          </w:p>
        </w:tc>
        <w:tc>
          <w:tcPr>
            <w:tcW w:w="1361" w:type="dxa"/>
            <w:vMerge w:val="restart"/>
            <w:noWrap w:val="0"/>
            <w:vAlign w:val="center"/>
          </w:tcPr>
          <w:p>
            <w:pPr>
              <w:pStyle w:val="15"/>
              <w:rPr>
                <w:color w:val="auto"/>
              </w:rPr>
            </w:pPr>
            <w:r>
              <w:rPr>
                <w:color w:val="auto"/>
              </w:rPr>
              <w:t>经营支出</w:t>
            </w:r>
          </w:p>
        </w:tc>
        <w:tc>
          <w:tcPr>
            <w:tcW w:w="1361" w:type="dxa"/>
            <w:vMerge w:val="restart"/>
            <w:noWrap w:val="0"/>
            <w:vAlign w:val="center"/>
          </w:tcPr>
          <w:p>
            <w:pPr>
              <w:pStyle w:val="15"/>
              <w:rPr>
                <w:color w:val="auto"/>
              </w:rPr>
            </w:pPr>
            <w:r>
              <w:rPr>
                <w:color w:val="auto"/>
              </w:rPr>
              <w:t>上解上级     支出</w:t>
            </w:r>
          </w:p>
        </w:tc>
        <w:tc>
          <w:tcPr>
            <w:tcW w:w="1361" w:type="dxa"/>
            <w:vMerge w:val="restart"/>
            <w:noWrap w:val="0"/>
            <w:vAlign w:val="center"/>
          </w:tcPr>
          <w:p>
            <w:pPr>
              <w:pStyle w:val="15"/>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992" w:type="dxa"/>
            <w:noWrap w:val="0"/>
            <w:vAlign w:val="center"/>
          </w:tcPr>
          <w:p>
            <w:pPr>
              <w:pStyle w:val="15"/>
              <w:rPr>
                <w:color w:val="auto"/>
              </w:rPr>
            </w:pPr>
            <w:r>
              <w:rPr>
                <w:color w:val="auto"/>
              </w:rPr>
              <w:t>科目    编码</w:t>
            </w:r>
          </w:p>
        </w:tc>
        <w:tc>
          <w:tcPr>
            <w:tcW w:w="4536" w:type="dxa"/>
            <w:noWrap w:val="0"/>
            <w:vAlign w:val="center"/>
          </w:tcPr>
          <w:p>
            <w:pPr>
              <w:pStyle w:val="15"/>
              <w:rPr>
                <w:color w:val="auto"/>
              </w:rPr>
            </w:pPr>
            <w:r>
              <w:rPr>
                <w:color w:val="auto"/>
              </w:rPr>
              <w:t>科目名称</w:t>
            </w: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992" w:type="dxa"/>
            <w:noWrap w:val="0"/>
            <w:vAlign w:val="center"/>
          </w:tcPr>
          <w:p>
            <w:pPr>
              <w:pStyle w:val="15"/>
              <w:rPr>
                <w:color w:val="auto"/>
              </w:rPr>
            </w:pPr>
            <w:r>
              <w:rPr>
                <w:color w:val="auto"/>
              </w:rPr>
              <w:t>1</w:t>
            </w:r>
          </w:p>
        </w:tc>
        <w:tc>
          <w:tcPr>
            <w:tcW w:w="4536" w:type="dxa"/>
            <w:noWrap w:val="0"/>
            <w:vAlign w:val="center"/>
          </w:tcPr>
          <w:p>
            <w:pPr>
              <w:pStyle w:val="15"/>
              <w:rPr>
                <w:color w:val="auto"/>
              </w:rPr>
            </w:pPr>
            <w:r>
              <w:rPr>
                <w:color w:val="auto"/>
              </w:rPr>
              <w:t>2</w:t>
            </w:r>
          </w:p>
        </w:tc>
        <w:tc>
          <w:tcPr>
            <w:tcW w:w="1361" w:type="dxa"/>
            <w:noWrap w:val="0"/>
            <w:vAlign w:val="center"/>
          </w:tcPr>
          <w:p>
            <w:pPr>
              <w:pStyle w:val="15"/>
              <w:rPr>
                <w:color w:val="auto"/>
              </w:rPr>
            </w:pPr>
            <w:r>
              <w:rPr>
                <w:color w:val="auto"/>
              </w:rPr>
              <w:t>3</w:t>
            </w:r>
          </w:p>
        </w:tc>
        <w:tc>
          <w:tcPr>
            <w:tcW w:w="1361" w:type="dxa"/>
            <w:noWrap w:val="0"/>
            <w:vAlign w:val="center"/>
          </w:tcPr>
          <w:p>
            <w:pPr>
              <w:pStyle w:val="15"/>
              <w:rPr>
                <w:color w:val="auto"/>
              </w:rPr>
            </w:pPr>
            <w:r>
              <w:rPr>
                <w:color w:val="auto"/>
              </w:rPr>
              <w:t>4</w:t>
            </w:r>
          </w:p>
        </w:tc>
        <w:tc>
          <w:tcPr>
            <w:tcW w:w="1361" w:type="dxa"/>
            <w:noWrap w:val="0"/>
            <w:vAlign w:val="center"/>
          </w:tcPr>
          <w:p>
            <w:pPr>
              <w:pStyle w:val="15"/>
              <w:rPr>
                <w:color w:val="auto"/>
              </w:rPr>
            </w:pPr>
            <w:r>
              <w:rPr>
                <w:color w:val="auto"/>
              </w:rPr>
              <w:t>5</w:t>
            </w:r>
          </w:p>
        </w:tc>
        <w:tc>
          <w:tcPr>
            <w:tcW w:w="1361" w:type="dxa"/>
            <w:noWrap w:val="0"/>
            <w:vAlign w:val="center"/>
          </w:tcPr>
          <w:p>
            <w:pPr>
              <w:pStyle w:val="15"/>
              <w:rPr>
                <w:color w:val="auto"/>
              </w:rPr>
            </w:pPr>
            <w:r>
              <w:rPr>
                <w:color w:val="auto"/>
              </w:rPr>
              <w:t>6</w:t>
            </w:r>
          </w:p>
        </w:tc>
        <w:tc>
          <w:tcPr>
            <w:tcW w:w="1361" w:type="dxa"/>
            <w:noWrap w:val="0"/>
            <w:vAlign w:val="center"/>
          </w:tcPr>
          <w:p>
            <w:pPr>
              <w:pStyle w:val="15"/>
              <w:rPr>
                <w:color w:val="auto"/>
              </w:rPr>
            </w:pPr>
            <w:r>
              <w:rPr>
                <w:color w:val="auto"/>
              </w:rPr>
              <w:t>7</w:t>
            </w:r>
          </w:p>
        </w:tc>
        <w:tc>
          <w:tcPr>
            <w:tcW w:w="1361" w:type="dxa"/>
            <w:noWrap w:val="0"/>
            <w:vAlign w:val="center"/>
          </w:tcPr>
          <w:p>
            <w:pPr>
              <w:pStyle w:val="15"/>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992" w:type="dxa"/>
            <w:noWrap w:val="0"/>
            <w:vAlign w:val="center"/>
          </w:tcPr>
          <w:p>
            <w:pPr>
              <w:jc w:val="left"/>
              <w:rPr>
                <w:color w:val="auto"/>
              </w:rPr>
            </w:pP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1361"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1987.94</w:t>
            </w:r>
          </w:p>
        </w:tc>
        <w:tc>
          <w:tcPr>
            <w:tcW w:w="1361"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1987.94</w:t>
            </w:r>
          </w:p>
        </w:tc>
        <w:tc>
          <w:tcPr>
            <w:tcW w:w="1361"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p>
        </w:tc>
        <w:tc>
          <w:tcPr>
            <w:tcW w:w="1361" w:type="dxa"/>
            <w:noWrap w:val="0"/>
            <w:vAlign w:val="center"/>
          </w:tcPr>
          <w:p>
            <w:pPr>
              <w:pStyle w:val="20"/>
              <w:rPr>
                <w:color w:val="auto"/>
              </w:rPr>
            </w:pPr>
          </w:p>
        </w:tc>
        <w:tc>
          <w:tcPr>
            <w:tcW w:w="1361" w:type="dxa"/>
            <w:noWrap w:val="0"/>
            <w:vAlign w:val="center"/>
          </w:tcPr>
          <w:p>
            <w:pPr>
              <w:pStyle w:val="20"/>
              <w:rPr>
                <w:color w:val="auto"/>
              </w:rPr>
            </w:pPr>
          </w:p>
        </w:tc>
        <w:tc>
          <w:tcPr>
            <w:tcW w:w="1361"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312.61</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312.61</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65.17</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65.17</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164.96</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164.96</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82.48</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82.48</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67.25</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67.25</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67.25</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67.25</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1361" w:type="dxa"/>
            <w:noWrap w:val="0"/>
            <w:vAlign w:val="center"/>
          </w:tcPr>
          <w:p>
            <w:pPr>
              <w:pStyle w:val="20"/>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20"/>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城乡社区规划与管理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2120201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城乡社区规划与管理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城乡社区公共设施</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2120399</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征地和拆迁补偿支出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土地开发支出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土地开发支出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农林水支出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农业农村</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2130135</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林业和草原</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2130205</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森林资源培育</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技术推广与转化</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2130209</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森林生态效益补偿</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2130234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林业草原防灾减灾</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1361" w:type="dxa"/>
            <w:noWrap w:val="0"/>
            <w:vAlign w:val="center"/>
          </w:tcPr>
          <w:p>
            <w:pPr>
              <w:pStyle w:val="16"/>
              <w:rPr>
                <w:rFonts w:hint="default"/>
                <w:color w:val="auto"/>
                <w:lang w:val="en-US" w:eastAsia="zh-CN"/>
              </w:rPr>
            </w:pPr>
            <w:r>
              <w:rPr>
                <w:rFonts w:hint="eastAsia" w:cs="方正书宋_GBK"/>
                <w:color w:val="auto"/>
                <w:sz w:val="21"/>
                <w:szCs w:val="24"/>
                <w:lang w:val="en-US" w:eastAsia="zh-CN" w:bidi="ar-SA"/>
              </w:rPr>
              <w:t>1509.51</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1509.51</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自然资源事务</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行政运行</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一般行政管理事务</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自然资源规划及管理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自然资源利用与保护</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2200113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2200114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2200150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事业运行</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1509.51</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1509.51</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住房保障支出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住房改革支出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2210201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住房公积金</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自然灾害防治</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2240601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地质灾害防治</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bl>
    <w:p>
      <w:pPr>
        <w:spacing w:line="300" w:lineRule="exact"/>
        <w:jc w:val="left"/>
        <w:outlineLvl w:val="1"/>
        <w:rPr>
          <w:rFonts w:eastAsia="方正仿宋_GBK"/>
          <w:color w:val="auto"/>
          <w:sz w:val="28"/>
        </w:rPr>
        <w:sectPr>
          <w:pgSz w:w="16839" w:h="11907" w:orient="landscape"/>
          <w:pgMar w:top="1020" w:right="1361" w:bottom="1020" w:left="1361" w:header="851" w:footer="992" w:gutter="0"/>
          <w:cols w:space="720" w:num="1"/>
          <w:rtlGutter w:val="0"/>
          <w:docGrid w:type="lines" w:linePitch="328" w:charSpace="0"/>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w:t>
            </w:r>
            <w:r>
              <w:rPr>
                <w:rFonts w:hint="eastAsia" w:eastAsia="宋体"/>
                <w:color w:val="auto"/>
                <w:lang w:val="en-US" w:eastAsia="zh-CN"/>
              </w:rPr>
              <w:t>5</w:t>
            </w:r>
            <w:r>
              <w:rPr>
                <w:color w:val="auto"/>
              </w:rPr>
              <w:t>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w:t>
            </w:r>
            <w:r>
              <w:rPr>
                <w:rFonts w:hint="eastAsia"/>
                <w:color w:val="auto"/>
                <w:lang w:val="en-US" w:eastAsia="zh-CN"/>
              </w:rPr>
              <w:t>供养人员</w:t>
            </w:r>
            <w:r>
              <w:rPr>
                <w:color w:val="auto"/>
              </w:rPr>
              <w:t>)</w:t>
            </w:r>
          </w:p>
        </w:tc>
        <w:tc>
          <w:tcPr>
            <w:tcW w:w="3402"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896" w:type="dxa"/>
            <w:gridSpan w:val="4"/>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4876" w:type="dxa"/>
            <w:gridSpan w:val="2"/>
            <w:noWrap w:val="0"/>
            <w:vAlign w:val="center"/>
          </w:tcPr>
          <w:p>
            <w:pPr>
              <w:pStyle w:val="15"/>
              <w:rPr>
                <w:color w:val="auto"/>
              </w:rPr>
            </w:pPr>
            <w:r>
              <w:rPr>
                <w:color w:val="auto"/>
              </w:rPr>
              <w:t>收入</w:t>
            </w:r>
          </w:p>
        </w:tc>
        <w:tc>
          <w:tcPr>
            <w:tcW w:w="9298" w:type="dxa"/>
            <w:gridSpan w:val="5"/>
            <w:noWrap w:val="0"/>
            <w:vAlign w:val="center"/>
          </w:tcPr>
          <w:p>
            <w:pPr>
              <w:pStyle w:val="15"/>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3402" w:type="dxa"/>
            <w:noWrap w:val="0"/>
            <w:vAlign w:val="center"/>
          </w:tcPr>
          <w:p>
            <w:pPr>
              <w:pStyle w:val="15"/>
              <w:rPr>
                <w:color w:val="auto"/>
              </w:rPr>
            </w:pPr>
            <w:r>
              <w:rPr>
                <w:color w:val="auto"/>
              </w:rPr>
              <w:t>项  目</w:t>
            </w:r>
          </w:p>
        </w:tc>
        <w:tc>
          <w:tcPr>
            <w:tcW w:w="1474" w:type="dxa"/>
            <w:noWrap w:val="0"/>
            <w:vAlign w:val="center"/>
          </w:tcPr>
          <w:p>
            <w:pPr>
              <w:pStyle w:val="15"/>
              <w:rPr>
                <w:color w:val="auto"/>
              </w:rPr>
            </w:pPr>
            <w:r>
              <w:rPr>
                <w:color w:val="auto"/>
              </w:rPr>
              <w:t>金额</w:t>
            </w:r>
          </w:p>
        </w:tc>
        <w:tc>
          <w:tcPr>
            <w:tcW w:w="3402" w:type="dxa"/>
            <w:noWrap w:val="0"/>
            <w:vAlign w:val="center"/>
          </w:tcPr>
          <w:p>
            <w:pPr>
              <w:pStyle w:val="15"/>
              <w:rPr>
                <w:color w:val="auto"/>
              </w:rPr>
            </w:pPr>
            <w:r>
              <w:rPr>
                <w:color w:val="auto"/>
              </w:rPr>
              <w:t>项  目</w:t>
            </w:r>
          </w:p>
        </w:tc>
        <w:tc>
          <w:tcPr>
            <w:tcW w:w="1474" w:type="dxa"/>
            <w:noWrap w:val="0"/>
            <w:vAlign w:val="center"/>
          </w:tcPr>
          <w:p>
            <w:pPr>
              <w:pStyle w:val="15"/>
              <w:rPr>
                <w:color w:val="auto"/>
              </w:rPr>
            </w:pPr>
            <w:r>
              <w:rPr>
                <w:color w:val="auto"/>
              </w:rPr>
              <w:t>合计</w:t>
            </w:r>
          </w:p>
        </w:tc>
        <w:tc>
          <w:tcPr>
            <w:tcW w:w="1474" w:type="dxa"/>
            <w:noWrap w:val="0"/>
            <w:vAlign w:val="center"/>
          </w:tcPr>
          <w:p>
            <w:pPr>
              <w:pStyle w:val="15"/>
              <w:rPr>
                <w:color w:val="auto"/>
              </w:rPr>
            </w:pPr>
            <w:r>
              <w:rPr>
                <w:color w:val="auto"/>
              </w:rPr>
              <w:t>一般公共预算财政拨款</w:t>
            </w:r>
          </w:p>
        </w:tc>
        <w:tc>
          <w:tcPr>
            <w:tcW w:w="1474" w:type="dxa"/>
            <w:noWrap w:val="0"/>
            <w:vAlign w:val="center"/>
          </w:tcPr>
          <w:p>
            <w:pPr>
              <w:pStyle w:val="15"/>
              <w:rPr>
                <w:color w:val="auto"/>
              </w:rPr>
            </w:pPr>
            <w:r>
              <w:rPr>
                <w:color w:val="auto"/>
              </w:rPr>
              <w:t>政府性基金预算财政    拨款</w:t>
            </w:r>
          </w:p>
        </w:tc>
        <w:tc>
          <w:tcPr>
            <w:tcW w:w="1474" w:type="dxa"/>
            <w:noWrap w:val="0"/>
            <w:vAlign w:val="center"/>
          </w:tcPr>
          <w:p>
            <w:pPr>
              <w:pStyle w:val="15"/>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3402" w:type="dxa"/>
            <w:noWrap w:val="0"/>
            <w:vAlign w:val="center"/>
          </w:tcPr>
          <w:p>
            <w:pPr>
              <w:pStyle w:val="15"/>
              <w:rPr>
                <w:color w:val="auto"/>
              </w:rPr>
            </w:pPr>
            <w:r>
              <w:rPr>
                <w:color w:val="auto"/>
              </w:rPr>
              <w:t>1</w:t>
            </w:r>
          </w:p>
        </w:tc>
        <w:tc>
          <w:tcPr>
            <w:tcW w:w="1474" w:type="dxa"/>
            <w:noWrap w:val="0"/>
            <w:vAlign w:val="center"/>
          </w:tcPr>
          <w:p>
            <w:pPr>
              <w:pStyle w:val="15"/>
              <w:rPr>
                <w:color w:val="auto"/>
              </w:rPr>
            </w:pPr>
            <w:r>
              <w:rPr>
                <w:color w:val="auto"/>
              </w:rPr>
              <w:t>2</w:t>
            </w:r>
          </w:p>
        </w:tc>
        <w:tc>
          <w:tcPr>
            <w:tcW w:w="3402" w:type="dxa"/>
            <w:noWrap w:val="0"/>
            <w:vAlign w:val="center"/>
          </w:tcPr>
          <w:p>
            <w:pPr>
              <w:pStyle w:val="15"/>
              <w:rPr>
                <w:color w:val="auto"/>
              </w:rPr>
            </w:pPr>
            <w:r>
              <w:rPr>
                <w:color w:val="auto"/>
              </w:rPr>
              <w:t>3</w:t>
            </w:r>
          </w:p>
        </w:tc>
        <w:tc>
          <w:tcPr>
            <w:tcW w:w="1474" w:type="dxa"/>
            <w:noWrap w:val="0"/>
            <w:vAlign w:val="center"/>
          </w:tcPr>
          <w:p>
            <w:pPr>
              <w:pStyle w:val="15"/>
              <w:rPr>
                <w:color w:val="auto"/>
              </w:rPr>
            </w:pPr>
            <w:r>
              <w:rPr>
                <w:color w:val="auto"/>
              </w:rPr>
              <w:t>4</w:t>
            </w:r>
          </w:p>
        </w:tc>
        <w:tc>
          <w:tcPr>
            <w:tcW w:w="1474" w:type="dxa"/>
            <w:noWrap w:val="0"/>
            <w:vAlign w:val="center"/>
          </w:tcPr>
          <w:p>
            <w:pPr>
              <w:pStyle w:val="15"/>
              <w:rPr>
                <w:color w:val="auto"/>
              </w:rPr>
            </w:pPr>
            <w:r>
              <w:rPr>
                <w:color w:val="auto"/>
              </w:rPr>
              <w:t>5</w:t>
            </w:r>
          </w:p>
        </w:tc>
        <w:tc>
          <w:tcPr>
            <w:tcW w:w="1474" w:type="dxa"/>
            <w:noWrap w:val="0"/>
            <w:vAlign w:val="center"/>
          </w:tcPr>
          <w:p>
            <w:pPr>
              <w:pStyle w:val="15"/>
              <w:rPr>
                <w:color w:val="auto"/>
              </w:rPr>
            </w:pPr>
            <w:r>
              <w:rPr>
                <w:color w:val="auto"/>
              </w:rPr>
              <w:t>6</w:t>
            </w:r>
          </w:p>
        </w:tc>
        <w:tc>
          <w:tcPr>
            <w:tcW w:w="1474" w:type="dxa"/>
            <w:noWrap w:val="0"/>
            <w:vAlign w:val="center"/>
          </w:tcPr>
          <w:p>
            <w:pPr>
              <w:pStyle w:val="15"/>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w:t>
            </w:r>
          </w:p>
        </w:tc>
        <w:tc>
          <w:tcPr>
            <w:tcW w:w="3402" w:type="dxa"/>
            <w:noWrap w:val="0"/>
            <w:vAlign w:val="center"/>
          </w:tcPr>
          <w:p>
            <w:pPr>
              <w:pStyle w:val="17"/>
              <w:rPr>
                <w:color w:val="auto"/>
              </w:rPr>
            </w:pPr>
            <w:r>
              <w:rPr>
                <w:color w:val="auto"/>
              </w:rPr>
              <w:t>一、一般公共预算拨款</w:t>
            </w:r>
          </w:p>
        </w:tc>
        <w:tc>
          <w:tcPr>
            <w:tcW w:w="1474" w:type="dxa"/>
            <w:noWrap w:val="0"/>
            <w:vAlign w:val="center"/>
          </w:tcPr>
          <w:p>
            <w:pPr>
              <w:pStyle w:val="16"/>
              <w:rPr>
                <w:rFonts w:hint="default" w:eastAsia="方正书宋_GBK"/>
                <w:color w:val="auto"/>
                <w:lang w:val="en-US" w:eastAsia="zh-CN"/>
              </w:rPr>
            </w:pPr>
            <w:r>
              <w:rPr>
                <w:rFonts w:ascii="方正书宋_GBK" w:eastAsia="方正书宋_GBK"/>
                <w:b/>
                <w:color w:val="auto"/>
              </w:rPr>
              <w:t>1987.94</w:t>
            </w:r>
          </w:p>
        </w:tc>
        <w:tc>
          <w:tcPr>
            <w:tcW w:w="3402" w:type="dxa"/>
            <w:noWrap w:val="0"/>
            <w:vAlign w:val="center"/>
          </w:tcPr>
          <w:p>
            <w:pPr>
              <w:pStyle w:val="17"/>
              <w:rPr>
                <w:color w:val="auto"/>
              </w:rPr>
            </w:pPr>
            <w:r>
              <w:rPr>
                <w:color w:val="auto"/>
              </w:rPr>
              <w:t>一、一般公共服务支出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w:t>
            </w:r>
          </w:p>
        </w:tc>
        <w:tc>
          <w:tcPr>
            <w:tcW w:w="3402" w:type="dxa"/>
            <w:noWrap w:val="0"/>
            <w:vAlign w:val="center"/>
          </w:tcPr>
          <w:p>
            <w:pPr>
              <w:pStyle w:val="17"/>
              <w:rPr>
                <w:color w:val="auto"/>
              </w:rPr>
            </w:pPr>
            <w:r>
              <w:rPr>
                <w:color w:val="auto"/>
              </w:rPr>
              <w:t>二、政府性基金预算拨款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二、外交支出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w:t>
            </w:r>
          </w:p>
        </w:tc>
        <w:tc>
          <w:tcPr>
            <w:tcW w:w="3402" w:type="dxa"/>
            <w:noWrap w:val="0"/>
            <w:vAlign w:val="center"/>
          </w:tcPr>
          <w:p>
            <w:pPr>
              <w:pStyle w:val="17"/>
              <w:rPr>
                <w:color w:val="auto"/>
              </w:rPr>
            </w:pPr>
            <w:r>
              <w:rPr>
                <w:color w:val="auto"/>
              </w:rPr>
              <w:t>三、国有资本经营预算拨款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三、国防支出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四、公共安全支出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五、教育支出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六、科学技术支出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七、文化旅游体育与传媒支出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八、社会保障和就业支出</w:t>
            </w:r>
          </w:p>
        </w:tc>
        <w:tc>
          <w:tcPr>
            <w:tcW w:w="1474" w:type="dxa"/>
            <w:noWrap w:val="0"/>
            <w:vAlign w:val="center"/>
          </w:tcPr>
          <w:p>
            <w:pPr>
              <w:pStyle w:val="16"/>
              <w:rPr>
                <w:color w:val="auto"/>
              </w:rPr>
            </w:pPr>
            <w:r>
              <w:rPr>
                <w:rFonts w:hint="eastAsia"/>
                <w:color w:val="auto"/>
                <w:lang w:val="en-US" w:eastAsia="zh-CN"/>
              </w:rPr>
              <w:t>312.61</w:t>
            </w:r>
          </w:p>
        </w:tc>
        <w:tc>
          <w:tcPr>
            <w:tcW w:w="1474" w:type="dxa"/>
            <w:noWrap w:val="0"/>
            <w:vAlign w:val="center"/>
          </w:tcPr>
          <w:p>
            <w:pPr>
              <w:pStyle w:val="16"/>
              <w:rPr>
                <w:rFonts w:hint="default" w:eastAsia="方正书宋_GBK"/>
                <w:color w:val="auto"/>
                <w:lang w:val="en-US" w:eastAsia="zh-CN"/>
              </w:rPr>
            </w:pPr>
            <w:r>
              <w:rPr>
                <w:rFonts w:hint="eastAsia"/>
                <w:color w:val="auto"/>
                <w:lang w:val="en-US" w:eastAsia="zh-CN"/>
              </w:rPr>
              <w:t>312.61</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九、社会保险基金支出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十、卫生健康支出</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67.25</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67.25</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11</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十一、节能环保支出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12</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十二、城乡社区支出</w:t>
            </w:r>
          </w:p>
        </w:tc>
        <w:tc>
          <w:tcPr>
            <w:tcW w:w="1474" w:type="dxa"/>
            <w:noWrap w:val="0"/>
            <w:vAlign w:val="center"/>
          </w:tcPr>
          <w:p>
            <w:pPr>
              <w:pStyle w:val="16"/>
              <w:rPr>
                <w:color w:val="auto"/>
              </w:rPr>
            </w:pPr>
          </w:p>
        </w:tc>
        <w:tc>
          <w:tcPr>
            <w:tcW w:w="1474" w:type="dxa"/>
            <w:noWrap w:val="0"/>
            <w:vAlign w:val="center"/>
          </w:tcPr>
          <w:p>
            <w:pPr>
              <w:pStyle w:val="16"/>
              <w:rPr>
                <w:rFonts w:hint="default" w:eastAsia="方正书宋_GBK"/>
                <w:color w:val="auto"/>
                <w:lang w:val="en-US" w:eastAsia="zh-CN"/>
              </w:rPr>
            </w:pPr>
          </w:p>
        </w:tc>
        <w:tc>
          <w:tcPr>
            <w:tcW w:w="1474" w:type="dxa"/>
            <w:noWrap w:val="0"/>
            <w:vAlign w:val="center"/>
          </w:tcPr>
          <w:p>
            <w:pPr>
              <w:pStyle w:val="16"/>
              <w:rPr>
                <w:rFonts w:hint="default"/>
                <w:color w:val="auto"/>
                <w:lang w:val="en-US"/>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13</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十三、农林水支出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十四、交通运输支出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十五、资源勘探工业信息等支出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十六、商业服务业等支出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十七、金融支出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十八、援助其他地区支出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十九、自然资源海洋气象等支出</w:t>
            </w:r>
          </w:p>
        </w:tc>
        <w:tc>
          <w:tcPr>
            <w:tcW w:w="1474" w:type="dxa"/>
            <w:noWrap w:val="0"/>
            <w:vAlign w:val="center"/>
          </w:tcPr>
          <w:p>
            <w:pPr>
              <w:pStyle w:val="16"/>
              <w:rPr>
                <w:color w:val="auto"/>
              </w:rPr>
            </w:pPr>
            <w:r>
              <w:rPr>
                <w:rFonts w:hint="eastAsia" w:cs="方正书宋_GBK"/>
                <w:color w:val="auto"/>
                <w:sz w:val="21"/>
                <w:szCs w:val="24"/>
                <w:lang w:val="en-US" w:eastAsia="zh-CN" w:bidi="ar-SA"/>
              </w:rPr>
              <w:t>1509.51</w:t>
            </w:r>
          </w:p>
        </w:tc>
        <w:tc>
          <w:tcPr>
            <w:tcW w:w="1474" w:type="dxa"/>
            <w:noWrap w:val="0"/>
            <w:vAlign w:val="center"/>
          </w:tcPr>
          <w:p>
            <w:pPr>
              <w:pStyle w:val="16"/>
              <w:rPr>
                <w:rFonts w:hint="default" w:eastAsia="方正书宋_GBK"/>
                <w:color w:val="auto"/>
                <w:lang w:val="en-US" w:eastAsia="zh-CN"/>
              </w:rPr>
            </w:pPr>
            <w:r>
              <w:rPr>
                <w:rFonts w:hint="eastAsia" w:cs="方正书宋_GBK"/>
                <w:color w:val="auto"/>
                <w:sz w:val="21"/>
                <w:szCs w:val="24"/>
                <w:lang w:val="en-US" w:eastAsia="zh-CN" w:bidi="ar-SA"/>
              </w:rPr>
              <w:t>1509.51</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二十、住房保障支出</w:t>
            </w:r>
          </w:p>
        </w:tc>
        <w:tc>
          <w:tcPr>
            <w:tcW w:w="147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98.57</w:t>
            </w: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21</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二十一、粮油物资储备支出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22</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二十二、国有资本经营预算支出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23</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二十三、灾害防治及应急管理支出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二十四、预备费</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二十五、其他支出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二十六、转移性支出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二十七、债务还本支出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二十八、债务付息支出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二十九、债务发行费用支出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三十、抗疫特别国债安排的支出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31</w:t>
            </w:r>
          </w:p>
        </w:tc>
        <w:tc>
          <w:tcPr>
            <w:tcW w:w="3402" w:type="dxa"/>
            <w:noWrap w:val="0"/>
            <w:vAlign w:val="center"/>
          </w:tcPr>
          <w:p>
            <w:pPr>
              <w:pStyle w:val="19"/>
              <w:rPr>
                <w:color w:val="auto"/>
              </w:rPr>
            </w:pPr>
            <w:r>
              <w:rPr>
                <w:color w:val="auto"/>
              </w:rPr>
              <w:t>本年收入合计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1987.94</w:t>
            </w:r>
          </w:p>
        </w:tc>
        <w:tc>
          <w:tcPr>
            <w:tcW w:w="3402" w:type="dxa"/>
            <w:noWrap w:val="0"/>
            <w:vAlign w:val="center"/>
          </w:tcPr>
          <w:p>
            <w:pPr>
              <w:pStyle w:val="19"/>
              <w:rPr>
                <w:color w:val="auto"/>
              </w:rPr>
            </w:pPr>
            <w:r>
              <w:rPr>
                <w:color w:val="auto"/>
              </w:rPr>
              <w:t>本年支出合计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1987.94</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1987.94</w:t>
            </w:r>
          </w:p>
        </w:tc>
        <w:tc>
          <w:tcPr>
            <w:tcW w:w="1474" w:type="dxa"/>
            <w:noWrap w:val="0"/>
            <w:vAlign w:val="center"/>
          </w:tcPr>
          <w:p>
            <w:pPr>
              <w:pStyle w:val="20"/>
              <w:rPr>
                <w:rFonts w:hint="default" w:eastAsia="方正书宋_GBK"/>
                <w:color w:val="auto"/>
                <w:lang w:val="en-US" w:eastAsia="zh-CN"/>
              </w:rPr>
            </w:pPr>
          </w:p>
        </w:tc>
        <w:tc>
          <w:tcPr>
            <w:tcW w:w="1474"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32</w:t>
            </w:r>
          </w:p>
        </w:tc>
        <w:tc>
          <w:tcPr>
            <w:tcW w:w="3402" w:type="dxa"/>
            <w:noWrap w:val="0"/>
            <w:vAlign w:val="center"/>
          </w:tcPr>
          <w:p>
            <w:pPr>
              <w:pStyle w:val="17"/>
              <w:rPr>
                <w:color w:val="auto"/>
              </w:rPr>
            </w:pPr>
            <w:r>
              <w:rPr>
                <w:color w:val="auto"/>
              </w:rPr>
              <w:t>年初财政拨款结转和结余</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年末财政拨款结转和结余</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33</w:t>
            </w:r>
          </w:p>
        </w:tc>
        <w:tc>
          <w:tcPr>
            <w:tcW w:w="3402" w:type="dxa"/>
            <w:noWrap w:val="0"/>
            <w:vAlign w:val="center"/>
          </w:tcPr>
          <w:p>
            <w:pPr>
              <w:pStyle w:val="17"/>
              <w:rPr>
                <w:color w:val="auto"/>
              </w:rPr>
            </w:pPr>
            <w:r>
              <w:rPr>
                <w:color w:val="auto"/>
              </w:rPr>
              <w:t>一、一般公共预算拨款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34</w:t>
            </w:r>
          </w:p>
        </w:tc>
        <w:tc>
          <w:tcPr>
            <w:tcW w:w="3402" w:type="dxa"/>
            <w:noWrap w:val="0"/>
            <w:vAlign w:val="center"/>
          </w:tcPr>
          <w:p>
            <w:pPr>
              <w:pStyle w:val="17"/>
              <w:rPr>
                <w:color w:val="auto"/>
              </w:rPr>
            </w:pPr>
            <w:r>
              <w:rPr>
                <w:color w:val="auto"/>
              </w:rPr>
              <w:t>二、政府性基金预算拨款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35</w:t>
            </w:r>
          </w:p>
        </w:tc>
        <w:tc>
          <w:tcPr>
            <w:tcW w:w="3402" w:type="dxa"/>
            <w:noWrap w:val="0"/>
            <w:vAlign w:val="center"/>
          </w:tcPr>
          <w:p>
            <w:pPr>
              <w:pStyle w:val="17"/>
              <w:rPr>
                <w:color w:val="auto"/>
              </w:rPr>
            </w:pPr>
            <w:r>
              <w:rPr>
                <w:color w:val="auto"/>
              </w:rPr>
              <w:t>三、国有资本经营预算拨款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36</w:t>
            </w:r>
          </w:p>
        </w:tc>
        <w:tc>
          <w:tcPr>
            <w:tcW w:w="3402" w:type="dxa"/>
            <w:noWrap w:val="0"/>
            <w:vAlign w:val="center"/>
          </w:tcPr>
          <w:p>
            <w:pPr>
              <w:pStyle w:val="19"/>
              <w:rPr>
                <w:color w:val="auto"/>
              </w:rPr>
            </w:pPr>
            <w:r>
              <w:rPr>
                <w:color w:val="auto"/>
              </w:rPr>
              <w:t>收入总计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1987.94</w:t>
            </w:r>
          </w:p>
        </w:tc>
        <w:tc>
          <w:tcPr>
            <w:tcW w:w="3402" w:type="dxa"/>
            <w:noWrap w:val="0"/>
            <w:vAlign w:val="center"/>
          </w:tcPr>
          <w:p>
            <w:pPr>
              <w:pStyle w:val="19"/>
              <w:rPr>
                <w:color w:val="auto"/>
              </w:rPr>
            </w:pPr>
            <w:r>
              <w:rPr>
                <w:color w:val="auto"/>
              </w:rPr>
              <w:t>支出总计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1987.94</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1987.94</w:t>
            </w:r>
          </w:p>
        </w:tc>
        <w:tc>
          <w:tcPr>
            <w:tcW w:w="1474" w:type="dxa"/>
            <w:noWrap w:val="0"/>
            <w:vAlign w:val="center"/>
          </w:tcPr>
          <w:p>
            <w:pPr>
              <w:pStyle w:val="20"/>
              <w:rPr>
                <w:rFonts w:hint="default"/>
                <w:color w:val="auto"/>
                <w:lang w:val="en-US"/>
              </w:rPr>
            </w:pPr>
          </w:p>
        </w:tc>
        <w:tc>
          <w:tcPr>
            <w:tcW w:w="1474" w:type="dxa"/>
            <w:noWrap w:val="0"/>
            <w:vAlign w:val="center"/>
          </w:tcPr>
          <w:p>
            <w:pPr>
              <w:pStyle w:val="20"/>
              <w:rPr>
                <w:color w:val="auto"/>
              </w:rPr>
            </w:pPr>
          </w:p>
        </w:tc>
      </w:tr>
    </w:tbl>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w:t>
            </w:r>
            <w:r>
              <w:rPr>
                <w:rFonts w:hint="eastAsia" w:eastAsia="宋体"/>
                <w:color w:val="auto"/>
                <w:lang w:val="en-US" w:eastAsia="zh-CN"/>
              </w:rPr>
              <w:t>5</w:t>
            </w:r>
            <w:r>
              <w:rPr>
                <w:color w:val="auto"/>
              </w:rPr>
              <w:t>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w:t>
            </w:r>
            <w:r>
              <w:rPr>
                <w:rFonts w:hint="eastAsia"/>
                <w:color w:val="auto"/>
                <w:lang w:val="en-US" w:eastAsia="zh-CN"/>
              </w:rPr>
              <w:t>供养人员</w:t>
            </w:r>
            <w:r>
              <w:rPr>
                <w:color w:val="auto"/>
              </w:rPr>
              <w:t>)</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color w:val="auto"/>
              </w:rPr>
            </w:pP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pStyle w:val="20"/>
              <w:rPr>
                <w:color w:val="auto"/>
              </w:rPr>
            </w:pPr>
            <w:r>
              <w:rPr>
                <w:rFonts w:hint="eastAsia"/>
                <w:color w:val="auto"/>
                <w:lang w:val="en-US" w:eastAsia="zh-CN"/>
              </w:rPr>
              <w:t>1987.94</w:t>
            </w:r>
          </w:p>
        </w:tc>
        <w:tc>
          <w:tcPr>
            <w:tcW w:w="2551" w:type="dxa"/>
            <w:noWrap w:val="0"/>
            <w:vAlign w:val="center"/>
          </w:tcPr>
          <w:p>
            <w:pPr>
              <w:pStyle w:val="20"/>
              <w:rPr>
                <w:color w:val="auto"/>
              </w:rPr>
            </w:pPr>
            <w:r>
              <w:rPr>
                <w:rFonts w:hint="eastAsia"/>
                <w:color w:val="auto"/>
                <w:lang w:val="en-US" w:eastAsia="zh-CN"/>
              </w:rPr>
              <w:t>1987.94</w:t>
            </w:r>
          </w:p>
        </w:tc>
        <w:tc>
          <w:tcPr>
            <w:tcW w:w="2551"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2551" w:type="dxa"/>
            <w:noWrap w:val="0"/>
            <w:vAlign w:val="center"/>
          </w:tcPr>
          <w:p>
            <w:pPr>
              <w:pStyle w:val="16"/>
              <w:rPr>
                <w:color w:val="auto"/>
              </w:rPr>
            </w:pPr>
            <w:r>
              <w:rPr>
                <w:rFonts w:hint="eastAsia"/>
                <w:color w:val="auto"/>
                <w:lang w:val="en-US" w:eastAsia="zh-CN"/>
              </w:rPr>
              <w:t>312.61</w:t>
            </w:r>
          </w:p>
        </w:tc>
        <w:tc>
          <w:tcPr>
            <w:tcW w:w="2551" w:type="dxa"/>
            <w:noWrap w:val="0"/>
            <w:vAlign w:val="center"/>
          </w:tcPr>
          <w:p>
            <w:pPr>
              <w:pStyle w:val="16"/>
              <w:rPr>
                <w:color w:val="auto"/>
              </w:rPr>
            </w:pPr>
            <w:r>
              <w:rPr>
                <w:rFonts w:hint="eastAsia"/>
                <w:color w:val="auto"/>
                <w:lang w:val="en-US" w:eastAsia="zh-CN"/>
              </w:rPr>
              <w:t>312.61</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2551" w:type="dxa"/>
            <w:noWrap w:val="0"/>
            <w:vAlign w:val="center"/>
          </w:tcPr>
          <w:p>
            <w:pPr>
              <w:pStyle w:val="16"/>
              <w:rPr>
                <w:color w:val="auto"/>
              </w:rPr>
            </w:pPr>
            <w:r>
              <w:rPr>
                <w:rFonts w:hint="eastAsia"/>
                <w:color w:val="auto"/>
                <w:lang w:val="en-US" w:eastAsia="zh-CN"/>
              </w:rPr>
              <w:t>65.17</w:t>
            </w:r>
          </w:p>
        </w:tc>
        <w:tc>
          <w:tcPr>
            <w:tcW w:w="2551" w:type="dxa"/>
            <w:noWrap w:val="0"/>
            <w:vAlign w:val="center"/>
          </w:tcPr>
          <w:p>
            <w:pPr>
              <w:pStyle w:val="16"/>
              <w:rPr>
                <w:color w:val="auto"/>
              </w:rPr>
            </w:pPr>
            <w:r>
              <w:rPr>
                <w:rFonts w:hint="eastAsia"/>
                <w:color w:val="auto"/>
                <w:lang w:val="en-US" w:eastAsia="zh-CN"/>
              </w:rPr>
              <w:t>65.17</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2551" w:type="dxa"/>
            <w:noWrap w:val="0"/>
            <w:vAlign w:val="center"/>
          </w:tcPr>
          <w:p>
            <w:pPr>
              <w:pStyle w:val="16"/>
              <w:rPr>
                <w:color w:val="auto"/>
              </w:rPr>
            </w:pPr>
            <w:r>
              <w:rPr>
                <w:rFonts w:hint="eastAsia"/>
                <w:color w:val="auto"/>
                <w:lang w:val="en-US" w:eastAsia="zh-CN"/>
              </w:rPr>
              <w:t>164.96</w:t>
            </w:r>
          </w:p>
        </w:tc>
        <w:tc>
          <w:tcPr>
            <w:tcW w:w="2551" w:type="dxa"/>
            <w:noWrap w:val="0"/>
            <w:vAlign w:val="center"/>
          </w:tcPr>
          <w:p>
            <w:pPr>
              <w:pStyle w:val="16"/>
              <w:rPr>
                <w:color w:val="auto"/>
              </w:rPr>
            </w:pPr>
            <w:r>
              <w:rPr>
                <w:rFonts w:hint="eastAsia"/>
                <w:color w:val="auto"/>
                <w:lang w:val="en-US" w:eastAsia="zh-CN"/>
              </w:rPr>
              <w:t>164.96</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2551" w:type="dxa"/>
            <w:noWrap w:val="0"/>
            <w:vAlign w:val="center"/>
          </w:tcPr>
          <w:p>
            <w:pPr>
              <w:pStyle w:val="16"/>
              <w:rPr>
                <w:color w:val="auto"/>
              </w:rPr>
            </w:pPr>
            <w:r>
              <w:rPr>
                <w:rFonts w:hint="eastAsia"/>
                <w:color w:val="auto"/>
                <w:lang w:val="en-US" w:eastAsia="zh-CN"/>
              </w:rPr>
              <w:t>82.48</w:t>
            </w:r>
          </w:p>
        </w:tc>
        <w:tc>
          <w:tcPr>
            <w:tcW w:w="2551" w:type="dxa"/>
            <w:noWrap w:val="0"/>
            <w:vAlign w:val="center"/>
          </w:tcPr>
          <w:p>
            <w:pPr>
              <w:pStyle w:val="16"/>
              <w:rPr>
                <w:color w:val="auto"/>
              </w:rPr>
            </w:pPr>
            <w:r>
              <w:rPr>
                <w:rFonts w:hint="eastAsia"/>
                <w:color w:val="auto"/>
                <w:lang w:val="en-US" w:eastAsia="zh-CN"/>
              </w:rPr>
              <w:t>82.48</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2551" w:type="dxa"/>
            <w:noWrap w:val="0"/>
            <w:vAlign w:val="center"/>
          </w:tcPr>
          <w:p>
            <w:pPr>
              <w:pStyle w:val="16"/>
              <w:rPr>
                <w:color w:val="auto"/>
              </w:rPr>
            </w:pPr>
            <w:r>
              <w:rPr>
                <w:rFonts w:hint="eastAsia"/>
                <w:color w:val="auto"/>
                <w:lang w:val="en-US" w:eastAsia="zh-CN"/>
              </w:rPr>
              <w:t>67.25</w:t>
            </w:r>
          </w:p>
        </w:tc>
        <w:tc>
          <w:tcPr>
            <w:tcW w:w="2551" w:type="dxa"/>
            <w:noWrap w:val="0"/>
            <w:vAlign w:val="center"/>
          </w:tcPr>
          <w:p>
            <w:pPr>
              <w:pStyle w:val="16"/>
              <w:rPr>
                <w:color w:val="auto"/>
              </w:rPr>
            </w:pPr>
            <w:r>
              <w:rPr>
                <w:rFonts w:hint="eastAsia"/>
                <w:color w:val="auto"/>
                <w:lang w:val="en-US" w:eastAsia="zh-CN"/>
              </w:rPr>
              <w:t>67.25</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2551" w:type="dxa"/>
            <w:noWrap w:val="0"/>
            <w:vAlign w:val="center"/>
          </w:tcPr>
          <w:p>
            <w:pPr>
              <w:pStyle w:val="16"/>
              <w:rPr>
                <w:color w:val="auto"/>
              </w:rPr>
            </w:pPr>
            <w:r>
              <w:rPr>
                <w:rFonts w:hint="eastAsia"/>
                <w:color w:val="auto"/>
                <w:lang w:val="en-US" w:eastAsia="zh-CN"/>
              </w:rPr>
              <w:t>67.25</w:t>
            </w:r>
          </w:p>
        </w:tc>
        <w:tc>
          <w:tcPr>
            <w:tcW w:w="2551" w:type="dxa"/>
            <w:noWrap w:val="0"/>
            <w:vAlign w:val="center"/>
          </w:tcPr>
          <w:p>
            <w:pPr>
              <w:pStyle w:val="16"/>
              <w:rPr>
                <w:color w:val="auto"/>
              </w:rPr>
            </w:pPr>
            <w:r>
              <w:rPr>
                <w:rFonts w:hint="eastAsia"/>
                <w:color w:val="auto"/>
                <w:lang w:val="en-US" w:eastAsia="zh-CN"/>
              </w:rPr>
              <w:t>67.25</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2551" w:type="dxa"/>
            <w:noWrap w:val="0"/>
            <w:vAlign w:val="center"/>
          </w:tcPr>
          <w:p>
            <w:pPr>
              <w:pStyle w:val="20"/>
              <w:rPr>
                <w:color w:val="auto"/>
              </w:rPr>
            </w:pPr>
          </w:p>
        </w:tc>
        <w:tc>
          <w:tcPr>
            <w:tcW w:w="2551" w:type="dxa"/>
            <w:noWrap w:val="0"/>
            <w:vAlign w:val="center"/>
          </w:tcPr>
          <w:p>
            <w:pPr>
              <w:pStyle w:val="20"/>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16</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城乡社区规划与管理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17</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2120201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城乡社区规划与管理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18</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21203</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城乡社区公共设施</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19</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2120399</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20</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征地和拆迁补偿支出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23</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21210</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24</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2121002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25</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农林水支出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26</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农业农村</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27</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2130135</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28</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林业和草原</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29</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2130205</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森林资源培育</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2130206</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技术推广与转化</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31</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2130209</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森林生态效益补偿</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32</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2130234</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林业草原防灾减灾</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33</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220</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1509.51</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1509.51</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34</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22001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自然资源事务</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行政运行</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一般行政管理事务</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自然资源规划及管理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38</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自然资源利用与保护</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39</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2200113</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40</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41</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2200150</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事业运行</w:t>
            </w:r>
          </w:p>
        </w:tc>
        <w:tc>
          <w:tcPr>
            <w:tcW w:w="255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1509.51</w:t>
            </w:r>
          </w:p>
        </w:tc>
        <w:tc>
          <w:tcPr>
            <w:tcW w:w="255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1509.51</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住房保障支出</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98.57</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98.57</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住房改革支出</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98.57</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98.57</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住房公积金</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98.57</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98.57</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自然灾害防治</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地质灾害防治</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19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5"/>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w:t>
            </w:r>
            <w:r>
              <w:rPr>
                <w:rFonts w:hint="eastAsia" w:eastAsia="宋体"/>
                <w:color w:val="auto"/>
                <w:lang w:val="en-US" w:eastAsia="zh-CN"/>
              </w:rPr>
              <w:t>5</w:t>
            </w:r>
            <w:r>
              <w:rPr>
                <w:color w:val="auto"/>
              </w:rPr>
              <w:t>保定市自然资源和规划局满城区分局</w:t>
            </w:r>
            <w:r>
              <w:rPr>
                <w:rFonts w:hint="eastAsia" w:eastAsia="宋体"/>
                <w:color w:val="auto"/>
                <w:lang w:val="en-US" w:eastAsia="zh-CN"/>
              </w:rPr>
              <w:t xml:space="preserve">              </w:t>
            </w:r>
          </w:p>
          <w:p>
            <w:pPr>
              <w:pStyle w:val="14"/>
              <w:ind w:left="6000" w:hanging="6000" w:hangingChars="2500"/>
              <w:rPr>
                <w:color w:val="auto"/>
              </w:rPr>
            </w:pPr>
            <w:r>
              <w:rPr>
                <w:rFonts w:hint="eastAsia" w:ascii="方正小标宋_GBK" w:eastAsia="方正小标宋_GBK"/>
                <w:color w:val="auto"/>
                <w:sz w:val="24"/>
                <w:lang w:val="en-US" w:eastAsia="zh-CN"/>
              </w:rPr>
              <w:t xml:space="preserve"> </w:t>
            </w:r>
            <w:r>
              <w:rPr>
                <w:color w:val="auto"/>
              </w:rPr>
              <w:t>(</w:t>
            </w:r>
            <w:r>
              <w:rPr>
                <w:rFonts w:hint="eastAsia"/>
                <w:color w:val="auto"/>
                <w:lang w:val="en-US" w:eastAsia="zh-CN"/>
              </w:rPr>
              <w:t>供养人员</w:t>
            </w:r>
            <w:r>
              <w:rPr>
                <w:color w:val="auto"/>
              </w:rPr>
              <w:t>)</w:t>
            </w:r>
            <w:r>
              <w:rPr>
                <w:rFonts w:hint="eastAsia"/>
                <w:color w:val="auto"/>
                <w:lang w:val="en-US" w:eastAsia="zh-CN"/>
              </w:rPr>
              <w:t xml:space="preserve">                             </w:t>
            </w:r>
            <w:r>
              <w:rPr>
                <w:color w:val="auto"/>
              </w:rPr>
              <w:t>预算年度202</w:t>
            </w:r>
            <w:r>
              <w:rPr>
                <w:rFonts w:hint="eastAsia"/>
                <w:color w:val="auto"/>
                <w:lang w:val="en-US" w:eastAsia="zh-CN"/>
              </w:rPr>
              <w:t>1</w:t>
            </w:r>
          </w:p>
        </w:tc>
        <w:tc>
          <w:tcPr>
            <w:tcW w:w="2551" w:type="dxa"/>
            <w:tcBorders>
              <w:top w:val="single" w:color="FFFFFF" w:sz="6" w:space="0"/>
              <w:left w:val="single" w:color="FFFFFF" w:sz="6" w:space="0"/>
              <w:right w:val="single" w:color="FFFFFF" w:sz="6" w:space="0"/>
            </w:tcBorders>
            <w:noWrap w:val="0"/>
            <w:vAlign w:val="center"/>
          </w:tcPr>
          <w:p>
            <w:pPr>
              <w:pStyle w:val="13"/>
              <w:rPr>
                <w:color w:val="auto"/>
              </w:rPr>
            </w:pPr>
          </w:p>
        </w:tc>
        <w:tc>
          <w:tcPr>
            <w:tcW w:w="5103"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支出部门经济分类科目</w:t>
            </w:r>
          </w:p>
        </w:tc>
        <w:tc>
          <w:tcPr>
            <w:tcW w:w="7654" w:type="dxa"/>
            <w:gridSpan w:val="3"/>
            <w:noWrap w:val="0"/>
            <w:vAlign w:val="center"/>
          </w:tcPr>
          <w:p>
            <w:pPr>
              <w:pStyle w:val="15"/>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noWrap w:val="0"/>
            <w:vAlign w:val="center"/>
          </w:tcPr>
          <w:p>
            <w:pPr>
              <w:pStyle w:val="15"/>
              <w:rPr>
                <w:color w:val="auto"/>
              </w:rPr>
            </w:pPr>
            <w:r>
              <w:rPr>
                <w:color w:val="auto"/>
              </w:rPr>
              <w:t>合计</w:t>
            </w:r>
          </w:p>
        </w:tc>
        <w:tc>
          <w:tcPr>
            <w:tcW w:w="2551" w:type="dxa"/>
            <w:noWrap w:val="0"/>
            <w:vAlign w:val="center"/>
          </w:tcPr>
          <w:p>
            <w:pPr>
              <w:pStyle w:val="15"/>
              <w:rPr>
                <w:color w:val="auto"/>
              </w:rPr>
            </w:pPr>
            <w:r>
              <w:rPr>
                <w:color w:val="auto"/>
              </w:rPr>
              <w:t>人员经费</w:t>
            </w:r>
          </w:p>
        </w:tc>
        <w:tc>
          <w:tcPr>
            <w:tcW w:w="2552" w:type="dxa"/>
            <w:noWrap w:val="0"/>
            <w:vAlign w:val="center"/>
          </w:tcPr>
          <w:p>
            <w:pPr>
              <w:pStyle w:val="15"/>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2"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rFonts w:ascii="方正书宋_GBK" w:hAnsi="Times New Roman" w:eastAsia="方正书宋_GBK" w:cs="Times New Roman"/>
                <w:b/>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b/>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spacing w:line="300" w:lineRule="exact"/>
              <w:jc w:val="right"/>
              <w:rPr>
                <w:rFonts w:hint="default" w:ascii="方正书宋_GBK" w:hAnsi="Times New Roman" w:eastAsia="方正书宋_GBK" w:cs="Times New Roman"/>
                <w:b/>
                <w:color w:val="auto"/>
                <w:sz w:val="24"/>
                <w:szCs w:val="24"/>
                <w:lang w:val="en-US" w:eastAsia="zh-CN" w:bidi="ar-SA"/>
              </w:rPr>
            </w:pPr>
            <w:r>
              <w:rPr>
                <w:rFonts w:ascii="方正书宋_GBK" w:eastAsia="方正书宋_GBK"/>
                <w:b/>
                <w:color w:val="auto"/>
              </w:rPr>
              <w:t>1987.94</w:t>
            </w:r>
          </w:p>
        </w:tc>
        <w:tc>
          <w:tcPr>
            <w:tcW w:w="2551" w:type="dxa"/>
            <w:noWrap w:val="0"/>
            <w:vAlign w:val="center"/>
          </w:tcPr>
          <w:p>
            <w:pPr>
              <w:spacing w:line="300" w:lineRule="exact"/>
              <w:jc w:val="right"/>
              <w:rPr>
                <w:rFonts w:hint="default" w:ascii="方正书宋_GBK" w:hAnsi="Times New Roman" w:eastAsia="方正书宋_GBK" w:cs="Times New Roman"/>
                <w:b/>
                <w:color w:val="auto"/>
                <w:sz w:val="24"/>
                <w:szCs w:val="24"/>
                <w:lang w:val="en-US" w:eastAsia="zh-CN" w:bidi="ar-SA"/>
              </w:rPr>
            </w:pPr>
            <w:r>
              <w:rPr>
                <w:rFonts w:ascii="方正书宋_GBK" w:eastAsia="方正书宋_GBK"/>
                <w:color w:val="auto"/>
              </w:rPr>
              <w:t>1974.19</w:t>
            </w:r>
          </w:p>
        </w:tc>
        <w:tc>
          <w:tcPr>
            <w:tcW w:w="2552" w:type="dxa"/>
            <w:noWrap w:val="0"/>
            <w:vAlign w:val="center"/>
          </w:tcPr>
          <w:p>
            <w:pPr>
              <w:pStyle w:val="20"/>
              <w:rPr>
                <w:rFonts w:hint="default" w:eastAsia="方正书宋_GBK"/>
                <w:color w:val="auto"/>
                <w:lang w:val="en-US" w:eastAsia="zh-CN"/>
              </w:rPr>
            </w:pPr>
            <w:r>
              <w:rPr>
                <w:rFonts w:ascii="方正书宋_GBK" w:eastAsia="方正书宋_GBK"/>
                <w:color w:val="auto"/>
              </w:rP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工资福利支出</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1721.56</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1721.56</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基本工资</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540.06</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540.06</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30102</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津贴补贴</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54.74</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54.74</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30103</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奖金</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45.37</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45.37</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30107</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绩效工资</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445.58</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445.58</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30108</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机关事业单位基本养老保险缴费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164.96</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164.96</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职业年金缴费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82.48</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82.48</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30110</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城镇职工基本医疗保险缴费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65.99</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65.99</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30112</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其他社会保障缴费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6.42</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6.42</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30113</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住房公积金</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98.57</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98.57</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其他工资福利支出</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217.39</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217.39</w:t>
            </w: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商品和服务支出</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hint="eastAsia"/>
                <w:color w:val="auto"/>
                <w:lang w:val="en-US" w:eastAsia="zh-CN"/>
              </w:rPr>
              <w:t>13.74</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rFonts w:hint="default" w:eastAsia="方正书宋_GBK"/>
                <w:color w:val="auto"/>
                <w:lang w:val="en-US" w:eastAsia="zh-CN"/>
              </w:rPr>
            </w:pPr>
            <w:r>
              <w:rPr>
                <w:rFonts w:hint="eastAsia"/>
                <w:color w:val="auto"/>
                <w:lang w:val="en-US" w:eastAsia="zh-CN"/>
              </w:rPr>
              <w:t>13.74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办公费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30205</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水费</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30206</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电费</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30207</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邮电费</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30208</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取暖费</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30211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差旅费</w:t>
            </w: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20</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30217</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公务接待费</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0.2</w:t>
            </w: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21</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30229</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福利费</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13.52</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13.52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30231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公务用车运行维护费</w:t>
            </w:r>
          </w:p>
        </w:tc>
        <w:tc>
          <w:tcPr>
            <w:tcW w:w="0" w:type="auto"/>
            <w:noWrap w:val="0"/>
            <w:vAlign w:val="top"/>
          </w:tcPr>
          <w:p>
            <w:pPr>
              <w:pStyle w:val="16"/>
              <w:rPr>
                <w:rFonts w:ascii="方正书宋_GBK" w:hAnsi="方正书宋_GBK" w:eastAsia="方正书宋_GBK" w:cs="方正书宋_GBK"/>
                <w:color w:val="auto"/>
                <w:sz w:val="21"/>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30239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其他交通费用</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其他商品和服务支出</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0.02</w:t>
            </w: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对个人和家庭的补助</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252.64</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252.63</w:t>
            </w: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30302</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退休费</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65.18</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65.17</w:t>
            </w: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30305</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生活补助</w:t>
            </w:r>
          </w:p>
        </w:tc>
        <w:tc>
          <w:tcPr>
            <w:tcW w:w="0" w:type="auto"/>
            <w:noWrap w:val="0"/>
            <w:vAlign w:val="center"/>
          </w:tcPr>
          <w:p>
            <w:pPr>
              <w:spacing w:line="300" w:lineRule="exact"/>
              <w:jc w:val="right"/>
              <w:rPr>
                <w:rFonts w:hint="eastAsia" w:ascii="方正书宋_GBK" w:hAnsi="Times New Roman" w:eastAsia="方正书宋_GBK" w:cs="Times New Roman"/>
                <w:color w:val="auto"/>
                <w:sz w:val="24"/>
                <w:szCs w:val="24"/>
                <w:lang w:val="en-US" w:eastAsia="uk-UA" w:bidi="ar-SA"/>
              </w:rPr>
            </w:pPr>
            <w:r>
              <w:rPr>
                <w:rFonts w:hint="eastAsia" w:ascii="方正书宋_GBK" w:eastAsia="方正书宋_GBK" w:cs="Times New Roman"/>
                <w:color w:val="auto"/>
                <w:sz w:val="24"/>
                <w:szCs w:val="24"/>
                <w:lang w:val="en-US" w:eastAsia="zh-CN" w:bidi="ar-SA"/>
              </w:rPr>
              <w:t>4</w:t>
            </w:r>
          </w:p>
        </w:tc>
        <w:tc>
          <w:tcPr>
            <w:tcW w:w="0" w:type="auto"/>
            <w:noWrap w:val="0"/>
            <w:vAlign w:val="center"/>
          </w:tcPr>
          <w:p>
            <w:pPr>
              <w:spacing w:line="300" w:lineRule="exact"/>
              <w:jc w:val="right"/>
              <w:rPr>
                <w:rFonts w:hint="eastAsia"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4</w:t>
            </w:r>
          </w:p>
        </w:tc>
        <w:tc>
          <w:tcPr>
            <w:tcW w:w="0" w:type="auto"/>
            <w:noWrap w:val="0"/>
            <w:vAlign w:val="top"/>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奖励金</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2.88</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2.88</w:t>
            </w: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其他对个人和家庭的补助</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180.58</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180.58</w:t>
            </w: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jc w:val="left"/>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color w:val="auto"/>
              </w:rPr>
            </w:pPr>
          </w:p>
        </w:tc>
      </w:tr>
    </w:tbl>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w:t>
            </w:r>
            <w:r>
              <w:rPr>
                <w:rFonts w:hint="eastAsia" w:eastAsia="宋体"/>
                <w:color w:val="auto"/>
                <w:lang w:val="en-US" w:eastAsia="zh-CN"/>
              </w:rPr>
              <w:t>5</w:t>
            </w:r>
            <w:r>
              <w:rPr>
                <w:color w:val="auto"/>
              </w:rPr>
              <w:t>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w:t>
            </w:r>
            <w:r>
              <w:rPr>
                <w:rFonts w:hint="eastAsia"/>
                <w:color w:val="auto"/>
                <w:lang w:val="en-US" w:eastAsia="zh-CN"/>
              </w:rPr>
              <w:t>供养人员</w:t>
            </w:r>
            <w:r>
              <w:rPr>
                <w:color w:val="auto"/>
              </w:rPr>
              <w:t>)</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jc w:val="left"/>
              <w:rPr>
                <w:color w:val="auto"/>
              </w:rPr>
            </w:pPr>
          </w:p>
        </w:tc>
        <w:tc>
          <w:tcPr>
            <w:tcW w:w="4535" w:type="dxa"/>
            <w:noWrap w:val="0"/>
            <w:vAlign w:val="center"/>
          </w:tcPr>
          <w:p>
            <w:pPr>
              <w:keepNext w:val="0"/>
              <w:keepLines w:val="0"/>
              <w:widowControl/>
              <w:suppressLineNumbers w:val="0"/>
              <w:jc w:val="left"/>
              <w:textAlignment w:val="center"/>
              <w:rPr>
                <w:color w:val="auto"/>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color w:val="auto"/>
              </w:rPr>
            </w:pPr>
          </w:p>
        </w:tc>
        <w:tc>
          <w:tcPr>
            <w:tcW w:w="4535" w:type="dxa"/>
            <w:noWrap w:val="0"/>
            <w:vAlign w:val="center"/>
          </w:tcPr>
          <w:p>
            <w:pPr>
              <w:keepNext w:val="0"/>
              <w:keepLines w:val="0"/>
              <w:widowControl/>
              <w:suppressLineNumbers w:val="0"/>
              <w:jc w:val="left"/>
              <w:textAlignment w:val="center"/>
              <w:rPr>
                <w:color w:val="auto"/>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eastAsia" w:ascii="方正小标宋_GBK" w:eastAsia="方正小标宋_GBK"/>
                <w:color w:val="auto"/>
                <w:sz w:val="24"/>
                <w:lang w:val="en-US" w:eastAsia="zh-CN"/>
              </w:rPr>
            </w:pPr>
            <w:r>
              <w:rPr>
                <w:color w:val="auto"/>
              </w:rPr>
              <w:t>32400</w:t>
            </w:r>
            <w:r>
              <w:rPr>
                <w:rFonts w:hint="eastAsia" w:eastAsia="宋体"/>
                <w:color w:val="auto"/>
                <w:lang w:val="en-US" w:eastAsia="zh-CN"/>
              </w:rPr>
              <w:t>5</w:t>
            </w:r>
            <w:r>
              <w:rPr>
                <w:color w:val="auto"/>
              </w:rPr>
              <w:t>保定市自然资源和规划局满城区分局</w:t>
            </w:r>
            <w:r>
              <w:rPr>
                <w:rFonts w:hint="eastAsia" w:eastAsia="宋体"/>
                <w:color w:val="auto"/>
                <w:lang w:val="en-US" w:eastAsia="zh-CN"/>
              </w:rPr>
              <w:t xml:space="preserve">              </w:t>
            </w:r>
          </w:p>
          <w:p>
            <w:pPr>
              <w:pStyle w:val="14"/>
              <w:rPr>
                <w:color w:val="auto"/>
              </w:rPr>
            </w:pPr>
            <w:r>
              <w:rPr>
                <w:rFonts w:hint="eastAsia" w:ascii="方正小标宋_GBK" w:eastAsia="方正小标宋_GBK"/>
                <w:color w:val="auto"/>
                <w:sz w:val="24"/>
                <w:lang w:val="en-US" w:eastAsia="zh-CN"/>
              </w:rPr>
              <w:t xml:space="preserve"> </w:t>
            </w:r>
            <w:r>
              <w:rPr>
                <w:color w:val="auto"/>
              </w:rPr>
              <w:t>(</w:t>
            </w:r>
            <w:r>
              <w:rPr>
                <w:rFonts w:hint="eastAsia"/>
                <w:color w:val="auto"/>
                <w:lang w:val="en-US" w:eastAsia="zh-CN"/>
              </w:rPr>
              <w:t>供养人员</w:t>
            </w:r>
            <w:r>
              <w:rPr>
                <w:color w:val="auto"/>
              </w:rPr>
              <w:t>)</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pStyle w:val="17"/>
              <w:rPr>
                <w:color w:val="auto"/>
              </w:rPr>
            </w:pPr>
          </w:p>
        </w:tc>
        <w:tc>
          <w:tcPr>
            <w:tcW w:w="4535" w:type="dxa"/>
            <w:noWrap w:val="0"/>
            <w:vAlign w:val="center"/>
          </w:tcPr>
          <w:p>
            <w:pPr>
              <w:pStyle w:val="17"/>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eastAsia="方正书宋_GBK"/>
                <w:color w:val="auto"/>
              </w:rPr>
            </w:pPr>
          </w:p>
        </w:tc>
        <w:tc>
          <w:tcPr>
            <w:tcW w:w="2551" w:type="dxa"/>
            <w:noWrap w:val="0"/>
            <w:vAlign w:val="center"/>
          </w:tcPr>
          <w:p>
            <w:pPr>
              <w:pStyle w:val="16"/>
              <w:rPr>
                <w:rFonts w:ascii="方正书宋_GBK" w:eastAsia="方正书宋_GBK"/>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1"/>
        <w:rPr>
          <w:rFonts w:hint="eastAsia" w:hAnsi="宋体"/>
          <w:color w:val="auto"/>
          <w:sz w:val="32"/>
        </w:rPr>
      </w:pPr>
      <w:r>
        <w:rPr>
          <w:rFonts w:hint="eastAsia" w:ascii="方正小标宋_GBK" w:eastAsia="方正小标宋_GBK"/>
          <w:color w:val="auto"/>
          <w:sz w:val="32"/>
          <w:lang w:val="en-US" w:eastAsia="zh-CN"/>
        </w:rPr>
        <w:t>单位</w:t>
      </w:r>
      <w:r>
        <w:rPr>
          <w:rFonts w:hint="cs" w:ascii="方正小标宋_GBK" w:eastAsia="方正小标宋_GBK"/>
          <w:color w:val="auto"/>
          <w:sz w:val="32"/>
          <w:cs/>
        </w:rPr>
        <w:t>“</w:t>
      </w:r>
      <w:r>
        <w:rPr>
          <w:rFonts w:hint="eastAsia" w:ascii="方正小标宋_GBK" w:eastAsia="方正小标宋_GBK"/>
          <w:color w:val="auto"/>
          <w:sz w:val="32"/>
        </w:rPr>
        <w:t>三公</w:t>
      </w:r>
      <w:r>
        <w:rPr>
          <w:rFonts w:hint="cs" w:ascii="方正小标宋_GBK" w:eastAsia="方正小标宋_GBK"/>
          <w:color w:val="auto"/>
          <w:sz w:val="32"/>
          <w:cs/>
        </w:rPr>
        <w:t>”</w:t>
      </w:r>
      <w:r>
        <w:rPr>
          <w:rFonts w:hint="eastAsia" w:ascii="方正小标宋_GBK" w:eastAsia="方正小标宋_GBK"/>
          <w:color w:val="auto"/>
          <w:sz w:val="32"/>
        </w:rPr>
        <w:t>及会议培训经费预算</w:t>
      </w:r>
    </w:p>
    <w:tbl>
      <w:tblPr>
        <w:tblStyle w:val="5"/>
        <w:tblW w:w="143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02"/>
        <w:gridCol w:w="1843"/>
        <w:gridCol w:w="1814"/>
        <w:gridCol w:w="1814"/>
        <w:gridCol w:w="1814"/>
        <w:gridCol w:w="1814"/>
        <w:gridCol w:w="1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873" w:type="dxa"/>
            <w:gridSpan w:val="4"/>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color w:val="auto"/>
                <w:sz w:val="24"/>
              </w:rPr>
            </w:pPr>
            <w:r>
              <w:rPr>
                <w:color w:val="auto"/>
              </w:rPr>
              <w:t>324005保定市自然资源和规划局满城区分局(供养人员)</w:t>
            </w:r>
            <w:r>
              <w:rPr>
                <w:rFonts w:hint="eastAsia" w:ascii="方正小标宋_GBK" w:eastAsia="方正小标宋_GBK"/>
                <w:color w:val="auto"/>
                <w:sz w:val="24"/>
                <w:lang w:val="en-US" w:eastAsia="zh-CN"/>
              </w:rPr>
              <w:t xml:space="preserve">          </w:t>
            </w:r>
            <w:r>
              <w:rPr>
                <w:color w:val="auto"/>
              </w:rPr>
              <w:t>预算年度：202</w:t>
            </w:r>
            <w:r>
              <w:rPr>
                <w:rFonts w:hint="eastAsia"/>
                <w:color w:val="auto"/>
                <w:lang w:val="en-US" w:eastAsia="zh-CN"/>
              </w:rPr>
              <w:t>1</w:t>
            </w:r>
          </w:p>
        </w:tc>
        <w:tc>
          <w:tcPr>
            <w:tcW w:w="5442" w:type="dxa"/>
            <w:gridSpan w:val="3"/>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olor w:val="auto"/>
                <w:sz w:val="24"/>
              </w:rPr>
            </w:pPr>
            <w:r>
              <w:rPr>
                <w:rFonts w:hint="eastAsia" w:ascii="方正书宋_GBK" w:eastAsia="方正书宋_GBK"/>
                <w:color w:val="auto"/>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3402" w:type="dxa"/>
            <w:vMerge w:val="restart"/>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支出内容</w:t>
            </w:r>
          </w:p>
        </w:tc>
        <w:tc>
          <w:tcPr>
            <w:tcW w:w="10913" w:type="dxa"/>
            <w:gridSpan w:val="6"/>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资</w:t>
            </w:r>
            <w:r>
              <w:rPr>
                <w:rFonts w:ascii="方正书宋_GBK" w:eastAsia="方正书宋_GBK"/>
                <w:b/>
                <w:color w:val="auto"/>
              </w:rPr>
              <w:t xml:space="preserve"> </w:t>
            </w:r>
            <w:r>
              <w:rPr>
                <w:rFonts w:hint="eastAsia" w:ascii="方正书宋_GBK" w:eastAsia="方正书宋_GBK"/>
                <w:b/>
                <w:color w:val="auto"/>
              </w:rPr>
              <w:t>金</w:t>
            </w:r>
            <w:r>
              <w:rPr>
                <w:rFonts w:ascii="方正书宋_GBK" w:eastAsia="方正书宋_GBK"/>
                <w:b/>
                <w:color w:val="auto"/>
              </w:rPr>
              <w:t xml:space="preserve"> </w:t>
            </w:r>
            <w:r>
              <w:rPr>
                <w:rFonts w:hint="eastAsia" w:ascii="方正书宋_GBK" w:eastAsia="方正书宋_GBK"/>
                <w:b/>
                <w:color w:val="auto"/>
              </w:rPr>
              <w:t>来</w:t>
            </w:r>
            <w:r>
              <w:rPr>
                <w:rFonts w:ascii="方正书宋_GBK" w:eastAsia="方正书宋_GBK"/>
                <w:b/>
                <w:color w:val="auto"/>
              </w:rPr>
              <w:t xml:space="preserve"> </w:t>
            </w:r>
            <w:r>
              <w:rPr>
                <w:rFonts w:hint="eastAsia" w:ascii="方正书宋_GBK" w:eastAsia="方正书宋_GBK"/>
                <w:b/>
                <w:color w:val="auto"/>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3402" w:type="dxa"/>
            <w:vMerge w:val="continue"/>
            <w:noWrap w:val="0"/>
            <w:vAlign w:val="center"/>
          </w:tcPr>
          <w:p>
            <w:pPr>
              <w:spacing w:line="300" w:lineRule="exact"/>
              <w:jc w:val="left"/>
              <w:outlineLvl w:val="1"/>
              <w:rPr>
                <w:rFonts w:eastAsia="方正仿宋_GBK"/>
                <w:color w:val="auto"/>
                <w:sz w:val="28"/>
              </w:rPr>
            </w:pPr>
          </w:p>
        </w:tc>
        <w:tc>
          <w:tcPr>
            <w:tcW w:w="1843"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合计</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一般公共预算</w:t>
            </w:r>
            <w:r>
              <w:rPr>
                <w:rFonts w:ascii="方正书宋_GBK" w:eastAsia="方正书宋_GBK"/>
                <w:b/>
                <w:color w:val="auto"/>
              </w:rPr>
              <w:t xml:space="preserve">  </w:t>
            </w:r>
            <w:r>
              <w:rPr>
                <w:rFonts w:hint="eastAsia" w:ascii="方正书宋_GBK" w:eastAsia="方正书宋_GBK"/>
                <w:b/>
                <w:color w:val="auto"/>
              </w:rPr>
              <w:t>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基金预算拨款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国有资本经营</w:t>
            </w:r>
            <w:r>
              <w:rPr>
                <w:rFonts w:ascii="方正书宋_GBK" w:eastAsia="方正书宋_GBK"/>
                <w:b/>
                <w:color w:val="auto"/>
              </w:rPr>
              <w:t xml:space="preserve">  </w:t>
            </w:r>
            <w:r>
              <w:rPr>
                <w:rFonts w:hint="eastAsia" w:ascii="方正书宋_GBK" w:eastAsia="方正书宋_GBK"/>
                <w:b/>
                <w:color w:val="auto"/>
              </w:rPr>
              <w:t>预算拨款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财政专户核拨</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合计</w:t>
            </w:r>
          </w:p>
        </w:tc>
        <w:tc>
          <w:tcPr>
            <w:tcW w:w="1843"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center"/>
              <w:rPr>
                <w:rFonts w:hint="eastAsia" w:ascii="方正书宋_GBK" w:eastAsia="方正书宋_GBK"/>
                <w:b/>
                <w:color w:val="auto"/>
              </w:rPr>
            </w:pPr>
            <w:r>
              <w:rPr>
                <w:rFonts w:hint="cs" w:ascii="方正书宋_GBK" w:eastAsia="方正书宋_GBK"/>
                <w:b/>
                <w:color w:val="auto"/>
                <w:cs/>
              </w:rPr>
              <w:t>“</w:t>
            </w:r>
            <w:r>
              <w:rPr>
                <w:rFonts w:hint="eastAsia" w:ascii="方正书宋_GBK" w:eastAsia="方正书宋_GBK"/>
                <w:b/>
                <w:color w:val="auto"/>
              </w:rPr>
              <w:t>三公</w:t>
            </w:r>
            <w:r>
              <w:rPr>
                <w:rFonts w:hint="cs" w:ascii="方正书宋_GBK" w:eastAsia="方正书宋_GBK"/>
                <w:b/>
                <w:color w:val="auto"/>
                <w:cs/>
              </w:rPr>
              <w:t>”</w:t>
            </w:r>
            <w:r>
              <w:rPr>
                <w:rFonts w:hint="eastAsia" w:ascii="方正书宋_GBK" w:eastAsia="方正书宋_GBK"/>
                <w:b/>
                <w:color w:val="auto"/>
              </w:rPr>
              <w:t>经费小计</w:t>
            </w:r>
          </w:p>
        </w:tc>
        <w:tc>
          <w:tcPr>
            <w:tcW w:w="1843" w:type="dxa"/>
            <w:noWrap w:val="0"/>
            <w:vAlign w:val="center"/>
          </w:tcPr>
          <w:p>
            <w:pPr>
              <w:spacing w:line="300" w:lineRule="exact"/>
              <w:jc w:val="right"/>
              <w:rPr>
                <w:rFonts w:hint="default" w:ascii="方正书宋_GBK" w:eastAsia="方正书宋_GBK"/>
                <w:b/>
                <w:color w:val="auto"/>
                <w:lang w:val="en-US" w:eastAsia="zh-CN"/>
              </w:rPr>
            </w:pPr>
            <w:r>
              <w:rPr>
                <w:rFonts w:hint="eastAsia" w:ascii="方正书宋_GBK" w:eastAsia="方正书宋_GBK"/>
                <w:b/>
                <w:color w:val="auto"/>
                <w:lang w:val="en-US" w:eastAsia="zh-CN"/>
              </w:rPr>
              <w:t>0.20</w:t>
            </w:r>
          </w:p>
        </w:tc>
        <w:tc>
          <w:tcPr>
            <w:tcW w:w="1814" w:type="dxa"/>
            <w:noWrap w:val="0"/>
            <w:vAlign w:val="center"/>
          </w:tcPr>
          <w:p>
            <w:pPr>
              <w:spacing w:line="300" w:lineRule="exact"/>
              <w:jc w:val="right"/>
              <w:rPr>
                <w:rFonts w:hint="default" w:ascii="方正书宋_GBK" w:eastAsia="方正书宋_GBK"/>
                <w:b/>
                <w:color w:val="auto"/>
                <w:lang w:val="en-US" w:eastAsia="zh-CN"/>
              </w:rPr>
            </w:pPr>
            <w:r>
              <w:rPr>
                <w:rFonts w:hint="eastAsia" w:ascii="方正书宋_GBK" w:eastAsia="方正书宋_GBK"/>
                <w:b/>
                <w:color w:val="auto"/>
                <w:lang w:val="en-US" w:eastAsia="zh-CN"/>
              </w:rPr>
              <w:t>0.20</w:t>
            </w: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cs" w:ascii="方正书宋_GBK" w:eastAsia="方正书宋_GBK"/>
                <w:color w:val="auto"/>
                <w:cs/>
              </w:rPr>
            </w:pPr>
            <w:r>
              <w:rPr>
                <w:rFonts w:hint="eastAsia" w:ascii="方正书宋_GBK" w:eastAsia="方正书宋_GBK"/>
                <w:color w:val="auto"/>
              </w:rPr>
              <w:t>一、因公出国（境）费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二、公务用车购置及运维费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ascii="方正书宋_GBK" w:eastAsia="方正书宋_GBK"/>
                <w:color w:val="auto"/>
              </w:rPr>
              <w:t xml:space="preserve">    </w:t>
            </w:r>
            <w:r>
              <w:rPr>
                <w:rFonts w:hint="eastAsia" w:ascii="方正书宋_GBK" w:eastAsia="方正书宋_GBK"/>
                <w:color w:val="auto"/>
              </w:rPr>
              <w:t>其中：公务用车购置费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ascii="方正书宋_GBK" w:eastAsia="方正书宋_GBK"/>
                <w:color w:val="auto"/>
              </w:rPr>
            </w:pPr>
            <w:r>
              <w:rPr>
                <w:rFonts w:ascii="方正书宋_GBK" w:eastAsia="方正书宋_GBK"/>
                <w:color w:val="auto"/>
              </w:rPr>
              <w:t xml:space="preserve">        </w:t>
            </w:r>
            <w:r>
              <w:rPr>
                <w:rFonts w:hint="eastAsia" w:ascii="方正书宋_GBK" w:eastAsia="方正书宋_GBK"/>
                <w:color w:val="auto"/>
              </w:rPr>
              <w:t>公务用车运行维护费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ascii="方正书宋_GBK" w:eastAsia="方正书宋_GBK"/>
                <w:color w:val="auto"/>
              </w:rPr>
            </w:pPr>
            <w:r>
              <w:rPr>
                <w:rFonts w:hint="eastAsia" w:ascii="方正书宋_GBK" w:eastAsia="方正书宋_GBK"/>
                <w:color w:val="auto"/>
              </w:rPr>
              <w:t>三、公务接待费</w:t>
            </w:r>
          </w:p>
        </w:tc>
        <w:tc>
          <w:tcPr>
            <w:tcW w:w="1843"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0.20</w:t>
            </w:r>
          </w:p>
        </w:tc>
        <w:tc>
          <w:tcPr>
            <w:tcW w:w="1814"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0.20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四、会议费</w:t>
            </w:r>
          </w:p>
        </w:tc>
        <w:tc>
          <w:tcPr>
            <w:tcW w:w="1843"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五、培训费</w:t>
            </w:r>
          </w:p>
        </w:tc>
        <w:tc>
          <w:tcPr>
            <w:tcW w:w="1843"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bl>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ind w:firstLine="420"/>
        <w:rPr>
          <w:color w:val="auto"/>
        </w:rPr>
        <w:sectPr>
          <w:pgSz w:w="16838" w:h="11905" w:orient="landscape"/>
          <w:pgMar w:top="1304" w:right="1984" w:bottom="1304" w:left="1134" w:header="850" w:footer="992" w:gutter="0"/>
          <w:cols w:space="720" w:num="1"/>
          <w:rtlGutter w:val="0"/>
          <w:docGrid w:type="lines" w:linePitch="332" w:charSpace="0"/>
        </w:sectPr>
      </w:pPr>
    </w:p>
    <w:p>
      <w:pPr>
        <w:jc w:val="center"/>
        <w:outlineLvl w:val="4"/>
        <w:rPr>
          <w:color w:val="auto"/>
        </w:rPr>
      </w:pPr>
      <w:r>
        <w:rPr>
          <w:rFonts w:ascii="方正小标宋_GBK" w:hAnsi="方正小标宋_GBK" w:eastAsia="方正小标宋_GBK" w:cs="方正小标宋_GBK"/>
          <w:color w:val="auto"/>
          <w:sz w:val="44"/>
        </w:rPr>
        <w:t>保定市自然资源和规划局满城区分局(供养人员)202</w:t>
      </w:r>
      <w:r>
        <w:rPr>
          <w:rFonts w:hint="eastAsia" w:ascii="方正小标宋_GBK" w:hAnsi="方正小标宋_GBK" w:eastAsia="方正小标宋_GBK" w:cs="方正小标宋_GBK"/>
          <w:color w:val="auto"/>
          <w:sz w:val="44"/>
          <w:lang w:val="en-US" w:eastAsia="zh-CN"/>
        </w:rPr>
        <w:t>1</w:t>
      </w:r>
      <w:r>
        <w:rPr>
          <w:rFonts w:ascii="方正小标宋_GBK" w:hAnsi="方正小标宋_GBK" w:eastAsia="方正小标宋_GBK" w:cs="方正小标宋_GBK"/>
          <w:color w:val="auto"/>
          <w:sz w:val="44"/>
        </w:rPr>
        <w:t>年单位预算信息公开情况说明</w:t>
      </w:r>
    </w:p>
    <w:p>
      <w:pPr>
        <w:spacing w:line="500" w:lineRule="exact"/>
        <w:ind w:firstLine="560"/>
        <w:rPr>
          <w:color w:val="auto"/>
        </w:rPr>
      </w:pPr>
      <w:r>
        <w:rPr>
          <w:rFonts w:eastAsia="方正仿宋_GBK"/>
          <w:color w:val="auto"/>
          <w:sz w:val="28"/>
        </w:rPr>
        <w:t>按照《</w:t>
      </w:r>
      <w:r>
        <w:rPr>
          <w:rFonts w:hint="eastAsia" w:eastAsia="方正仿宋_GBK"/>
          <w:color w:val="auto"/>
          <w:sz w:val="28"/>
          <w:lang w:eastAsia="zh-CN"/>
        </w:rPr>
        <w:t>中华人民共和国预算法</w:t>
      </w:r>
      <w:r>
        <w:rPr>
          <w:rFonts w:eastAsia="方正仿宋_GBK"/>
          <w:color w:val="auto"/>
          <w:sz w:val="28"/>
        </w:rPr>
        <w:t>》、《地方预决算公开操作规程》和《关于进一步推进预算公开工作的实施意见》规定，现将保定市自然资源和规划局满城区分局(供养人员)202</w:t>
      </w:r>
      <w:r>
        <w:rPr>
          <w:rFonts w:hint="eastAsia" w:eastAsia="方正仿宋_GBK"/>
          <w:color w:val="auto"/>
          <w:sz w:val="28"/>
          <w:lang w:val="en-US" w:eastAsia="zh-CN"/>
        </w:rPr>
        <w:t>1</w:t>
      </w:r>
      <w:r>
        <w:rPr>
          <w:rFonts w:eastAsia="方正仿宋_GBK"/>
          <w:color w:val="auto"/>
          <w:sz w:val="28"/>
        </w:rPr>
        <w:t>年单位预算公开如下：</w:t>
      </w:r>
    </w:p>
    <w:p>
      <w:pPr>
        <w:spacing w:before="10" w:after="10"/>
        <w:ind w:firstLine="640"/>
        <w:outlineLvl w:val="5"/>
        <w:rPr>
          <w:color w:val="auto"/>
        </w:rPr>
      </w:pPr>
      <w:r>
        <w:rPr>
          <w:rFonts w:ascii="黑体" w:hAnsi="黑体" w:eastAsia="黑体" w:cs="黑体"/>
          <w:color w:val="auto"/>
          <w:sz w:val="32"/>
        </w:rPr>
        <w:t>一、单位职责及机构设置情况</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rFonts w:ascii="方正楷体_GBK" w:hAnsi="方正楷体_GBK" w:eastAsia="方正楷体_GBK" w:cs="方正楷体_GBK"/>
          <w:b/>
          <w:color w:val="auto"/>
          <w:sz w:val="32"/>
        </w:rPr>
        <w:t>单位职责：</w:t>
      </w:r>
      <w:r>
        <w:rPr>
          <w:color w:val="auto"/>
        </w:rPr>
        <w:t>组织矿产资源的调查评价，编制全</w:t>
      </w:r>
      <w:r>
        <w:rPr>
          <w:rFonts w:hint="eastAsia"/>
          <w:color w:val="auto"/>
          <w:lang w:eastAsia="zh-CN"/>
        </w:rPr>
        <w:t>区</w:t>
      </w:r>
      <w:r>
        <w:rPr>
          <w:color w:val="auto"/>
        </w:rPr>
        <w:t>矿产资源的保护与合理利用规划、地质勘查规划、地质灾害防治和地质遗迹保护规划。监督检查全</w:t>
      </w:r>
      <w:r>
        <w:rPr>
          <w:rFonts w:hint="eastAsia"/>
          <w:color w:val="auto"/>
          <w:lang w:eastAsia="zh-CN"/>
        </w:rPr>
        <w:t>区</w:t>
      </w:r>
      <w:r>
        <w:rPr>
          <w:color w:val="auto"/>
        </w:rPr>
        <w:t>土地资源和矿产资源规划执行情况；依法保护土地、矿产资源所有者和使用者的合法权益，承办并组织调处本县的权属纠纷，查处违法案件；拟订并实施全</w:t>
      </w:r>
      <w:r>
        <w:rPr>
          <w:rFonts w:hint="eastAsia"/>
          <w:color w:val="auto"/>
          <w:lang w:eastAsia="zh-CN"/>
        </w:rPr>
        <w:t>区</w:t>
      </w:r>
      <w:r>
        <w:rPr>
          <w:color w:val="auto"/>
        </w:rPr>
        <w:t>耕地特殊保护和鼓励耕地开发政策；实施农用地用途管制，组织基本农田保护，指导未利用土地开发、土地整理、土地复垦和开发耕地监督工作，确保耕地面积只能增加、不能减少</w:t>
      </w:r>
      <w:r>
        <w:rPr>
          <w:rFonts w:hint="eastAsia"/>
          <w:color w:val="auto"/>
          <w:lang w:eastAsia="zh-CN"/>
        </w:rPr>
        <w:t>。</w:t>
      </w:r>
    </w:p>
    <w:p>
      <w:pPr>
        <w:ind w:firstLine="640"/>
        <w:rPr>
          <w:rFonts w:hint="eastAsia" w:eastAsia="方正楷体_GBK"/>
          <w:color w:val="auto"/>
          <w:lang w:eastAsia="zh-CN"/>
        </w:rPr>
      </w:pPr>
    </w:p>
    <w:p>
      <w:pPr>
        <w:pStyle w:val="30"/>
        <w:rPr>
          <w:color w:val="auto"/>
        </w:rPr>
      </w:pPr>
    </w:p>
    <w:p>
      <w:pPr>
        <w:ind w:firstLine="640"/>
        <w:rPr>
          <w:color w:val="auto"/>
        </w:rPr>
      </w:pPr>
      <w:r>
        <w:rPr>
          <w:rFonts w:ascii="方正楷体_GBK" w:hAnsi="方正楷体_GBK" w:eastAsia="方正楷体_GBK" w:cs="方正楷体_GBK"/>
          <w:b/>
          <w:color w:val="auto"/>
          <w:sz w:val="32"/>
        </w:rPr>
        <w:t>机构设置：</w:t>
      </w:r>
    </w:p>
    <w:p>
      <w:pPr>
        <w:jc w:val="center"/>
        <w:rPr>
          <w:color w:val="auto"/>
        </w:rPr>
      </w:pPr>
      <w:r>
        <w:rPr>
          <w:rFonts w:ascii="方正小标宋_GBK" w:hAnsi="方正小标宋_GBK" w:eastAsia="方正小标宋_GBK" w:cs="方正小标宋_GBK"/>
          <w:color w:val="auto"/>
          <w:sz w:val="32"/>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5"/>
              <w:rPr>
                <w:color w:val="auto"/>
              </w:rPr>
            </w:pPr>
            <w:r>
              <w:rPr>
                <w:color w:val="auto"/>
              </w:rPr>
              <w:t>单位名称</w:t>
            </w:r>
          </w:p>
        </w:tc>
        <w:tc>
          <w:tcPr>
            <w:tcW w:w="1843" w:type="dxa"/>
            <w:noWrap w:val="0"/>
            <w:vAlign w:val="center"/>
          </w:tcPr>
          <w:p>
            <w:pPr>
              <w:pStyle w:val="15"/>
              <w:rPr>
                <w:color w:val="auto"/>
              </w:rPr>
            </w:pPr>
            <w:r>
              <w:rPr>
                <w:color w:val="auto"/>
              </w:rPr>
              <w:t>单位性质</w:t>
            </w:r>
          </w:p>
        </w:tc>
        <w:tc>
          <w:tcPr>
            <w:tcW w:w="2126" w:type="dxa"/>
            <w:noWrap w:val="0"/>
            <w:vAlign w:val="center"/>
          </w:tcPr>
          <w:p>
            <w:pPr>
              <w:pStyle w:val="15"/>
              <w:rPr>
                <w:color w:val="auto"/>
              </w:rPr>
            </w:pPr>
            <w:r>
              <w:rPr>
                <w:color w:val="auto"/>
              </w:rPr>
              <w:t>单位规格</w:t>
            </w:r>
          </w:p>
        </w:tc>
        <w:tc>
          <w:tcPr>
            <w:tcW w:w="3827" w:type="dxa"/>
            <w:noWrap w:val="0"/>
            <w:vAlign w:val="center"/>
          </w:tcPr>
          <w:p>
            <w:pPr>
              <w:pStyle w:val="15"/>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7"/>
              <w:rPr>
                <w:color w:val="auto"/>
              </w:rPr>
            </w:pPr>
            <w:r>
              <w:rPr>
                <w:color w:val="auto"/>
              </w:rPr>
              <w:t>保定市自然资源和规划局满城区分局(供养人员)</w:t>
            </w:r>
          </w:p>
        </w:tc>
        <w:tc>
          <w:tcPr>
            <w:tcW w:w="1843" w:type="dxa"/>
            <w:noWrap w:val="0"/>
            <w:vAlign w:val="center"/>
          </w:tcPr>
          <w:p>
            <w:pPr>
              <w:pStyle w:val="18"/>
              <w:rPr>
                <w:color w:val="auto"/>
              </w:rPr>
            </w:pPr>
            <w:r>
              <w:rPr>
                <w:color w:val="auto"/>
              </w:rPr>
              <w:t>事业</w:t>
            </w:r>
          </w:p>
        </w:tc>
        <w:tc>
          <w:tcPr>
            <w:tcW w:w="2126" w:type="dxa"/>
            <w:noWrap w:val="0"/>
            <w:vAlign w:val="center"/>
          </w:tcPr>
          <w:p>
            <w:pPr>
              <w:pStyle w:val="18"/>
              <w:rPr>
                <w:color w:val="auto"/>
              </w:rPr>
            </w:pPr>
            <w:r>
              <w:rPr>
                <w:color w:val="auto"/>
              </w:rPr>
              <w:t>股级</w:t>
            </w:r>
          </w:p>
        </w:tc>
        <w:tc>
          <w:tcPr>
            <w:tcW w:w="3827" w:type="dxa"/>
            <w:noWrap w:val="0"/>
            <w:vAlign w:val="center"/>
          </w:tcPr>
          <w:p>
            <w:pPr>
              <w:pStyle w:val="18"/>
              <w:rPr>
                <w:color w:val="auto"/>
              </w:rPr>
            </w:pPr>
            <w:r>
              <w:rPr>
                <w:color w:val="auto"/>
              </w:rPr>
              <w:t>财政性资金基本保证</w:t>
            </w:r>
          </w:p>
        </w:tc>
      </w:tr>
    </w:tbl>
    <w:p>
      <w:pPr>
        <w:spacing w:before="10" w:after="10"/>
        <w:ind w:firstLine="640"/>
        <w:outlineLvl w:val="5"/>
        <w:rPr>
          <w:color w:val="auto"/>
        </w:rPr>
      </w:pPr>
      <w:r>
        <w:rPr>
          <w:rFonts w:ascii="黑体" w:hAnsi="黑体" w:eastAsia="黑体" w:cs="黑体"/>
          <w:color w:val="auto"/>
          <w:sz w:val="32"/>
        </w:rPr>
        <w:t>二、单位预算安排的总体情况</w:t>
      </w:r>
    </w:p>
    <w:p>
      <w:pPr>
        <w:spacing w:line="500" w:lineRule="exact"/>
        <w:ind w:firstLine="560" w:firstLineChars="200"/>
        <w:rPr>
          <w:color w:val="auto"/>
        </w:rPr>
      </w:pPr>
      <w:r>
        <w:rPr>
          <w:rFonts w:eastAsia="方正仿宋_GBK"/>
          <w:color w:val="auto"/>
          <w:sz w:val="28"/>
        </w:rPr>
        <w:t>按照预算管理有关规定，目前我单位预算的编制实行综合预算管理，即全部收入和支出都反映在预算中。</w:t>
      </w:r>
    </w:p>
    <w:p>
      <w:pPr>
        <w:pStyle w:val="2"/>
        <w:spacing w:before="6"/>
        <w:ind w:firstLine="640" w:firstLineChars="200"/>
        <w:rPr>
          <w:color w:val="auto"/>
        </w:rPr>
      </w:pPr>
      <w:r>
        <w:rPr>
          <w:color w:val="auto"/>
        </w:rPr>
        <w:t>1、收入说明</w:t>
      </w:r>
    </w:p>
    <w:p>
      <w:pPr>
        <w:pStyle w:val="2"/>
        <w:spacing w:before="149"/>
        <w:ind w:firstLine="608" w:firstLineChars="200"/>
        <w:rPr>
          <w:color w:val="auto"/>
        </w:rPr>
      </w:pPr>
      <w:r>
        <w:rPr>
          <w:color w:val="auto"/>
          <w:w w:val="95"/>
        </w:rPr>
        <w:t>反映本</w:t>
      </w:r>
      <w:r>
        <w:rPr>
          <w:rFonts w:hint="eastAsia"/>
          <w:color w:val="auto"/>
          <w:w w:val="95"/>
          <w:lang w:eastAsia="zh-CN"/>
        </w:rPr>
        <w:t>单位</w:t>
      </w:r>
      <w:r>
        <w:rPr>
          <w:color w:val="auto"/>
          <w:w w:val="95"/>
        </w:rPr>
        <w:t>当年全部收入。202</w:t>
      </w:r>
      <w:r>
        <w:rPr>
          <w:rFonts w:hint="eastAsia"/>
          <w:color w:val="auto"/>
          <w:w w:val="95"/>
          <w:lang w:val="en-US" w:eastAsia="zh-CN"/>
        </w:rPr>
        <w:t>1</w:t>
      </w:r>
      <w:r>
        <w:rPr>
          <w:color w:val="auto"/>
          <w:spacing w:val="10"/>
          <w:w w:val="95"/>
        </w:rPr>
        <w:t>年预算收入</w:t>
      </w:r>
      <w:r>
        <w:rPr>
          <w:rFonts w:ascii="方正书宋_GBK" w:eastAsia="方正书宋_GBK"/>
          <w:b/>
          <w:color w:val="auto"/>
        </w:rPr>
        <w:t>1987.94</w:t>
      </w:r>
      <w:r>
        <w:rPr>
          <w:color w:val="auto"/>
          <w:spacing w:val="2"/>
          <w:w w:val="95"/>
        </w:rPr>
        <w:t>万元，</w:t>
      </w:r>
      <w:r>
        <w:rPr>
          <w:rFonts w:hint="eastAsia"/>
          <w:color w:val="auto"/>
          <w:spacing w:val="2"/>
          <w:w w:val="95"/>
          <w:lang w:eastAsia="zh-CN"/>
        </w:rPr>
        <w:t>全部为</w:t>
      </w:r>
      <w:r>
        <w:rPr>
          <w:color w:val="auto"/>
          <w:spacing w:val="2"/>
          <w:w w:val="95"/>
        </w:rPr>
        <w:t>一般公共预算收入</w:t>
      </w:r>
      <w:r>
        <w:rPr>
          <w:rFonts w:hint="eastAsia"/>
          <w:color w:val="auto"/>
          <w:spacing w:val="2"/>
          <w:w w:val="95"/>
          <w:lang w:eastAsia="zh-CN"/>
        </w:rPr>
        <w:t>。</w:t>
      </w:r>
    </w:p>
    <w:p>
      <w:pPr>
        <w:pStyle w:val="2"/>
        <w:spacing w:before="149"/>
        <w:ind w:firstLine="640" w:firstLineChars="200"/>
        <w:rPr>
          <w:color w:val="auto"/>
        </w:rPr>
      </w:pPr>
      <w:r>
        <w:rPr>
          <w:color w:val="auto"/>
        </w:rPr>
        <w:t>2、支出说明</w:t>
      </w:r>
    </w:p>
    <w:p>
      <w:pPr>
        <w:pStyle w:val="2"/>
        <w:spacing w:before="3" w:line="328" w:lineRule="auto"/>
        <w:ind w:right="739" w:firstLine="640" w:firstLineChars="200"/>
        <w:jc w:val="both"/>
        <w:rPr>
          <w:color w:val="auto"/>
        </w:rPr>
      </w:pPr>
      <w:r>
        <w:rPr>
          <w:color w:val="auto"/>
        </w:rPr>
        <w:t>收支预算总表支出栏、基本支出表、项目支出表按经济分类和支出功能分类科目编制，反映保定市</w:t>
      </w:r>
      <w:r>
        <w:rPr>
          <w:rFonts w:hint="eastAsia"/>
          <w:color w:val="auto"/>
        </w:rPr>
        <w:t>自然资源和规划局满城区分局</w:t>
      </w:r>
      <w:r>
        <w:rPr>
          <w:color w:val="auto"/>
          <w:w w:val="95"/>
        </w:rPr>
        <w:t>年度</w:t>
      </w:r>
      <w:r>
        <w:rPr>
          <w:rFonts w:hint="eastAsia"/>
          <w:color w:val="auto"/>
          <w:w w:val="95"/>
          <w:lang w:eastAsia="zh-CN"/>
        </w:rPr>
        <w:t>单位</w:t>
      </w:r>
      <w:r>
        <w:rPr>
          <w:color w:val="auto"/>
          <w:w w:val="95"/>
        </w:rPr>
        <w:t>预算中支出预算的总体情况。202</w:t>
      </w:r>
      <w:r>
        <w:rPr>
          <w:rFonts w:hint="eastAsia"/>
          <w:color w:val="auto"/>
          <w:w w:val="95"/>
          <w:lang w:val="en-US" w:eastAsia="zh-CN"/>
        </w:rPr>
        <w:t>1</w:t>
      </w:r>
      <w:r>
        <w:rPr>
          <w:color w:val="auto"/>
          <w:spacing w:val="40"/>
          <w:w w:val="95"/>
        </w:rPr>
        <w:t>年支出预算</w:t>
      </w:r>
      <w:r>
        <w:rPr>
          <w:rFonts w:ascii="方正书宋_GBK" w:eastAsia="方正书宋_GBK"/>
          <w:b/>
          <w:color w:val="auto"/>
        </w:rPr>
        <w:t>1987.94</w:t>
      </w:r>
      <w:r>
        <w:rPr>
          <w:color w:val="auto"/>
          <w:spacing w:val="14"/>
          <w:w w:val="95"/>
        </w:rPr>
        <w:t>万元，</w:t>
      </w:r>
      <w:r>
        <w:rPr>
          <w:rFonts w:hint="eastAsia"/>
          <w:color w:val="auto"/>
          <w:spacing w:val="14"/>
          <w:w w:val="95"/>
          <w:lang w:eastAsia="zh-CN"/>
        </w:rPr>
        <w:t>全部为</w:t>
      </w:r>
      <w:r>
        <w:rPr>
          <w:color w:val="auto"/>
          <w:spacing w:val="14"/>
          <w:w w:val="95"/>
        </w:rPr>
        <w:t>基本支</w:t>
      </w:r>
      <w:r>
        <w:rPr>
          <w:color w:val="auto"/>
          <w:spacing w:val="1"/>
          <w:w w:val="95"/>
        </w:rPr>
        <w:t>出</w:t>
      </w:r>
      <w:r>
        <w:rPr>
          <w:rFonts w:ascii="方正书宋_GBK" w:eastAsia="方正书宋_GBK"/>
          <w:b/>
          <w:color w:val="auto"/>
        </w:rPr>
        <w:t>1987.94</w:t>
      </w:r>
      <w:r>
        <w:rPr>
          <w:color w:val="auto"/>
          <w:spacing w:val="14"/>
          <w:w w:val="95"/>
        </w:rPr>
        <w:t>万</w:t>
      </w:r>
      <w:r>
        <w:rPr>
          <w:rFonts w:hint="eastAsia"/>
          <w:color w:val="auto"/>
          <w:spacing w:val="14"/>
          <w:w w:val="95"/>
          <w:lang w:eastAsia="zh-CN"/>
        </w:rPr>
        <w:t>，</w:t>
      </w:r>
      <w:r>
        <w:rPr>
          <w:rFonts w:hint="eastAsia"/>
          <w:color w:val="auto"/>
          <w:w w:val="95"/>
          <w:lang w:eastAsia="zh-CN"/>
        </w:rPr>
        <w:t>包括人员经费预算为</w:t>
      </w:r>
      <w:r>
        <w:rPr>
          <w:rFonts w:hint="eastAsia"/>
          <w:color w:val="auto"/>
          <w:w w:val="95"/>
          <w:lang w:val="en-US" w:eastAsia="zh-CN"/>
        </w:rPr>
        <w:t>1974.19万元和日常公用经费13.75万元</w:t>
      </w:r>
      <w:r>
        <w:rPr>
          <w:rFonts w:hint="eastAsia"/>
          <w:color w:val="auto"/>
          <w:w w:val="95"/>
        </w:rPr>
        <w:t>。</w:t>
      </w:r>
    </w:p>
    <w:p>
      <w:pPr>
        <w:pStyle w:val="2"/>
        <w:spacing w:line="405" w:lineRule="exact"/>
        <w:ind w:firstLine="640" w:firstLineChars="200"/>
        <w:rPr>
          <w:color w:val="auto"/>
        </w:rPr>
      </w:pPr>
      <w:r>
        <w:rPr>
          <w:color w:val="auto"/>
        </w:rPr>
        <w:t>3、比上年增减情况</w:t>
      </w:r>
    </w:p>
    <w:p>
      <w:pPr>
        <w:pStyle w:val="2"/>
        <w:spacing w:before="3" w:line="328" w:lineRule="auto"/>
        <w:ind w:right="739" w:firstLine="640" w:firstLineChars="200"/>
        <w:jc w:val="both"/>
        <w:rPr>
          <w:rFonts w:hint="eastAsia"/>
          <w:color w:val="auto"/>
          <w:lang w:val="en-US" w:eastAsia="zh-CN"/>
        </w:rPr>
      </w:pPr>
      <w:r>
        <w:rPr>
          <w:rFonts w:hint="eastAsia"/>
          <w:color w:val="auto"/>
          <w:lang w:val="en-US" w:eastAsia="uk-UA"/>
        </w:rPr>
        <w:t>202</w:t>
      </w:r>
      <w:r>
        <w:rPr>
          <w:rFonts w:hint="eastAsia"/>
          <w:color w:val="auto"/>
          <w:lang w:val="en-US" w:eastAsia="zh-CN"/>
        </w:rPr>
        <w:t>1</w:t>
      </w:r>
      <w:r>
        <w:rPr>
          <w:rFonts w:hint="eastAsia"/>
          <w:color w:val="auto"/>
          <w:lang w:val="en-US" w:eastAsia="uk-UA"/>
        </w:rPr>
        <w:t xml:space="preserve"> 年预算收支安排 </w:t>
      </w:r>
      <w:r>
        <w:rPr>
          <w:rFonts w:hint="eastAsia"/>
          <w:color w:val="auto"/>
          <w:lang w:val="en-US" w:eastAsia="zh-CN"/>
        </w:rPr>
        <w:t>1564.18</w:t>
      </w:r>
      <w:r>
        <w:rPr>
          <w:rFonts w:hint="eastAsia"/>
          <w:color w:val="auto"/>
          <w:lang w:val="en-US" w:eastAsia="uk-UA"/>
        </w:rPr>
        <w:t>万元，</w:t>
      </w:r>
      <w:r>
        <w:rPr>
          <w:rFonts w:hint="eastAsia"/>
          <w:color w:val="auto"/>
          <w:lang w:val="en-US" w:eastAsia="zh-CN"/>
        </w:rPr>
        <w:t>全部为新增。</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534" w:firstLineChars="200"/>
        <w:jc w:val="both"/>
        <w:textAlignment w:val="auto"/>
        <w:rPr>
          <w:b/>
          <w:color w:val="auto"/>
          <w:sz w:val="28"/>
          <w:szCs w:val="28"/>
        </w:rPr>
      </w:pPr>
      <w:r>
        <w:rPr>
          <w:b/>
          <w:color w:val="auto"/>
          <w:w w:val="95"/>
          <w:sz w:val="28"/>
          <w:szCs w:val="28"/>
        </w:rPr>
        <w:t>三、机关运行经费安排情况</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560" w:firstLineChars="200"/>
        <w:jc w:val="both"/>
        <w:textAlignment w:val="auto"/>
        <w:rPr>
          <w:rFonts w:ascii="Times New Roman" w:hAnsi="Times New Roman" w:eastAsia="方正仿宋_GBK" w:cs="Times New Roman"/>
          <w:color w:val="auto"/>
          <w:sz w:val="28"/>
          <w:szCs w:val="24"/>
          <w:lang w:val="en-US" w:eastAsia="uk-UA" w:bidi="ar-SA"/>
        </w:rPr>
      </w:pPr>
      <w:r>
        <w:rPr>
          <w:rFonts w:ascii="Times New Roman" w:hAnsi="Times New Roman" w:eastAsia="方正仿宋_GBK" w:cs="Times New Roman"/>
          <w:color w:val="auto"/>
          <w:sz w:val="28"/>
          <w:szCs w:val="24"/>
          <w:lang w:val="en-US" w:eastAsia="uk-UA" w:bidi="ar-SA"/>
        </w:rPr>
        <w:t>202</w:t>
      </w:r>
      <w:r>
        <w:rPr>
          <w:rFonts w:hint="eastAsia" w:ascii="Times New Roman" w:hAnsi="Times New Roman" w:eastAsia="方正仿宋_GBK" w:cs="Times New Roman"/>
          <w:color w:val="auto"/>
          <w:sz w:val="28"/>
          <w:szCs w:val="24"/>
          <w:lang w:val="en-US" w:eastAsia="zh-CN" w:bidi="ar-SA"/>
        </w:rPr>
        <w:t>1</w:t>
      </w:r>
      <w:r>
        <w:rPr>
          <w:rFonts w:ascii="Times New Roman" w:hAnsi="Times New Roman" w:eastAsia="方正仿宋_GBK" w:cs="Times New Roman"/>
          <w:color w:val="auto"/>
          <w:sz w:val="28"/>
          <w:szCs w:val="24"/>
          <w:lang w:val="en-US" w:eastAsia="uk-UA" w:bidi="ar-SA"/>
        </w:rPr>
        <w:t>年，我</w:t>
      </w:r>
      <w:r>
        <w:rPr>
          <w:rFonts w:hint="eastAsia" w:ascii="Times New Roman" w:hAnsi="Times New Roman" w:eastAsia="方正仿宋_GBK" w:cs="Times New Roman"/>
          <w:color w:val="auto"/>
          <w:sz w:val="28"/>
          <w:szCs w:val="24"/>
          <w:lang w:val="en-US" w:eastAsia="zh-CN" w:bidi="ar-SA"/>
        </w:rPr>
        <w:t>单位</w:t>
      </w:r>
      <w:r>
        <w:rPr>
          <w:rFonts w:ascii="Times New Roman" w:hAnsi="Times New Roman" w:eastAsia="方正仿宋_GBK" w:cs="Times New Roman"/>
          <w:color w:val="auto"/>
          <w:sz w:val="28"/>
          <w:szCs w:val="24"/>
          <w:lang w:val="en-US" w:eastAsia="uk-UA" w:bidi="ar-SA"/>
        </w:rPr>
        <w:t>运行经费共计安排</w:t>
      </w:r>
      <w:r>
        <w:rPr>
          <w:rFonts w:hint="eastAsia" w:eastAsia="方正仿宋_GBK"/>
          <w:color w:val="auto"/>
          <w:lang w:val="en-US" w:eastAsia="zh-CN"/>
        </w:rPr>
        <w:t>13.75</w:t>
      </w:r>
      <w:r>
        <w:rPr>
          <w:rFonts w:ascii="Times New Roman" w:hAnsi="Times New Roman" w:eastAsia="方正仿宋_GBK" w:cs="Times New Roman"/>
          <w:color w:val="auto"/>
          <w:sz w:val="28"/>
          <w:szCs w:val="24"/>
          <w:lang w:val="en-US" w:eastAsia="uk-UA" w:bidi="ar-SA"/>
        </w:rPr>
        <w:t>万元，主要用于日常运行支出。</w:t>
      </w:r>
    </w:p>
    <w:p>
      <w:pPr>
        <w:pStyle w:val="2"/>
        <w:spacing w:before="58"/>
        <w:ind w:firstLine="534" w:firstLineChars="200"/>
        <w:rPr>
          <w:b/>
          <w:color w:val="auto"/>
          <w:sz w:val="28"/>
          <w:szCs w:val="28"/>
        </w:rPr>
      </w:pPr>
      <w:r>
        <w:rPr>
          <w:b/>
          <w:color w:val="auto"/>
          <w:w w:val="95"/>
          <w:sz w:val="28"/>
          <w:szCs w:val="28"/>
        </w:rPr>
        <w:t>四、财政拨款“三公”经费预算情况及增减变化原因</w:t>
      </w:r>
    </w:p>
    <w:p>
      <w:pPr>
        <w:spacing w:before="10" w:after="10"/>
        <w:ind w:firstLine="560" w:firstLineChars="200"/>
        <w:outlineLvl w:val="5"/>
        <w:rPr>
          <w:rFonts w:ascii="黑体" w:hAnsi="黑体" w:eastAsia="黑体" w:cs="黑体"/>
          <w:color w:val="auto"/>
          <w:sz w:val="32"/>
        </w:rPr>
      </w:pPr>
      <w:r>
        <w:rPr>
          <w:rFonts w:ascii="Times New Roman" w:hAnsi="Times New Roman" w:eastAsia="方正仿宋_GBK" w:cs="Times New Roman"/>
          <w:color w:val="auto"/>
          <w:sz w:val="28"/>
          <w:szCs w:val="24"/>
          <w:lang w:val="en-US" w:eastAsia="uk-UA" w:bidi="ar-SA"/>
        </w:rPr>
        <w:t>202</w:t>
      </w:r>
      <w:r>
        <w:rPr>
          <w:rFonts w:hint="eastAsia" w:eastAsia="方正仿宋_GBK" w:cs="Times New Roman"/>
          <w:color w:val="auto"/>
          <w:sz w:val="28"/>
          <w:szCs w:val="24"/>
          <w:lang w:val="en-US" w:eastAsia="zh-CN" w:bidi="ar-SA"/>
        </w:rPr>
        <w:t>1</w:t>
      </w:r>
      <w:r>
        <w:rPr>
          <w:rFonts w:ascii="Times New Roman" w:hAnsi="Times New Roman" w:eastAsia="方正仿宋_GBK" w:cs="Times New Roman"/>
          <w:color w:val="auto"/>
          <w:sz w:val="28"/>
          <w:szCs w:val="24"/>
          <w:lang w:val="en-US" w:eastAsia="uk-UA" w:bidi="ar-SA"/>
        </w:rPr>
        <w:t xml:space="preserve"> 年我部门财政拨款“三公”经费预算安排</w:t>
      </w:r>
      <w:r>
        <w:rPr>
          <w:rFonts w:hint="eastAsia" w:eastAsia="方正仿宋_GBK" w:cs="Times New Roman"/>
          <w:color w:val="auto"/>
          <w:sz w:val="28"/>
          <w:szCs w:val="24"/>
          <w:lang w:val="en-US" w:eastAsia="zh-CN" w:bidi="ar-SA"/>
        </w:rPr>
        <w:t>为0.20</w:t>
      </w:r>
      <w:r>
        <w:rPr>
          <w:rFonts w:ascii="Times New Roman" w:hAnsi="Times New Roman" w:eastAsia="方正仿宋_GBK" w:cs="Times New Roman"/>
          <w:color w:val="auto"/>
          <w:sz w:val="28"/>
          <w:szCs w:val="24"/>
          <w:lang w:val="en-US" w:eastAsia="uk-UA" w:bidi="ar-SA"/>
        </w:rPr>
        <w:t>万元，</w:t>
      </w:r>
      <w:r>
        <w:rPr>
          <w:rFonts w:hint="eastAsia" w:eastAsia="方正仿宋_GBK" w:cs="Times New Roman"/>
          <w:color w:val="auto"/>
          <w:sz w:val="28"/>
          <w:szCs w:val="24"/>
          <w:lang w:val="en-US" w:eastAsia="zh-CN" w:bidi="ar-SA"/>
        </w:rPr>
        <w:t>全部为公务接待费，全部为新增。</w:t>
      </w:r>
    </w:p>
    <w:p>
      <w:pPr>
        <w:numPr>
          <w:ilvl w:val="0"/>
          <w:numId w:val="0"/>
        </w:numPr>
        <w:spacing w:before="10" w:after="10"/>
        <w:outlineLvl w:val="5"/>
        <w:rPr>
          <w:rFonts w:hint="eastAsia" w:ascii="黑体" w:hAnsi="黑体" w:eastAsia="黑体" w:cs="黑体"/>
          <w:color w:val="auto"/>
          <w:sz w:val="32"/>
          <w:lang w:eastAsia="zh-CN"/>
        </w:rPr>
      </w:pPr>
    </w:p>
    <w:p>
      <w:pPr>
        <w:numPr>
          <w:ilvl w:val="0"/>
          <w:numId w:val="0"/>
        </w:numPr>
        <w:spacing w:before="10" w:after="10"/>
        <w:outlineLvl w:val="5"/>
        <w:rPr>
          <w:rFonts w:ascii="黑体" w:hAnsi="黑体" w:eastAsia="黑体" w:cs="黑体"/>
          <w:color w:val="auto"/>
          <w:sz w:val="32"/>
        </w:rPr>
      </w:pPr>
      <w:r>
        <w:rPr>
          <w:rFonts w:hint="eastAsia" w:ascii="黑体" w:hAnsi="黑体" w:eastAsia="黑体" w:cs="黑体"/>
          <w:color w:val="auto"/>
          <w:sz w:val="32"/>
          <w:lang w:eastAsia="zh-CN"/>
        </w:rPr>
        <w:t>五、</w:t>
      </w:r>
      <w:r>
        <w:rPr>
          <w:rFonts w:ascii="黑体" w:hAnsi="黑体" w:eastAsia="黑体" w:cs="黑体"/>
          <w:color w:val="auto"/>
          <w:sz w:val="32"/>
        </w:rPr>
        <w:t>预算绩效信息</w:t>
      </w:r>
    </w:p>
    <w:p>
      <w:pPr>
        <w:spacing w:before="62"/>
        <w:ind w:left="1279" w:right="0" w:firstLine="0"/>
        <w:jc w:val="left"/>
        <w:rPr>
          <w:color w:val="auto"/>
          <w:sz w:val="28"/>
        </w:rPr>
      </w:pPr>
      <w:r>
        <w:rPr>
          <w:color w:val="auto"/>
          <w:sz w:val="28"/>
        </w:rPr>
        <w:t>综合事务管理工作经费绩效目标表</w:t>
      </w:r>
    </w:p>
    <w:tbl>
      <w:tblPr>
        <w:tblStyle w:val="5"/>
        <w:tblpPr w:leftFromText="180" w:rightFromText="180" w:vertAnchor="text" w:horzAnchor="page" w:tblpX="992" w:tblpY="162"/>
        <w:tblOverlap w:val="never"/>
        <w:tblW w:w="1417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3" w:hRule="atLeast"/>
        </w:trPr>
        <w:tc>
          <w:tcPr>
            <w:tcW w:w="1417" w:type="dxa"/>
            <w:noWrap w:val="0"/>
            <w:vAlign w:val="top"/>
          </w:tcPr>
          <w:p>
            <w:pPr>
              <w:pStyle w:val="38"/>
              <w:spacing w:before="63"/>
              <w:ind w:left="162" w:right="149"/>
              <w:jc w:val="center"/>
              <w:rPr>
                <w:color w:val="auto"/>
                <w:sz w:val="21"/>
              </w:rPr>
            </w:pPr>
            <w:r>
              <w:rPr>
                <w:color w:val="auto"/>
                <w:w w:val="95"/>
                <w:sz w:val="21"/>
              </w:rPr>
              <w:t>绩效目标</w:t>
            </w:r>
          </w:p>
        </w:tc>
        <w:tc>
          <w:tcPr>
            <w:tcW w:w="12757" w:type="dxa"/>
            <w:gridSpan w:val="5"/>
            <w:noWrap w:val="0"/>
            <w:vAlign w:val="top"/>
          </w:tcPr>
          <w:p>
            <w:pPr>
              <w:pStyle w:val="38"/>
              <w:spacing w:before="63"/>
              <w:ind w:left="108"/>
              <w:rPr>
                <w:color w:val="auto"/>
                <w:sz w:val="21"/>
              </w:rPr>
            </w:pPr>
            <w:r>
              <w:rPr>
                <w:color w:val="auto"/>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noWrap w:val="0"/>
            <w:vAlign w:val="top"/>
          </w:tcPr>
          <w:p>
            <w:pPr>
              <w:pStyle w:val="38"/>
              <w:spacing w:before="64"/>
              <w:ind w:left="162" w:right="149"/>
              <w:jc w:val="center"/>
              <w:rPr>
                <w:color w:val="auto"/>
                <w:sz w:val="21"/>
              </w:rPr>
            </w:pPr>
            <w:r>
              <w:rPr>
                <w:color w:val="auto"/>
                <w:w w:val="95"/>
                <w:sz w:val="21"/>
              </w:rPr>
              <w:t>一级指标</w:t>
            </w:r>
          </w:p>
        </w:tc>
        <w:tc>
          <w:tcPr>
            <w:tcW w:w="2268" w:type="dxa"/>
            <w:noWrap w:val="0"/>
            <w:vAlign w:val="top"/>
          </w:tcPr>
          <w:p>
            <w:pPr>
              <w:pStyle w:val="38"/>
              <w:spacing w:before="64"/>
              <w:ind w:left="712"/>
              <w:rPr>
                <w:color w:val="auto"/>
                <w:sz w:val="21"/>
              </w:rPr>
            </w:pPr>
            <w:r>
              <w:rPr>
                <w:color w:val="auto"/>
                <w:w w:val="95"/>
                <w:sz w:val="21"/>
              </w:rPr>
              <w:t>二级指标</w:t>
            </w:r>
          </w:p>
        </w:tc>
        <w:tc>
          <w:tcPr>
            <w:tcW w:w="2835" w:type="dxa"/>
            <w:noWrap w:val="0"/>
            <w:vAlign w:val="top"/>
          </w:tcPr>
          <w:p>
            <w:pPr>
              <w:pStyle w:val="38"/>
              <w:spacing w:before="64"/>
              <w:ind w:left="998" w:right="984"/>
              <w:jc w:val="center"/>
              <w:rPr>
                <w:color w:val="auto"/>
                <w:sz w:val="21"/>
              </w:rPr>
            </w:pPr>
            <w:r>
              <w:rPr>
                <w:color w:val="auto"/>
                <w:w w:val="95"/>
                <w:sz w:val="21"/>
              </w:rPr>
              <w:t>三级指标</w:t>
            </w:r>
          </w:p>
        </w:tc>
        <w:tc>
          <w:tcPr>
            <w:tcW w:w="2835" w:type="dxa"/>
            <w:noWrap w:val="0"/>
            <w:vAlign w:val="top"/>
          </w:tcPr>
          <w:p>
            <w:pPr>
              <w:pStyle w:val="38"/>
              <w:spacing w:before="64"/>
              <w:ind w:left="786"/>
              <w:rPr>
                <w:color w:val="auto"/>
                <w:sz w:val="21"/>
              </w:rPr>
            </w:pPr>
            <w:r>
              <w:rPr>
                <w:color w:val="auto"/>
                <w:w w:val="95"/>
                <w:sz w:val="21"/>
              </w:rPr>
              <w:t>绩效指标描述</w:t>
            </w:r>
          </w:p>
        </w:tc>
        <w:tc>
          <w:tcPr>
            <w:tcW w:w="2551" w:type="dxa"/>
            <w:noWrap w:val="0"/>
            <w:vAlign w:val="top"/>
          </w:tcPr>
          <w:p>
            <w:pPr>
              <w:pStyle w:val="38"/>
              <w:spacing w:before="64"/>
              <w:ind w:left="955" w:right="942"/>
              <w:jc w:val="center"/>
              <w:rPr>
                <w:color w:val="auto"/>
                <w:sz w:val="21"/>
              </w:rPr>
            </w:pPr>
            <w:r>
              <w:rPr>
                <w:color w:val="auto"/>
                <w:w w:val="95"/>
                <w:sz w:val="21"/>
              </w:rPr>
              <w:t>指标值</w:t>
            </w:r>
          </w:p>
        </w:tc>
        <w:tc>
          <w:tcPr>
            <w:tcW w:w="2268" w:type="dxa"/>
            <w:noWrap w:val="0"/>
            <w:vAlign w:val="top"/>
          </w:tcPr>
          <w:p>
            <w:pPr>
              <w:pStyle w:val="38"/>
              <w:spacing w:before="64"/>
              <w:ind w:left="397"/>
              <w:rPr>
                <w:color w:val="auto"/>
                <w:sz w:val="21"/>
              </w:rPr>
            </w:pPr>
            <w:r>
              <w:rPr>
                <w:color w:val="auto"/>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noWrap w:val="0"/>
            <w:vAlign w:val="top"/>
          </w:tcPr>
          <w:p>
            <w:pPr>
              <w:pStyle w:val="38"/>
              <w:rPr>
                <w:color w:val="auto"/>
                <w:sz w:val="20"/>
              </w:rPr>
            </w:pPr>
          </w:p>
          <w:p>
            <w:pPr>
              <w:pStyle w:val="38"/>
              <w:rPr>
                <w:color w:val="auto"/>
                <w:sz w:val="20"/>
              </w:rPr>
            </w:pPr>
          </w:p>
          <w:p>
            <w:pPr>
              <w:pStyle w:val="38"/>
              <w:spacing w:before="169"/>
              <w:ind w:left="286"/>
              <w:rPr>
                <w:color w:val="auto"/>
                <w:sz w:val="21"/>
              </w:rPr>
            </w:pPr>
            <w:r>
              <w:rPr>
                <w:color w:val="auto"/>
                <w:sz w:val="21"/>
              </w:rPr>
              <w:t>产出指标</w:t>
            </w:r>
          </w:p>
        </w:tc>
        <w:tc>
          <w:tcPr>
            <w:tcW w:w="2268" w:type="dxa"/>
            <w:noWrap w:val="0"/>
            <w:vAlign w:val="top"/>
          </w:tcPr>
          <w:p>
            <w:pPr>
              <w:pStyle w:val="38"/>
              <w:spacing w:before="62"/>
              <w:ind w:left="108"/>
              <w:rPr>
                <w:color w:val="auto"/>
                <w:sz w:val="21"/>
              </w:rPr>
            </w:pPr>
            <w:r>
              <w:rPr>
                <w:color w:val="auto"/>
                <w:sz w:val="21"/>
              </w:rPr>
              <w:t>数量指标</w:t>
            </w:r>
          </w:p>
        </w:tc>
        <w:tc>
          <w:tcPr>
            <w:tcW w:w="2835" w:type="dxa"/>
            <w:noWrap w:val="0"/>
            <w:vAlign w:val="top"/>
          </w:tcPr>
          <w:p>
            <w:pPr>
              <w:pStyle w:val="38"/>
              <w:spacing w:before="62"/>
              <w:ind w:left="108"/>
              <w:rPr>
                <w:color w:val="auto"/>
                <w:sz w:val="21"/>
              </w:rPr>
            </w:pPr>
            <w:r>
              <w:rPr>
                <w:color w:val="auto"/>
                <w:sz w:val="21"/>
              </w:rPr>
              <w:t>支付日常公用经费</w:t>
            </w:r>
          </w:p>
        </w:tc>
        <w:tc>
          <w:tcPr>
            <w:tcW w:w="2835" w:type="dxa"/>
            <w:noWrap w:val="0"/>
            <w:vAlign w:val="top"/>
          </w:tcPr>
          <w:p>
            <w:pPr>
              <w:pStyle w:val="38"/>
              <w:spacing w:before="62"/>
              <w:ind w:left="107"/>
              <w:rPr>
                <w:color w:val="auto"/>
                <w:sz w:val="21"/>
              </w:rPr>
            </w:pPr>
            <w:r>
              <w:rPr>
                <w:color w:val="auto"/>
                <w:sz w:val="21"/>
              </w:rPr>
              <w:t>支付日常公用经费</w:t>
            </w:r>
          </w:p>
        </w:tc>
        <w:tc>
          <w:tcPr>
            <w:tcW w:w="2551" w:type="dxa"/>
            <w:noWrap w:val="0"/>
            <w:vAlign w:val="top"/>
          </w:tcPr>
          <w:p>
            <w:pPr>
              <w:pStyle w:val="38"/>
              <w:spacing w:before="62"/>
              <w:ind w:left="106"/>
              <w:rPr>
                <w:color w:val="auto"/>
                <w:sz w:val="21"/>
              </w:rPr>
            </w:pPr>
            <w:r>
              <w:rPr>
                <w:color w:val="auto"/>
                <w:sz w:val="21"/>
              </w:rPr>
              <w:t>足额支付</w:t>
            </w:r>
          </w:p>
        </w:tc>
        <w:tc>
          <w:tcPr>
            <w:tcW w:w="2268" w:type="dxa"/>
            <w:noWrap w:val="0"/>
            <w:vAlign w:val="top"/>
          </w:tcPr>
          <w:p>
            <w:pPr>
              <w:pStyle w:val="38"/>
              <w:spacing w:before="62"/>
              <w:ind w:left="107"/>
              <w:rPr>
                <w:color w:val="auto"/>
                <w:sz w:val="21"/>
              </w:rPr>
            </w:pPr>
            <w:r>
              <w:rPr>
                <w:color w:val="auto"/>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color w:val="auto"/>
                <w:sz w:val="2"/>
                <w:szCs w:val="2"/>
              </w:rPr>
            </w:pPr>
          </w:p>
        </w:tc>
        <w:tc>
          <w:tcPr>
            <w:tcW w:w="2268" w:type="dxa"/>
            <w:noWrap w:val="0"/>
            <w:vAlign w:val="top"/>
          </w:tcPr>
          <w:p>
            <w:pPr>
              <w:pStyle w:val="38"/>
              <w:spacing w:before="63"/>
              <w:ind w:left="108"/>
              <w:rPr>
                <w:color w:val="auto"/>
                <w:sz w:val="21"/>
              </w:rPr>
            </w:pPr>
            <w:r>
              <w:rPr>
                <w:color w:val="auto"/>
                <w:sz w:val="21"/>
              </w:rPr>
              <w:t>质量指标</w:t>
            </w:r>
          </w:p>
        </w:tc>
        <w:tc>
          <w:tcPr>
            <w:tcW w:w="2835" w:type="dxa"/>
            <w:noWrap w:val="0"/>
            <w:vAlign w:val="top"/>
          </w:tcPr>
          <w:p>
            <w:pPr>
              <w:pStyle w:val="38"/>
              <w:spacing w:before="63"/>
              <w:ind w:left="108"/>
              <w:rPr>
                <w:color w:val="auto"/>
                <w:sz w:val="21"/>
              </w:rPr>
            </w:pPr>
            <w:r>
              <w:rPr>
                <w:color w:val="auto"/>
                <w:sz w:val="21"/>
              </w:rPr>
              <w:t>资金按时支付</w:t>
            </w:r>
          </w:p>
        </w:tc>
        <w:tc>
          <w:tcPr>
            <w:tcW w:w="2835" w:type="dxa"/>
            <w:noWrap w:val="0"/>
            <w:vAlign w:val="top"/>
          </w:tcPr>
          <w:p>
            <w:pPr>
              <w:pStyle w:val="38"/>
              <w:spacing w:before="63"/>
              <w:ind w:left="107"/>
              <w:rPr>
                <w:color w:val="auto"/>
                <w:sz w:val="21"/>
              </w:rPr>
            </w:pPr>
            <w:r>
              <w:rPr>
                <w:color w:val="auto"/>
                <w:sz w:val="21"/>
              </w:rPr>
              <w:t>资金按时支付</w:t>
            </w:r>
          </w:p>
        </w:tc>
        <w:tc>
          <w:tcPr>
            <w:tcW w:w="2551" w:type="dxa"/>
            <w:noWrap w:val="0"/>
            <w:vAlign w:val="top"/>
          </w:tcPr>
          <w:p>
            <w:pPr>
              <w:pStyle w:val="38"/>
              <w:spacing w:before="63"/>
              <w:ind w:left="106"/>
              <w:rPr>
                <w:color w:val="auto"/>
                <w:sz w:val="21"/>
              </w:rPr>
            </w:pPr>
            <w:r>
              <w:rPr>
                <w:color w:val="auto"/>
                <w:sz w:val="21"/>
              </w:rPr>
              <w:t>按时支付</w:t>
            </w:r>
          </w:p>
        </w:tc>
        <w:tc>
          <w:tcPr>
            <w:tcW w:w="2268" w:type="dxa"/>
            <w:noWrap w:val="0"/>
            <w:vAlign w:val="top"/>
          </w:tcPr>
          <w:p>
            <w:pPr>
              <w:pStyle w:val="38"/>
              <w:spacing w:before="63"/>
              <w:ind w:left="107"/>
              <w:rPr>
                <w:color w:val="auto"/>
                <w:sz w:val="21"/>
              </w:rPr>
            </w:pPr>
            <w:r>
              <w:rPr>
                <w:color w:val="auto"/>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noWrap w:val="0"/>
            <w:vAlign w:val="top"/>
          </w:tcPr>
          <w:p>
            <w:pPr>
              <w:rPr>
                <w:color w:val="auto"/>
                <w:sz w:val="2"/>
                <w:szCs w:val="2"/>
              </w:rPr>
            </w:pPr>
          </w:p>
        </w:tc>
        <w:tc>
          <w:tcPr>
            <w:tcW w:w="2268" w:type="dxa"/>
            <w:noWrap w:val="0"/>
            <w:vAlign w:val="top"/>
          </w:tcPr>
          <w:p>
            <w:pPr>
              <w:pStyle w:val="38"/>
              <w:spacing w:before="64"/>
              <w:ind w:left="108"/>
              <w:rPr>
                <w:color w:val="auto"/>
                <w:sz w:val="21"/>
              </w:rPr>
            </w:pPr>
            <w:r>
              <w:rPr>
                <w:color w:val="auto"/>
                <w:sz w:val="21"/>
              </w:rPr>
              <w:t>时效指标</w:t>
            </w:r>
          </w:p>
        </w:tc>
        <w:tc>
          <w:tcPr>
            <w:tcW w:w="2835" w:type="dxa"/>
            <w:noWrap w:val="0"/>
            <w:vAlign w:val="top"/>
          </w:tcPr>
          <w:p>
            <w:pPr>
              <w:pStyle w:val="38"/>
              <w:spacing w:before="64"/>
              <w:ind w:left="108"/>
              <w:rPr>
                <w:color w:val="auto"/>
                <w:sz w:val="21"/>
              </w:rPr>
            </w:pPr>
            <w:r>
              <w:rPr>
                <w:color w:val="auto"/>
                <w:sz w:val="21"/>
              </w:rPr>
              <w:t>工作完成时间</w:t>
            </w:r>
          </w:p>
        </w:tc>
        <w:tc>
          <w:tcPr>
            <w:tcW w:w="2835" w:type="dxa"/>
            <w:noWrap w:val="0"/>
            <w:vAlign w:val="top"/>
          </w:tcPr>
          <w:p>
            <w:pPr>
              <w:pStyle w:val="38"/>
              <w:spacing w:before="64"/>
              <w:ind w:left="107"/>
              <w:rPr>
                <w:color w:val="auto"/>
                <w:sz w:val="21"/>
              </w:rPr>
            </w:pPr>
            <w:r>
              <w:rPr>
                <w:color w:val="auto"/>
                <w:sz w:val="21"/>
              </w:rPr>
              <w:t>协调所有工作完成时间</w:t>
            </w:r>
          </w:p>
        </w:tc>
        <w:tc>
          <w:tcPr>
            <w:tcW w:w="2551" w:type="dxa"/>
            <w:noWrap w:val="0"/>
            <w:vAlign w:val="top"/>
          </w:tcPr>
          <w:p>
            <w:pPr>
              <w:pStyle w:val="38"/>
              <w:spacing w:before="64"/>
              <w:ind w:left="106"/>
              <w:rPr>
                <w:color w:val="auto"/>
                <w:sz w:val="21"/>
              </w:rPr>
            </w:pPr>
            <w:r>
              <w:rPr>
                <w:color w:val="auto"/>
                <w:sz w:val="21"/>
              </w:rPr>
              <w:t>及时完成</w:t>
            </w:r>
          </w:p>
        </w:tc>
        <w:tc>
          <w:tcPr>
            <w:tcW w:w="2268" w:type="dxa"/>
            <w:noWrap w:val="0"/>
            <w:vAlign w:val="top"/>
          </w:tcPr>
          <w:p>
            <w:pPr>
              <w:pStyle w:val="38"/>
              <w:spacing w:before="64"/>
              <w:ind w:left="107"/>
              <w:rPr>
                <w:color w:val="auto"/>
                <w:sz w:val="21"/>
              </w:rPr>
            </w:pPr>
            <w:r>
              <w:rPr>
                <w:color w:val="auto"/>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noWrap w:val="0"/>
            <w:vAlign w:val="top"/>
          </w:tcPr>
          <w:p>
            <w:pPr>
              <w:rPr>
                <w:color w:val="auto"/>
                <w:sz w:val="2"/>
                <w:szCs w:val="2"/>
              </w:rPr>
            </w:pPr>
          </w:p>
        </w:tc>
        <w:tc>
          <w:tcPr>
            <w:tcW w:w="2268" w:type="dxa"/>
            <w:noWrap w:val="0"/>
            <w:vAlign w:val="top"/>
          </w:tcPr>
          <w:p>
            <w:pPr>
              <w:pStyle w:val="38"/>
              <w:spacing w:before="62"/>
              <w:ind w:left="108"/>
              <w:rPr>
                <w:color w:val="auto"/>
                <w:sz w:val="21"/>
              </w:rPr>
            </w:pPr>
            <w:r>
              <w:rPr>
                <w:color w:val="auto"/>
                <w:sz w:val="21"/>
              </w:rPr>
              <w:t>成本指标</w:t>
            </w:r>
          </w:p>
        </w:tc>
        <w:tc>
          <w:tcPr>
            <w:tcW w:w="2835" w:type="dxa"/>
            <w:noWrap w:val="0"/>
            <w:vAlign w:val="top"/>
          </w:tcPr>
          <w:p>
            <w:pPr>
              <w:pStyle w:val="38"/>
              <w:spacing w:before="62"/>
              <w:ind w:left="108"/>
              <w:rPr>
                <w:color w:val="auto"/>
                <w:sz w:val="21"/>
              </w:rPr>
            </w:pPr>
            <w:r>
              <w:rPr>
                <w:color w:val="auto"/>
                <w:sz w:val="21"/>
              </w:rPr>
              <w:t>资金成本</w:t>
            </w:r>
          </w:p>
        </w:tc>
        <w:tc>
          <w:tcPr>
            <w:tcW w:w="2835" w:type="dxa"/>
            <w:noWrap w:val="0"/>
            <w:vAlign w:val="top"/>
          </w:tcPr>
          <w:p>
            <w:pPr>
              <w:pStyle w:val="38"/>
              <w:spacing w:before="62"/>
              <w:ind w:left="107"/>
              <w:rPr>
                <w:color w:val="auto"/>
                <w:sz w:val="21"/>
              </w:rPr>
            </w:pPr>
            <w:r>
              <w:rPr>
                <w:color w:val="auto"/>
                <w:sz w:val="21"/>
              </w:rPr>
              <w:t>资金成本</w:t>
            </w:r>
          </w:p>
        </w:tc>
        <w:tc>
          <w:tcPr>
            <w:tcW w:w="2551" w:type="dxa"/>
            <w:noWrap w:val="0"/>
            <w:vAlign w:val="top"/>
          </w:tcPr>
          <w:p>
            <w:pPr>
              <w:pStyle w:val="38"/>
              <w:spacing w:before="62"/>
              <w:ind w:left="106"/>
              <w:rPr>
                <w:color w:val="auto"/>
                <w:sz w:val="21"/>
              </w:rPr>
            </w:pPr>
            <w:r>
              <w:rPr>
                <w:color w:val="auto"/>
                <w:sz w:val="21"/>
              </w:rPr>
              <w:t>不超预算数</w:t>
            </w:r>
          </w:p>
        </w:tc>
        <w:tc>
          <w:tcPr>
            <w:tcW w:w="2268" w:type="dxa"/>
            <w:noWrap w:val="0"/>
            <w:vAlign w:val="top"/>
          </w:tcPr>
          <w:p>
            <w:pPr>
              <w:pStyle w:val="38"/>
              <w:spacing w:before="62"/>
              <w:ind w:left="107"/>
              <w:rPr>
                <w:color w:val="auto"/>
                <w:sz w:val="21"/>
              </w:rPr>
            </w:pPr>
            <w:r>
              <w:rPr>
                <w:color w:val="auto"/>
                <w:sz w:val="21"/>
              </w:rPr>
              <w:t>年度工作计划</w:t>
            </w:r>
          </w:p>
        </w:tc>
      </w:tr>
    </w:tbl>
    <w:p>
      <w:pPr>
        <w:spacing w:after="0"/>
        <w:rPr>
          <w:color w:val="auto"/>
          <w:sz w:val="21"/>
        </w:rPr>
      </w:pPr>
    </w:p>
    <w:p>
      <w:pPr>
        <w:tabs>
          <w:tab w:val="left" w:pos="883"/>
        </w:tabs>
        <w:bidi w:val="0"/>
        <w:ind w:firstLine="640" w:firstLineChars="200"/>
        <w:jc w:val="left"/>
        <w:rPr>
          <w:color w:val="auto"/>
        </w:rPr>
      </w:pPr>
      <w:r>
        <w:rPr>
          <w:rFonts w:ascii="黑体" w:hAnsi="黑体" w:eastAsia="黑体" w:cs="黑体"/>
          <w:color w:val="auto"/>
          <w:sz w:val="32"/>
        </w:rPr>
        <w:t>六、政府采购预算情况</w:t>
      </w:r>
    </w:p>
    <w:p>
      <w:pPr>
        <w:spacing w:line="500" w:lineRule="exact"/>
        <w:ind w:firstLine="560"/>
        <w:rPr>
          <w:color w:val="auto"/>
        </w:rPr>
      </w:pPr>
      <w:r>
        <w:rPr>
          <w:rFonts w:eastAsia="方正仿宋_GBK"/>
          <w:color w:val="auto"/>
          <w:sz w:val="28"/>
        </w:rPr>
        <w:t>202</w:t>
      </w:r>
      <w:r>
        <w:rPr>
          <w:rFonts w:hint="eastAsia" w:eastAsia="方正仿宋_GBK"/>
          <w:color w:val="auto"/>
          <w:sz w:val="28"/>
          <w:lang w:val="en-US" w:eastAsia="zh-CN"/>
        </w:rPr>
        <w:t>1</w:t>
      </w:r>
      <w:r>
        <w:rPr>
          <w:rFonts w:eastAsia="方正仿宋_GBK"/>
          <w:color w:val="auto"/>
          <w:sz w:val="28"/>
        </w:rPr>
        <w:t>年，保定市自然资源和规划局满城区分局(供养人员)</w:t>
      </w:r>
      <w:r>
        <w:rPr>
          <w:rFonts w:hint="eastAsia" w:eastAsia="方正仿宋_GBK"/>
          <w:color w:val="auto"/>
          <w:sz w:val="28"/>
          <w:lang w:eastAsia="zh-CN"/>
        </w:rPr>
        <w:t>无政府采购预算，空表列示</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324005保定市自然资源和规划局满城区分局(供养人员)</w:t>
            </w:r>
          </w:p>
        </w:tc>
        <w:tc>
          <w:tcPr>
            <w:tcW w:w="8676" w:type="dxa"/>
            <w:gridSpan w:val="9"/>
            <w:tcBorders>
              <w:top w:val="single" w:color="FFFFFF" w:sz="6" w:space="0"/>
              <w:left w:val="single" w:color="FFFFFF" w:sz="6" w:space="0"/>
              <w:right w:val="single" w:color="FFFFFF" w:sz="6" w:space="0"/>
            </w:tcBorders>
            <w:noWrap w:val="0"/>
            <w:vAlign w:val="center"/>
          </w:tcPr>
          <w:p>
            <w:pPr>
              <w:pStyle w:val="2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5"/>
              <w:rPr>
                <w:color w:val="auto"/>
              </w:rPr>
            </w:pPr>
            <w:r>
              <w:rPr>
                <w:color w:val="auto"/>
              </w:rPr>
              <w:t>政府采购项目来源</w:t>
            </w:r>
          </w:p>
        </w:tc>
        <w:tc>
          <w:tcPr>
            <w:tcW w:w="1134" w:type="dxa"/>
            <w:vMerge w:val="restart"/>
            <w:noWrap w:val="0"/>
            <w:vAlign w:val="center"/>
          </w:tcPr>
          <w:p>
            <w:pPr>
              <w:pStyle w:val="15"/>
              <w:rPr>
                <w:color w:val="auto"/>
              </w:rPr>
            </w:pPr>
            <w:r>
              <w:rPr>
                <w:color w:val="auto"/>
              </w:rPr>
              <w:t>采购物品名称</w:t>
            </w:r>
          </w:p>
        </w:tc>
        <w:tc>
          <w:tcPr>
            <w:tcW w:w="1134" w:type="dxa"/>
            <w:vMerge w:val="restart"/>
            <w:noWrap w:val="0"/>
            <w:vAlign w:val="center"/>
          </w:tcPr>
          <w:p>
            <w:pPr>
              <w:pStyle w:val="15"/>
              <w:rPr>
                <w:color w:val="auto"/>
              </w:rPr>
            </w:pPr>
            <w:r>
              <w:rPr>
                <w:color w:val="auto"/>
              </w:rPr>
              <w:t>政府采购目录序号</w:t>
            </w:r>
          </w:p>
        </w:tc>
        <w:tc>
          <w:tcPr>
            <w:tcW w:w="709" w:type="dxa"/>
            <w:vMerge w:val="restart"/>
            <w:noWrap w:val="0"/>
            <w:vAlign w:val="center"/>
          </w:tcPr>
          <w:p>
            <w:pPr>
              <w:pStyle w:val="15"/>
              <w:rPr>
                <w:color w:val="auto"/>
              </w:rPr>
            </w:pPr>
            <w:r>
              <w:rPr>
                <w:color w:val="auto"/>
              </w:rPr>
              <w:t>计量  单位</w:t>
            </w:r>
          </w:p>
        </w:tc>
        <w:tc>
          <w:tcPr>
            <w:tcW w:w="850" w:type="dxa"/>
            <w:vMerge w:val="restart"/>
            <w:noWrap w:val="0"/>
            <w:vAlign w:val="center"/>
          </w:tcPr>
          <w:p>
            <w:pPr>
              <w:pStyle w:val="15"/>
              <w:rPr>
                <w:color w:val="auto"/>
              </w:rPr>
            </w:pPr>
            <w:r>
              <w:rPr>
                <w:color w:val="auto"/>
              </w:rPr>
              <w:t>数量</w:t>
            </w:r>
          </w:p>
        </w:tc>
        <w:tc>
          <w:tcPr>
            <w:tcW w:w="850" w:type="dxa"/>
            <w:vMerge w:val="restart"/>
            <w:noWrap w:val="0"/>
            <w:vAlign w:val="center"/>
          </w:tcPr>
          <w:p>
            <w:pPr>
              <w:pStyle w:val="15"/>
              <w:rPr>
                <w:color w:val="auto"/>
              </w:rPr>
            </w:pPr>
            <w:r>
              <w:rPr>
                <w:color w:val="auto"/>
              </w:rPr>
              <w:t>单价</w:t>
            </w:r>
          </w:p>
        </w:tc>
        <w:tc>
          <w:tcPr>
            <w:tcW w:w="7712" w:type="dxa"/>
            <w:gridSpan w:val="8"/>
            <w:noWrap w:val="0"/>
            <w:vAlign w:val="center"/>
          </w:tcPr>
          <w:p>
            <w:pPr>
              <w:pStyle w:val="15"/>
              <w:rPr>
                <w:color w:val="auto"/>
              </w:rPr>
            </w:pPr>
            <w:r>
              <w:rPr>
                <w:color w:val="auto"/>
              </w:rPr>
              <w:t>政府采购金额（当年部门预算安排资金）</w:t>
            </w:r>
          </w:p>
        </w:tc>
        <w:tc>
          <w:tcPr>
            <w:tcW w:w="964" w:type="dxa"/>
            <w:vMerge w:val="restart"/>
            <w:noWrap w:val="0"/>
            <w:vAlign w:val="center"/>
          </w:tcPr>
          <w:p>
            <w:pPr>
              <w:pStyle w:val="15"/>
              <w:rPr>
                <w:color w:val="auto"/>
              </w:rPr>
            </w:pPr>
            <w:r>
              <w:rPr>
                <w:color w:val="auto"/>
              </w:rPr>
              <w:t>202</w:t>
            </w:r>
            <w:r>
              <w:rPr>
                <w:rFonts w:hint="eastAsia"/>
                <w:color w:val="auto"/>
                <w:lang w:val="en-US" w:eastAsia="zh-CN"/>
              </w:rPr>
              <w:t>1</w:t>
            </w:r>
            <w:r>
              <w:rPr>
                <w:color w:val="auto"/>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5"/>
              <w:rPr>
                <w:color w:val="auto"/>
              </w:rPr>
            </w:pPr>
            <w:r>
              <w:rPr>
                <w:color w:val="auto"/>
              </w:rPr>
              <w:t>项目名称</w:t>
            </w:r>
          </w:p>
        </w:tc>
        <w:tc>
          <w:tcPr>
            <w:tcW w:w="964" w:type="dxa"/>
            <w:noWrap w:val="0"/>
            <w:vAlign w:val="center"/>
          </w:tcPr>
          <w:p>
            <w:pPr>
              <w:pStyle w:val="15"/>
              <w:rPr>
                <w:color w:val="auto"/>
              </w:rPr>
            </w:pPr>
            <w:r>
              <w:rPr>
                <w:color w:val="auto"/>
              </w:rPr>
              <w:t>预算    资金</w:t>
            </w:r>
          </w:p>
        </w:tc>
        <w:tc>
          <w:tcPr>
            <w:tcW w:w="1134" w:type="dxa"/>
            <w:vMerge w:val="continue"/>
            <w:noWrap w:val="0"/>
            <w:vAlign w:val="top"/>
          </w:tcPr>
          <w:p>
            <w:pPr>
              <w:rPr>
                <w:color w:val="auto"/>
              </w:rPr>
            </w:pPr>
          </w:p>
        </w:tc>
        <w:tc>
          <w:tcPr>
            <w:tcW w:w="1134" w:type="dxa"/>
            <w:vMerge w:val="continue"/>
            <w:noWrap w:val="0"/>
            <w:vAlign w:val="top"/>
          </w:tcPr>
          <w:p>
            <w:pPr>
              <w:rPr>
                <w:color w:val="auto"/>
              </w:rPr>
            </w:pPr>
          </w:p>
        </w:tc>
        <w:tc>
          <w:tcPr>
            <w:tcW w:w="709" w:type="dxa"/>
            <w:vMerge w:val="continue"/>
            <w:noWrap w:val="0"/>
            <w:vAlign w:val="top"/>
          </w:tcPr>
          <w:p>
            <w:pPr>
              <w:rPr>
                <w:color w:val="auto"/>
              </w:rPr>
            </w:pPr>
          </w:p>
        </w:tc>
        <w:tc>
          <w:tcPr>
            <w:tcW w:w="850" w:type="dxa"/>
            <w:vMerge w:val="continue"/>
            <w:noWrap w:val="0"/>
            <w:vAlign w:val="top"/>
          </w:tcPr>
          <w:p>
            <w:pPr>
              <w:rPr>
                <w:color w:val="auto"/>
              </w:rPr>
            </w:pPr>
          </w:p>
        </w:tc>
        <w:tc>
          <w:tcPr>
            <w:tcW w:w="850" w:type="dxa"/>
            <w:vMerge w:val="continue"/>
            <w:noWrap w:val="0"/>
            <w:vAlign w:val="top"/>
          </w:tcPr>
          <w:p>
            <w:pPr>
              <w:rPr>
                <w:color w:val="auto"/>
              </w:rPr>
            </w:pPr>
          </w:p>
        </w:tc>
        <w:tc>
          <w:tcPr>
            <w:tcW w:w="964" w:type="dxa"/>
            <w:noWrap w:val="0"/>
            <w:vAlign w:val="center"/>
          </w:tcPr>
          <w:p>
            <w:pPr>
              <w:pStyle w:val="15"/>
              <w:rPr>
                <w:color w:val="auto"/>
              </w:rPr>
            </w:pPr>
            <w:r>
              <w:rPr>
                <w:color w:val="auto"/>
              </w:rPr>
              <w:t>合计</w:t>
            </w:r>
          </w:p>
        </w:tc>
        <w:tc>
          <w:tcPr>
            <w:tcW w:w="964" w:type="dxa"/>
            <w:noWrap w:val="0"/>
            <w:vAlign w:val="center"/>
          </w:tcPr>
          <w:p>
            <w:pPr>
              <w:pStyle w:val="15"/>
              <w:rPr>
                <w:color w:val="auto"/>
              </w:rPr>
            </w:pPr>
            <w:r>
              <w:rPr>
                <w:color w:val="auto"/>
              </w:rPr>
              <w:t>一般公共预算拨款</w:t>
            </w:r>
          </w:p>
        </w:tc>
        <w:tc>
          <w:tcPr>
            <w:tcW w:w="964" w:type="dxa"/>
            <w:noWrap w:val="0"/>
            <w:vAlign w:val="center"/>
          </w:tcPr>
          <w:p>
            <w:pPr>
              <w:pStyle w:val="15"/>
              <w:rPr>
                <w:color w:val="auto"/>
              </w:rPr>
            </w:pPr>
            <w:r>
              <w:rPr>
                <w:color w:val="auto"/>
              </w:rPr>
              <w:t>基金预算拨款</w:t>
            </w:r>
          </w:p>
        </w:tc>
        <w:tc>
          <w:tcPr>
            <w:tcW w:w="964" w:type="dxa"/>
            <w:noWrap w:val="0"/>
            <w:vAlign w:val="center"/>
          </w:tcPr>
          <w:p>
            <w:pPr>
              <w:pStyle w:val="15"/>
              <w:rPr>
                <w:color w:val="auto"/>
              </w:rPr>
            </w:pPr>
            <w:r>
              <w:rPr>
                <w:color w:val="auto"/>
              </w:rPr>
              <w:t>国有资本经营预算拨款</w:t>
            </w:r>
          </w:p>
        </w:tc>
        <w:tc>
          <w:tcPr>
            <w:tcW w:w="964" w:type="dxa"/>
            <w:noWrap w:val="0"/>
            <w:vAlign w:val="center"/>
          </w:tcPr>
          <w:p>
            <w:pPr>
              <w:pStyle w:val="15"/>
              <w:rPr>
                <w:color w:val="auto"/>
              </w:rPr>
            </w:pPr>
            <w:r>
              <w:rPr>
                <w:color w:val="auto"/>
              </w:rPr>
              <w:t>财政专户核拨</w:t>
            </w:r>
          </w:p>
        </w:tc>
        <w:tc>
          <w:tcPr>
            <w:tcW w:w="964" w:type="dxa"/>
            <w:noWrap w:val="0"/>
            <w:vAlign w:val="center"/>
          </w:tcPr>
          <w:p>
            <w:pPr>
              <w:pStyle w:val="15"/>
              <w:rPr>
                <w:color w:val="auto"/>
              </w:rPr>
            </w:pPr>
            <w:r>
              <w:rPr>
                <w:color w:val="auto"/>
              </w:rPr>
              <w:t>单位    资金</w:t>
            </w:r>
          </w:p>
        </w:tc>
        <w:tc>
          <w:tcPr>
            <w:tcW w:w="964" w:type="dxa"/>
            <w:noWrap w:val="0"/>
            <w:vAlign w:val="center"/>
          </w:tcPr>
          <w:p>
            <w:pPr>
              <w:pStyle w:val="15"/>
              <w:rPr>
                <w:color w:val="auto"/>
              </w:rPr>
            </w:pPr>
            <w:r>
              <w:rPr>
                <w:color w:val="auto"/>
              </w:rPr>
              <w:t>财政拨    款结转</w:t>
            </w:r>
          </w:p>
        </w:tc>
        <w:tc>
          <w:tcPr>
            <w:tcW w:w="964" w:type="dxa"/>
            <w:noWrap w:val="0"/>
            <w:vAlign w:val="center"/>
          </w:tcPr>
          <w:p>
            <w:pPr>
              <w:pStyle w:val="15"/>
              <w:rPr>
                <w:color w:val="auto"/>
              </w:rPr>
            </w:pPr>
            <w:r>
              <w:rPr>
                <w:color w:val="auto"/>
              </w:rPr>
              <w:t>非财政    拨款结    转结余</w:t>
            </w:r>
          </w:p>
        </w:tc>
        <w:tc>
          <w:tcPr>
            <w:tcW w:w="964"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7"/>
              <w:rPr>
                <w:color w:val="auto"/>
              </w:rPr>
            </w:pPr>
          </w:p>
        </w:tc>
        <w:tc>
          <w:tcPr>
            <w:tcW w:w="964" w:type="dxa"/>
            <w:noWrap w:val="0"/>
            <w:vAlign w:val="center"/>
          </w:tcPr>
          <w:p>
            <w:pPr>
              <w:pStyle w:val="16"/>
              <w:rPr>
                <w:color w:val="auto"/>
              </w:rPr>
            </w:pPr>
          </w:p>
        </w:tc>
        <w:tc>
          <w:tcPr>
            <w:tcW w:w="1134" w:type="dxa"/>
            <w:noWrap w:val="0"/>
            <w:vAlign w:val="center"/>
          </w:tcPr>
          <w:p>
            <w:pPr>
              <w:pStyle w:val="17"/>
              <w:rPr>
                <w:color w:val="auto"/>
              </w:rPr>
            </w:pPr>
          </w:p>
        </w:tc>
        <w:tc>
          <w:tcPr>
            <w:tcW w:w="1134" w:type="dxa"/>
            <w:noWrap w:val="0"/>
            <w:vAlign w:val="center"/>
          </w:tcPr>
          <w:p>
            <w:pPr>
              <w:pStyle w:val="17"/>
              <w:rPr>
                <w:color w:val="auto"/>
              </w:rPr>
            </w:pPr>
          </w:p>
        </w:tc>
        <w:tc>
          <w:tcPr>
            <w:tcW w:w="709" w:type="dxa"/>
            <w:noWrap w:val="0"/>
            <w:vAlign w:val="center"/>
          </w:tcPr>
          <w:p>
            <w:pPr>
              <w:pStyle w:val="18"/>
              <w:rPr>
                <w:color w:val="auto"/>
              </w:rPr>
            </w:pPr>
          </w:p>
        </w:tc>
        <w:tc>
          <w:tcPr>
            <w:tcW w:w="850" w:type="dxa"/>
            <w:noWrap w:val="0"/>
            <w:vAlign w:val="center"/>
          </w:tcPr>
          <w:p>
            <w:pPr>
              <w:pStyle w:val="16"/>
              <w:rPr>
                <w:color w:val="auto"/>
              </w:rPr>
            </w:pPr>
          </w:p>
        </w:tc>
        <w:tc>
          <w:tcPr>
            <w:tcW w:w="850"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r>
    </w:tbl>
    <w:p>
      <w:pPr>
        <w:spacing w:line="500" w:lineRule="exact"/>
        <w:ind w:firstLine="420"/>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spacing w:before="10" w:after="10"/>
        <w:ind w:firstLine="640"/>
        <w:outlineLvl w:val="5"/>
        <w:rPr>
          <w:color w:val="auto"/>
        </w:rPr>
      </w:pPr>
      <w:r>
        <w:rPr>
          <w:rFonts w:ascii="黑体" w:hAnsi="黑体" w:eastAsia="黑体" w:cs="黑体"/>
          <w:color w:val="auto"/>
          <w:sz w:val="32"/>
        </w:rPr>
        <w:t>七、国有资产信息</w:t>
      </w:r>
    </w:p>
    <w:p>
      <w:pPr>
        <w:spacing w:line="500" w:lineRule="exact"/>
        <w:ind w:firstLine="560"/>
        <w:rPr>
          <w:color w:val="auto"/>
        </w:rPr>
      </w:pPr>
      <w:r>
        <w:rPr>
          <w:rFonts w:eastAsia="方正仿宋_GBK"/>
          <w:color w:val="auto"/>
          <w:sz w:val="28"/>
        </w:rPr>
        <w:t>保定市自然资源和规划局满城区分局(供养人员)上年末固定资产金额为0.00万元（详见下表）。本年度</w:t>
      </w:r>
      <w:r>
        <w:rPr>
          <w:rFonts w:hint="eastAsia" w:eastAsia="方正仿宋_GBK"/>
          <w:color w:val="auto"/>
          <w:sz w:val="28"/>
          <w:lang w:eastAsia="zh-CN"/>
        </w:rPr>
        <w:t>无</w:t>
      </w:r>
      <w:r>
        <w:rPr>
          <w:rFonts w:eastAsia="方正仿宋_GBK"/>
          <w:color w:val="auto"/>
          <w:sz w:val="28"/>
        </w:rPr>
        <w:t>拟购置固定资产</w:t>
      </w:r>
      <w:r>
        <w:rPr>
          <w:rFonts w:hint="eastAsia" w:eastAsia="方正仿宋_GBK"/>
          <w:color w:val="auto"/>
          <w:sz w:val="28"/>
          <w:lang w:eastAsia="zh-CN"/>
        </w:rPr>
        <w:t>计划</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5"/>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324005保定市自然资源和规划局满城区分局(供养人员)</w:t>
            </w:r>
          </w:p>
        </w:tc>
        <w:tc>
          <w:tcPr>
            <w:tcW w:w="5670"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截止时间：202</w:t>
            </w:r>
            <w:r>
              <w:rPr>
                <w:rFonts w:hint="eastAsia"/>
                <w:color w:val="auto"/>
                <w:lang w:val="en-US" w:eastAsia="zh-CN"/>
              </w:rPr>
              <w:t>0</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5"/>
              <w:rPr>
                <w:color w:val="auto"/>
              </w:rPr>
            </w:pPr>
            <w:r>
              <w:rPr>
                <w:color w:val="auto"/>
              </w:rPr>
              <w:t>项   目</w:t>
            </w:r>
          </w:p>
        </w:tc>
        <w:tc>
          <w:tcPr>
            <w:tcW w:w="2835" w:type="dxa"/>
            <w:noWrap w:val="0"/>
            <w:vAlign w:val="center"/>
          </w:tcPr>
          <w:p>
            <w:pPr>
              <w:pStyle w:val="15"/>
              <w:rPr>
                <w:color w:val="auto"/>
              </w:rPr>
            </w:pPr>
            <w:r>
              <w:rPr>
                <w:color w:val="auto"/>
              </w:rPr>
              <w:t>数量</w:t>
            </w:r>
          </w:p>
        </w:tc>
        <w:tc>
          <w:tcPr>
            <w:tcW w:w="2835" w:type="dxa"/>
            <w:noWrap w:val="0"/>
            <w:vAlign w:val="center"/>
          </w:tcPr>
          <w:p>
            <w:pPr>
              <w:pStyle w:val="15"/>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color w:val="auto"/>
              </w:rPr>
            </w:pPr>
          </w:p>
        </w:tc>
        <w:tc>
          <w:tcPr>
            <w:tcW w:w="2835" w:type="dxa"/>
            <w:noWrap w:val="0"/>
            <w:vAlign w:val="center"/>
          </w:tcPr>
          <w:p>
            <w:pPr>
              <w:pStyle w:val="18"/>
              <w:rPr>
                <w:color w:val="auto"/>
              </w:rPr>
            </w:pPr>
          </w:p>
        </w:tc>
        <w:tc>
          <w:tcPr>
            <w:tcW w:w="2835" w:type="dxa"/>
            <w:noWrap w:val="0"/>
            <w:vAlign w:val="center"/>
          </w:tcPr>
          <w:p>
            <w:pPr>
              <w:pStyle w:val="16"/>
              <w:rPr>
                <w:color w:val="auto"/>
              </w:rPr>
            </w:pPr>
          </w:p>
        </w:tc>
      </w:tr>
    </w:tbl>
    <w:p>
      <w:pPr>
        <w:ind w:firstLine="420"/>
        <w:rPr>
          <w:color w:val="auto"/>
        </w:rPr>
      </w:pPr>
      <w:r>
        <w:rPr>
          <w:rFonts w:ascii="方正书宋_GBK" w:hAnsi="方正书宋_GBK" w:eastAsia="方正书宋_GBK" w:cs="方正书宋_GBK"/>
          <w:color w:val="auto"/>
          <w:sz w:val="21"/>
        </w:rPr>
        <w:t>注：无固定资产占用情况，空表列示。</w:t>
      </w:r>
    </w:p>
    <w:p>
      <w:pPr>
        <w:ind w:firstLine="640"/>
        <w:rPr>
          <w:color w:val="auto"/>
        </w:rPr>
      </w:pPr>
      <w:r>
        <w:rPr>
          <w:rFonts w:eastAsia="方正仿宋_GBK"/>
          <w:color w:val="auto"/>
          <w:sz w:val="32"/>
        </w:rPr>
        <w:t xml:space="preserve"> </w:t>
      </w:r>
    </w:p>
    <w:p>
      <w:pPr>
        <w:spacing w:before="10" w:after="10"/>
        <w:ind w:firstLine="640"/>
        <w:outlineLvl w:val="5"/>
        <w:rPr>
          <w:color w:val="auto"/>
        </w:rPr>
      </w:pPr>
      <w:r>
        <w:rPr>
          <w:rFonts w:ascii="黑体" w:hAnsi="黑体" w:eastAsia="黑体" w:cs="黑体"/>
          <w:color w:val="auto"/>
          <w:sz w:val="32"/>
        </w:rPr>
        <w:t>八、名词解释</w:t>
      </w:r>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区</w:t>
      </w:r>
      <w:r>
        <w:rPr>
          <w:rFonts w:eastAsia="方正仿宋_GBK"/>
          <w:color w:val="auto"/>
          <w:sz w:val="28"/>
        </w:rPr>
        <w:t>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w:t>
      </w:r>
      <w:r>
        <w:rPr>
          <w:rFonts w:hint="eastAsia" w:eastAsia="方正仿宋_GBK"/>
          <w:color w:val="auto"/>
          <w:sz w:val="28"/>
          <w:lang w:eastAsia="zh-CN"/>
        </w:rPr>
        <w:t>区</w:t>
      </w:r>
      <w:r>
        <w:rPr>
          <w:rFonts w:eastAsia="方正仿宋_GBK"/>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5"/>
        <w:rPr>
          <w:color w:val="auto"/>
        </w:rPr>
      </w:pPr>
      <w:r>
        <w:rPr>
          <w:rFonts w:ascii="黑体" w:hAnsi="黑体" w:eastAsia="黑体" w:cs="黑体"/>
          <w:color w:val="auto"/>
          <w:sz w:val="32"/>
        </w:rPr>
        <w:t>九、其他需要说明的事项</w:t>
      </w:r>
    </w:p>
    <w:p>
      <w:pPr>
        <w:spacing w:line="500" w:lineRule="exact"/>
        <w:ind w:firstLine="560"/>
        <w:rPr>
          <w:color w:val="auto"/>
        </w:rPr>
        <w:sectPr>
          <w:pgSz w:w="16838" w:h="11905" w:orient="landscape"/>
          <w:pgMar w:top="1304" w:right="1984" w:bottom="1304" w:left="1134" w:header="850" w:footer="992" w:gutter="0"/>
          <w:cols w:space="720" w:num="1"/>
          <w:rtlGutter w:val="0"/>
          <w:docGrid w:type="lines" w:linePitch="332" w:charSpace="0"/>
        </w:sectPr>
      </w:pPr>
      <w:r>
        <w:rPr>
          <w:rFonts w:eastAsia="方正仿宋_GBK"/>
          <w:color w:val="auto"/>
          <w:sz w:val="28"/>
        </w:rPr>
        <w:t>我单位无其他需要说明的事项。</w:t>
      </w:r>
    </w:p>
    <w:p>
      <w:pPr>
        <w:jc w:val="center"/>
        <w:outlineLvl w:val="3"/>
        <w:rPr>
          <w:color w:val="auto"/>
        </w:rPr>
      </w:pPr>
      <w:bookmarkStart w:id="23" w:name="_Toc_4_4_0000000024"/>
      <w:r>
        <w:rPr>
          <w:rFonts w:hint="eastAsia" w:ascii="方正小标宋_GBK" w:hAnsi="方正小标宋_GBK" w:eastAsia="方正小标宋_GBK" w:cs="方正小标宋_GBK"/>
          <w:color w:val="auto"/>
          <w:sz w:val="44"/>
          <w:lang w:val="en-US" w:eastAsia="zh-CN"/>
        </w:rPr>
        <w:t>四</w:t>
      </w:r>
      <w:r>
        <w:rPr>
          <w:rFonts w:ascii="方正小标宋_GBK" w:hAnsi="方正小标宋_GBK" w:eastAsia="方正小标宋_GBK" w:cs="方正小标宋_GBK"/>
          <w:color w:val="auto"/>
          <w:sz w:val="44"/>
        </w:rPr>
        <w:t>、保定市自然资源和规划局满城区分局(自收自支)收支预算</w:t>
      </w:r>
      <w:bookmarkEnd w:id="23"/>
    </w:p>
    <w:p>
      <w:pPr>
        <w:jc w:val="center"/>
        <w:outlineLvl w:val="4"/>
        <w:rPr>
          <w:rFonts w:ascii="方正小标宋_GBK" w:hAnsi="方正小标宋_GBK" w:eastAsia="方正小标宋_GBK" w:cs="方正小标宋_GBK"/>
          <w:color w:val="auto"/>
          <w:sz w:val="36"/>
        </w:rPr>
      </w:pPr>
      <w:r>
        <w:rPr>
          <w:rFonts w:ascii="方正小标宋_GBK" w:hAnsi="方正小标宋_GBK" w:eastAsia="方正小标宋_GBK" w:cs="方正小标宋_GBK"/>
          <w:color w:val="auto"/>
          <w:sz w:val="36"/>
        </w:rPr>
        <w:t>单位预算收支总表</w:t>
      </w:r>
    </w:p>
    <w:tbl>
      <w:tblPr>
        <w:tblStyle w:val="5"/>
        <w:tblW w:w="132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4"/>
        <w:gridCol w:w="6565"/>
        <w:gridCol w:w="57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539" w:type="dxa"/>
            <w:gridSpan w:val="2"/>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default" w:ascii="方正小标宋_GBK" w:eastAsia="方正小标宋_GBK"/>
                <w:color w:val="auto"/>
                <w:sz w:val="24"/>
                <w:lang w:val="en-US" w:eastAsia="zh-CN"/>
              </w:rPr>
            </w:pPr>
            <w:r>
              <w:rPr>
                <w:color w:val="auto"/>
              </w:rPr>
              <w:t>324006保定市自然资源和规划局满城区分局(自收自支)</w:t>
            </w:r>
          </w:p>
        </w:tc>
        <w:tc>
          <w:tcPr>
            <w:tcW w:w="5751" w:type="dxa"/>
            <w:tcBorders>
              <w:top w:val="single" w:color="FFFFFF" w:sz="6" w:space="0"/>
              <w:left w:val="single" w:color="FFFFFF" w:sz="6" w:space="0"/>
              <w:right w:val="single" w:color="FFFFFF" w:sz="6" w:space="0"/>
            </w:tcBorders>
            <w:noWrap w:val="0"/>
            <w:vAlign w:val="center"/>
          </w:tcPr>
          <w:p>
            <w:pPr>
              <w:spacing w:line="240" w:lineRule="auto"/>
              <w:ind w:left="0" w:firstLine="0" w:firstLineChars="0"/>
              <w:jc w:val="left"/>
              <w:rPr>
                <w:rFonts w:ascii="方正书宋_GBK" w:eastAsia="方正书宋_GBK"/>
                <w:color w:val="auto"/>
                <w:sz w:val="24"/>
              </w:rPr>
            </w:pPr>
            <w:r>
              <w:rPr>
                <w:color w:val="auto"/>
              </w:rPr>
              <w:t>预算年度：202</w:t>
            </w:r>
            <w:r>
              <w:rPr>
                <w:rFonts w:hint="eastAsia"/>
                <w:color w:val="auto"/>
                <w:lang w:val="en-US" w:eastAsia="zh-CN"/>
              </w:rPr>
              <w:t>1</w:t>
            </w:r>
            <w:r>
              <w:rPr>
                <w:rFonts w:hint="eastAsia" w:eastAsia="宋体"/>
                <w:color w:val="auto"/>
                <w:lang w:val="en-US" w:eastAsia="zh-CN"/>
              </w:rPr>
              <w:t xml:space="preserve">                                 </w:t>
            </w:r>
            <w:r>
              <w:rPr>
                <w:rFonts w:hint="eastAsia" w:ascii="方正书宋_GBK" w:eastAsia="方正书宋_GBK"/>
                <w:color w:val="auto"/>
                <w:sz w:val="24"/>
              </w:rPr>
              <w:t>单位：万元</w:t>
            </w:r>
            <w:r>
              <w:rPr>
                <w:rFonts w:hint="eastAsia" w:eastAsia="宋体"/>
                <w:color w:val="auto"/>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7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项</w:t>
            </w:r>
            <w:r>
              <w:rPr>
                <w:rFonts w:ascii="方正书宋_GBK" w:eastAsia="方正书宋_GBK"/>
                <w:b/>
                <w:color w:val="auto"/>
              </w:rPr>
              <w:t xml:space="preserve">  </w:t>
            </w:r>
            <w:r>
              <w:rPr>
                <w:rFonts w:hint="eastAsia" w:ascii="方正书宋_GBK" w:eastAsia="方正书宋_GBK"/>
                <w:b/>
                <w:color w:val="auto"/>
              </w:rPr>
              <w:t>目代</w:t>
            </w:r>
            <w:r>
              <w:rPr>
                <w:rFonts w:ascii="方正书宋_GBK" w:eastAsia="方正书宋_GBK"/>
                <w:b/>
                <w:color w:val="auto"/>
              </w:rPr>
              <w:t xml:space="preserve">  </w:t>
            </w:r>
            <w:r>
              <w:rPr>
                <w:rFonts w:hint="eastAsia" w:ascii="方正书宋_GBK" w:eastAsia="方正书宋_GBK"/>
                <w:b/>
                <w:color w:val="auto"/>
              </w:rPr>
              <w:t>码</w:t>
            </w:r>
          </w:p>
        </w:tc>
        <w:tc>
          <w:tcPr>
            <w:tcW w:w="6565"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预算收支项目</w:t>
            </w:r>
          </w:p>
        </w:tc>
        <w:tc>
          <w:tcPr>
            <w:tcW w:w="5751"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预算收入</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20936.57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本年收入</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20936.57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一般公共预算拨款</w:t>
            </w:r>
          </w:p>
        </w:tc>
        <w:tc>
          <w:tcPr>
            <w:tcW w:w="5751" w:type="dxa"/>
            <w:noWrap w:val="0"/>
            <w:vAlign w:val="center"/>
          </w:tcPr>
          <w:p>
            <w:pPr>
              <w:spacing w:line="300" w:lineRule="exact"/>
              <w:jc w:val="right"/>
              <w:rPr>
                <w:rFonts w:ascii="方正书宋_GBK" w:eastAsia="方正书宋_GBK"/>
                <w:color w:val="auto"/>
              </w:rPr>
            </w:pPr>
            <w:r>
              <w:rPr>
                <w:rFonts w:ascii="方正书宋_GBK" w:eastAsia="方正书宋_GBK"/>
                <w:color w:val="auto"/>
              </w:rPr>
              <w:t>12659.16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其中：财政拨款</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行政事业性收费</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ascii="方正书宋_GBK" w:eastAsia="方正书宋_GBK"/>
                <w:color w:val="auto"/>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专项收入</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国有资源（资产）有偿使用收入</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ascii="方正书宋_GBK" w:eastAsia="方正书宋_GBK"/>
                <w:color w:val="auto"/>
              </w:rPr>
              <w:t>12487.00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政府住房基金收入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上级一般公共预算安排转移支付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一般债券</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其他</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ascii="方正书宋_GBK" w:eastAsia="方正书宋_GBK"/>
                <w:color w:val="auto"/>
              </w:rPr>
              <w:t>162.16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基金预算拨款</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ascii="方正书宋_GBK" w:eastAsia="方正书宋_GBK"/>
                <w:color w:val="auto"/>
              </w:rPr>
              <w:t>8277.41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其中：政府性基金收入</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ascii="方正书宋_GBK" w:eastAsia="方正书宋_GBK"/>
                <w:color w:val="auto"/>
              </w:rPr>
              <w:t>8277.41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专项债券对应项目专项收入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上级政府性基金预算安排转移支付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专项债券</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3</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国有资本经营预算拨款</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其中：国有资本经营收入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上级国有资本经营预算安排转移支付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4</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财政专户核拨</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5</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其他来源收入（单位资金）</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其中：事业收入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上级补助收入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附属单位上缴收入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事业单位经营收入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其他收入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上年结转结余</w:t>
            </w:r>
          </w:p>
        </w:tc>
        <w:tc>
          <w:tcPr>
            <w:tcW w:w="5751"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一般公共预算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政府性基金预算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3</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国有资本经营预算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4</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财政专户核拨</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5</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其他来源收入（单位资金）</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预算支出</w:t>
            </w:r>
          </w:p>
        </w:tc>
        <w:tc>
          <w:tcPr>
            <w:tcW w:w="5751" w:type="dxa"/>
            <w:noWrap w:val="0"/>
            <w:vAlign w:val="center"/>
          </w:tcPr>
          <w:p>
            <w:pPr>
              <w:spacing w:line="300" w:lineRule="exact"/>
              <w:jc w:val="right"/>
              <w:rPr>
                <w:rFonts w:hint="default" w:ascii="方正书宋_GBK" w:eastAsia="方正书宋_GBK"/>
                <w:b/>
                <w:color w:val="auto"/>
                <w:lang w:val="en-US" w:eastAsia="zh-CN"/>
              </w:rPr>
            </w:pPr>
            <w:r>
              <w:rPr>
                <w:rFonts w:ascii="方正书宋_GBK" w:eastAsia="方正书宋_GBK"/>
                <w:b/>
                <w:color w:val="auto"/>
              </w:rPr>
              <w:t>20936.57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本年收入安排</w:t>
            </w:r>
          </w:p>
        </w:tc>
        <w:tc>
          <w:tcPr>
            <w:tcW w:w="5751" w:type="dxa"/>
            <w:noWrap w:val="0"/>
            <w:vAlign w:val="center"/>
          </w:tcPr>
          <w:p>
            <w:pPr>
              <w:spacing w:line="300" w:lineRule="exact"/>
              <w:jc w:val="right"/>
              <w:rPr>
                <w:rFonts w:ascii="方正书宋_GBK" w:hAnsi="Times New Roman" w:eastAsia="方正书宋_GBK" w:cs="Times New Roman"/>
                <w:b/>
                <w:color w:val="auto"/>
                <w:sz w:val="24"/>
                <w:szCs w:val="24"/>
                <w:lang w:val="en-US" w:eastAsia="uk-UA" w:bidi="ar-SA"/>
              </w:rPr>
            </w:pPr>
            <w:r>
              <w:rPr>
                <w:rFonts w:ascii="方正书宋_GBK" w:eastAsia="方正书宋_GBK"/>
                <w:b/>
                <w:color w:val="auto"/>
              </w:rPr>
              <w:t>20936.57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基本支出</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ascii="方正书宋_GBK" w:eastAsia="方正书宋_GBK"/>
                <w:color w:val="auto"/>
              </w:rPr>
              <w:t>69.01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其中：人员经费</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日常公用经费</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ascii="方正书宋_GBK" w:eastAsia="方正书宋_GBK"/>
                <w:color w:val="auto"/>
              </w:rPr>
              <w:t>69.01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项目支出</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ascii="方正书宋_GBK" w:eastAsia="方正书宋_GBK"/>
                <w:color w:val="auto"/>
              </w:rPr>
              <w:t>20867.56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上年结转安排</w:t>
            </w:r>
          </w:p>
        </w:tc>
        <w:tc>
          <w:tcPr>
            <w:tcW w:w="5751" w:type="dxa"/>
            <w:noWrap w:val="0"/>
            <w:vAlign w:val="center"/>
          </w:tcPr>
          <w:p>
            <w:pPr>
              <w:spacing w:line="300" w:lineRule="exact"/>
              <w:jc w:val="right"/>
              <w:rPr>
                <w:rFonts w:ascii="方正书宋_GBK" w:eastAsia="方正书宋_GBK"/>
                <w:b/>
                <w:color w:val="auto"/>
              </w:rPr>
            </w:pPr>
          </w:p>
        </w:tc>
      </w:tr>
    </w:tbl>
    <w:p>
      <w:pPr>
        <w:jc w:val="center"/>
        <w:outlineLvl w:val="4"/>
        <w:rPr>
          <w:rFonts w:ascii="方正小标宋_GBK" w:hAnsi="方正小标宋_GBK" w:eastAsia="方正小标宋_GBK" w:cs="方正小标宋_GBK"/>
          <w:color w:val="auto"/>
          <w:sz w:val="36"/>
        </w:r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5"/>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324006保定市自然资源和规划局满城区分局(自收自支)</w:t>
            </w:r>
          </w:p>
        </w:tc>
        <w:tc>
          <w:tcPr>
            <w:tcW w:w="3402" w:type="dxa"/>
            <w:gridSpan w:val="3"/>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670" w:type="dxa"/>
            <w:gridSpan w:val="5"/>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5"/>
              <w:rPr>
                <w:color w:val="auto"/>
              </w:rPr>
            </w:pPr>
            <w:r>
              <w:rPr>
                <w:color w:val="auto"/>
              </w:rPr>
              <w:t>序号</w:t>
            </w:r>
          </w:p>
        </w:tc>
        <w:tc>
          <w:tcPr>
            <w:tcW w:w="2551" w:type="dxa"/>
            <w:gridSpan w:val="2"/>
            <w:noWrap w:val="0"/>
            <w:vAlign w:val="center"/>
          </w:tcPr>
          <w:p>
            <w:pPr>
              <w:pStyle w:val="15"/>
              <w:rPr>
                <w:color w:val="auto"/>
              </w:rPr>
            </w:pPr>
            <w:r>
              <w:rPr>
                <w:color w:val="auto"/>
              </w:rPr>
              <w:t>功能分类科目</w:t>
            </w:r>
          </w:p>
        </w:tc>
        <w:tc>
          <w:tcPr>
            <w:tcW w:w="1134" w:type="dxa"/>
            <w:vMerge w:val="restart"/>
            <w:noWrap w:val="0"/>
            <w:vAlign w:val="center"/>
          </w:tcPr>
          <w:p>
            <w:pPr>
              <w:pStyle w:val="15"/>
              <w:rPr>
                <w:color w:val="auto"/>
              </w:rPr>
            </w:pPr>
            <w:r>
              <w:rPr>
                <w:color w:val="auto"/>
              </w:rPr>
              <w:t>合计</w:t>
            </w:r>
          </w:p>
        </w:tc>
        <w:tc>
          <w:tcPr>
            <w:tcW w:w="9072" w:type="dxa"/>
            <w:gridSpan w:val="8"/>
            <w:noWrap w:val="0"/>
            <w:vAlign w:val="center"/>
          </w:tcPr>
          <w:p>
            <w:pPr>
              <w:pStyle w:val="15"/>
              <w:rPr>
                <w:color w:val="auto"/>
              </w:rPr>
            </w:pPr>
            <w:r>
              <w:rPr>
                <w:color w:val="auto"/>
              </w:rPr>
              <w:t>本年收入</w:t>
            </w:r>
          </w:p>
        </w:tc>
        <w:tc>
          <w:tcPr>
            <w:tcW w:w="1134" w:type="dxa"/>
            <w:vMerge w:val="restart"/>
            <w:noWrap w:val="0"/>
            <w:vAlign w:val="center"/>
          </w:tcPr>
          <w:p>
            <w:pPr>
              <w:pStyle w:val="15"/>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pPr>
              <w:rPr>
                <w:color w:val="auto"/>
              </w:rPr>
            </w:pPr>
          </w:p>
        </w:tc>
        <w:tc>
          <w:tcPr>
            <w:tcW w:w="992" w:type="dxa"/>
            <w:noWrap w:val="0"/>
            <w:vAlign w:val="center"/>
          </w:tcPr>
          <w:p>
            <w:pPr>
              <w:pStyle w:val="15"/>
              <w:rPr>
                <w:color w:val="auto"/>
              </w:rPr>
            </w:pPr>
            <w:r>
              <w:rPr>
                <w:color w:val="auto"/>
              </w:rPr>
              <w:t>科目    编码</w:t>
            </w:r>
          </w:p>
        </w:tc>
        <w:tc>
          <w:tcPr>
            <w:tcW w:w="1559" w:type="dxa"/>
            <w:noWrap w:val="0"/>
            <w:vAlign w:val="center"/>
          </w:tcPr>
          <w:p>
            <w:pPr>
              <w:pStyle w:val="15"/>
              <w:rPr>
                <w:color w:val="auto"/>
              </w:rPr>
            </w:pPr>
            <w:r>
              <w:rPr>
                <w:color w:val="auto"/>
              </w:rPr>
              <w:t>科目名称</w:t>
            </w:r>
          </w:p>
        </w:tc>
        <w:tc>
          <w:tcPr>
            <w:tcW w:w="1134" w:type="dxa"/>
            <w:vMerge w:val="continue"/>
            <w:noWrap w:val="0"/>
            <w:vAlign w:val="top"/>
          </w:tcPr>
          <w:p>
            <w:pPr>
              <w:rPr>
                <w:color w:val="auto"/>
              </w:rPr>
            </w:pPr>
          </w:p>
        </w:tc>
        <w:tc>
          <w:tcPr>
            <w:tcW w:w="1134" w:type="dxa"/>
            <w:noWrap w:val="0"/>
            <w:vAlign w:val="center"/>
          </w:tcPr>
          <w:p>
            <w:pPr>
              <w:pStyle w:val="15"/>
              <w:rPr>
                <w:color w:val="auto"/>
              </w:rPr>
            </w:pPr>
            <w:r>
              <w:rPr>
                <w:color w:val="auto"/>
              </w:rPr>
              <w:t>小计</w:t>
            </w:r>
          </w:p>
        </w:tc>
        <w:tc>
          <w:tcPr>
            <w:tcW w:w="1134" w:type="dxa"/>
            <w:noWrap w:val="0"/>
            <w:vAlign w:val="center"/>
          </w:tcPr>
          <w:p>
            <w:pPr>
              <w:pStyle w:val="15"/>
              <w:rPr>
                <w:color w:val="auto"/>
              </w:rPr>
            </w:pPr>
            <w:r>
              <w:rPr>
                <w:color w:val="auto"/>
              </w:rPr>
              <w:t>财政拨款 收入</w:t>
            </w:r>
          </w:p>
        </w:tc>
        <w:tc>
          <w:tcPr>
            <w:tcW w:w="1134" w:type="dxa"/>
            <w:noWrap w:val="0"/>
            <w:vAlign w:val="center"/>
          </w:tcPr>
          <w:p>
            <w:pPr>
              <w:pStyle w:val="15"/>
              <w:rPr>
                <w:color w:val="auto"/>
              </w:rPr>
            </w:pPr>
            <w:r>
              <w:rPr>
                <w:color w:val="auto"/>
              </w:rPr>
              <w:t>财政专户 收入</w:t>
            </w:r>
          </w:p>
        </w:tc>
        <w:tc>
          <w:tcPr>
            <w:tcW w:w="1134" w:type="dxa"/>
            <w:noWrap w:val="0"/>
            <w:vAlign w:val="center"/>
          </w:tcPr>
          <w:p>
            <w:pPr>
              <w:pStyle w:val="15"/>
              <w:rPr>
                <w:color w:val="auto"/>
              </w:rPr>
            </w:pPr>
            <w:r>
              <w:rPr>
                <w:color w:val="auto"/>
              </w:rPr>
              <w:t>事业收入</w:t>
            </w:r>
          </w:p>
        </w:tc>
        <w:tc>
          <w:tcPr>
            <w:tcW w:w="1134" w:type="dxa"/>
            <w:noWrap w:val="0"/>
            <w:vAlign w:val="center"/>
          </w:tcPr>
          <w:p>
            <w:pPr>
              <w:pStyle w:val="15"/>
              <w:rPr>
                <w:color w:val="auto"/>
              </w:rPr>
            </w:pPr>
            <w:r>
              <w:rPr>
                <w:color w:val="auto"/>
              </w:rPr>
              <w:t>经营收入</w:t>
            </w:r>
          </w:p>
        </w:tc>
        <w:tc>
          <w:tcPr>
            <w:tcW w:w="1134" w:type="dxa"/>
            <w:noWrap w:val="0"/>
            <w:vAlign w:val="center"/>
          </w:tcPr>
          <w:p>
            <w:pPr>
              <w:pStyle w:val="15"/>
              <w:rPr>
                <w:color w:val="auto"/>
              </w:rPr>
            </w:pPr>
            <w:r>
              <w:rPr>
                <w:color w:val="auto"/>
              </w:rPr>
              <w:t>上级补助收入</w:t>
            </w:r>
          </w:p>
        </w:tc>
        <w:tc>
          <w:tcPr>
            <w:tcW w:w="1134" w:type="dxa"/>
            <w:noWrap w:val="0"/>
            <w:vAlign w:val="center"/>
          </w:tcPr>
          <w:p>
            <w:pPr>
              <w:pStyle w:val="15"/>
              <w:rPr>
                <w:color w:val="auto"/>
              </w:rPr>
            </w:pPr>
            <w:r>
              <w:rPr>
                <w:color w:val="auto"/>
              </w:rPr>
              <w:t>附属单位上缴收入</w:t>
            </w:r>
          </w:p>
        </w:tc>
        <w:tc>
          <w:tcPr>
            <w:tcW w:w="1134" w:type="dxa"/>
            <w:noWrap w:val="0"/>
            <w:vAlign w:val="center"/>
          </w:tcPr>
          <w:p>
            <w:pPr>
              <w:pStyle w:val="15"/>
              <w:rPr>
                <w:color w:val="auto"/>
              </w:rPr>
            </w:pPr>
            <w:r>
              <w:rPr>
                <w:color w:val="auto"/>
              </w:rPr>
              <w:t>其他收入</w:t>
            </w:r>
          </w:p>
        </w:tc>
        <w:tc>
          <w:tcPr>
            <w:tcW w:w="1134"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5"/>
              <w:rPr>
                <w:color w:val="auto"/>
              </w:rPr>
            </w:pPr>
            <w:r>
              <w:rPr>
                <w:color w:val="auto"/>
              </w:rPr>
              <w:t>栏次</w:t>
            </w:r>
          </w:p>
        </w:tc>
        <w:tc>
          <w:tcPr>
            <w:tcW w:w="992" w:type="dxa"/>
            <w:noWrap w:val="0"/>
            <w:vAlign w:val="center"/>
          </w:tcPr>
          <w:p>
            <w:pPr>
              <w:pStyle w:val="15"/>
              <w:rPr>
                <w:color w:val="auto"/>
              </w:rPr>
            </w:pPr>
            <w:r>
              <w:rPr>
                <w:color w:val="auto"/>
              </w:rPr>
              <w:t>1</w:t>
            </w:r>
          </w:p>
        </w:tc>
        <w:tc>
          <w:tcPr>
            <w:tcW w:w="1559" w:type="dxa"/>
            <w:noWrap w:val="0"/>
            <w:vAlign w:val="center"/>
          </w:tcPr>
          <w:p>
            <w:pPr>
              <w:pStyle w:val="15"/>
              <w:rPr>
                <w:color w:val="auto"/>
              </w:rPr>
            </w:pPr>
            <w:r>
              <w:rPr>
                <w:color w:val="auto"/>
              </w:rPr>
              <w:t>2</w:t>
            </w:r>
          </w:p>
        </w:tc>
        <w:tc>
          <w:tcPr>
            <w:tcW w:w="1134" w:type="dxa"/>
            <w:noWrap w:val="0"/>
            <w:vAlign w:val="center"/>
          </w:tcPr>
          <w:p>
            <w:pPr>
              <w:pStyle w:val="15"/>
              <w:rPr>
                <w:color w:val="auto"/>
              </w:rPr>
            </w:pPr>
            <w:r>
              <w:rPr>
                <w:color w:val="auto"/>
              </w:rPr>
              <w:t>3</w:t>
            </w:r>
          </w:p>
        </w:tc>
        <w:tc>
          <w:tcPr>
            <w:tcW w:w="1134" w:type="dxa"/>
            <w:noWrap w:val="0"/>
            <w:vAlign w:val="center"/>
          </w:tcPr>
          <w:p>
            <w:pPr>
              <w:pStyle w:val="15"/>
              <w:rPr>
                <w:color w:val="auto"/>
              </w:rPr>
            </w:pPr>
            <w:r>
              <w:rPr>
                <w:color w:val="auto"/>
              </w:rPr>
              <w:t>4</w:t>
            </w:r>
          </w:p>
        </w:tc>
        <w:tc>
          <w:tcPr>
            <w:tcW w:w="1134" w:type="dxa"/>
            <w:noWrap w:val="0"/>
            <w:vAlign w:val="center"/>
          </w:tcPr>
          <w:p>
            <w:pPr>
              <w:pStyle w:val="15"/>
              <w:rPr>
                <w:color w:val="auto"/>
              </w:rPr>
            </w:pPr>
            <w:r>
              <w:rPr>
                <w:color w:val="auto"/>
              </w:rPr>
              <w:t>5</w:t>
            </w:r>
          </w:p>
        </w:tc>
        <w:tc>
          <w:tcPr>
            <w:tcW w:w="1134" w:type="dxa"/>
            <w:noWrap w:val="0"/>
            <w:vAlign w:val="center"/>
          </w:tcPr>
          <w:p>
            <w:pPr>
              <w:pStyle w:val="15"/>
              <w:rPr>
                <w:color w:val="auto"/>
              </w:rPr>
            </w:pPr>
            <w:r>
              <w:rPr>
                <w:color w:val="auto"/>
              </w:rPr>
              <w:t>6</w:t>
            </w:r>
          </w:p>
        </w:tc>
        <w:tc>
          <w:tcPr>
            <w:tcW w:w="1134" w:type="dxa"/>
            <w:noWrap w:val="0"/>
            <w:vAlign w:val="center"/>
          </w:tcPr>
          <w:p>
            <w:pPr>
              <w:pStyle w:val="15"/>
              <w:rPr>
                <w:color w:val="auto"/>
              </w:rPr>
            </w:pPr>
            <w:r>
              <w:rPr>
                <w:color w:val="auto"/>
              </w:rPr>
              <w:t>7</w:t>
            </w:r>
          </w:p>
        </w:tc>
        <w:tc>
          <w:tcPr>
            <w:tcW w:w="1134" w:type="dxa"/>
            <w:noWrap w:val="0"/>
            <w:vAlign w:val="center"/>
          </w:tcPr>
          <w:p>
            <w:pPr>
              <w:pStyle w:val="15"/>
              <w:rPr>
                <w:color w:val="auto"/>
              </w:rPr>
            </w:pPr>
            <w:r>
              <w:rPr>
                <w:color w:val="auto"/>
              </w:rPr>
              <w:t>8</w:t>
            </w:r>
          </w:p>
        </w:tc>
        <w:tc>
          <w:tcPr>
            <w:tcW w:w="1134" w:type="dxa"/>
            <w:noWrap w:val="0"/>
            <w:vAlign w:val="center"/>
          </w:tcPr>
          <w:p>
            <w:pPr>
              <w:pStyle w:val="15"/>
              <w:rPr>
                <w:color w:val="auto"/>
              </w:rPr>
            </w:pPr>
            <w:r>
              <w:rPr>
                <w:color w:val="auto"/>
              </w:rPr>
              <w:t>9</w:t>
            </w:r>
          </w:p>
        </w:tc>
        <w:tc>
          <w:tcPr>
            <w:tcW w:w="1134" w:type="dxa"/>
            <w:noWrap w:val="0"/>
            <w:vAlign w:val="center"/>
          </w:tcPr>
          <w:p>
            <w:pPr>
              <w:pStyle w:val="15"/>
              <w:rPr>
                <w:color w:val="auto"/>
              </w:rPr>
            </w:pPr>
            <w:r>
              <w:rPr>
                <w:color w:val="auto"/>
              </w:rPr>
              <w:t>10</w:t>
            </w:r>
          </w:p>
        </w:tc>
        <w:tc>
          <w:tcPr>
            <w:tcW w:w="1134" w:type="dxa"/>
            <w:noWrap w:val="0"/>
            <w:vAlign w:val="center"/>
          </w:tcPr>
          <w:p>
            <w:pPr>
              <w:pStyle w:val="15"/>
              <w:rPr>
                <w:color w:val="auto"/>
              </w:rPr>
            </w:pPr>
            <w:r>
              <w:rPr>
                <w:color w:val="auto"/>
              </w:rPr>
              <w:t>11</w:t>
            </w:r>
          </w:p>
        </w:tc>
        <w:tc>
          <w:tcPr>
            <w:tcW w:w="1134" w:type="dxa"/>
            <w:noWrap w:val="0"/>
            <w:vAlign w:val="center"/>
          </w:tcPr>
          <w:p>
            <w:pPr>
              <w:pStyle w:val="15"/>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992" w:type="dxa"/>
            <w:noWrap w:val="0"/>
            <w:vAlign w:val="center"/>
          </w:tcPr>
          <w:p>
            <w:pPr>
              <w:jc w:val="left"/>
              <w:rPr>
                <w:color w:val="auto"/>
              </w:rPr>
            </w:pP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ascii="方正书宋_GBK" w:eastAsia="方正书宋_GBK"/>
                <w:b/>
                <w:color w:val="auto"/>
              </w:rPr>
              <w:t>20936.57</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ascii="方正书宋_GBK" w:eastAsia="方正书宋_GBK"/>
                <w:b/>
                <w:color w:val="auto"/>
              </w:rPr>
              <w:t>20936.57</w:t>
            </w:r>
          </w:p>
        </w:tc>
        <w:tc>
          <w:tcPr>
            <w:tcW w:w="1134" w:type="dxa"/>
            <w:noWrap w:val="0"/>
            <w:vAlign w:val="center"/>
          </w:tcPr>
          <w:p>
            <w:pPr>
              <w:pStyle w:val="20"/>
              <w:rPr>
                <w:rFonts w:hint="default" w:eastAsia="方正书宋_GBK"/>
                <w:color w:val="auto"/>
                <w:lang w:val="en-US" w:eastAsia="zh-CN"/>
              </w:rPr>
            </w:pPr>
            <w:r>
              <w:rPr>
                <w:rFonts w:ascii="方正书宋_GBK" w:eastAsia="方正书宋_GBK"/>
                <w:b/>
                <w:color w:val="auto"/>
              </w:rPr>
              <w:t>20936.57</w:t>
            </w: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default"/>
                <w:color w:val="auto"/>
                <w:lang w:val="en-US" w:eastAsia="zh-CN"/>
              </w:rPr>
              <w:fldChar w:fldCharType="begin"/>
            </w:r>
            <w:r>
              <w:rPr>
                <w:rFonts w:hint="default"/>
                <w:color w:val="auto"/>
                <w:lang w:val="en-US" w:eastAsia="zh-CN"/>
              </w:rPr>
              <w:instrText xml:space="preserve"> = sum(F25:F26) \* MERGEFORMAT </w:instrText>
            </w:r>
            <w:r>
              <w:rPr>
                <w:rFonts w:hint="default"/>
                <w:color w:val="auto"/>
                <w:lang w:val="en-US" w:eastAsia="zh-CN"/>
              </w:rPr>
              <w:fldChar w:fldCharType="separate"/>
            </w:r>
            <w:r>
              <w:rPr>
                <w:rFonts w:hint="default"/>
                <w:color w:val="auto"/>
                <w:lang w:val="en-US" w:eastAsia="zh-CN"/>
              </w:rPr>
              <w:t>8277.41</w:t>
            </w:r>
            <w:r>
              <w:rPr>
                <w:rFonts w:hint="default"/>
                <w:color w:val="auto"/>
                <w:lang w:val="en-US" w:eastAsia="zh-CN"/>
              </w:rPr>
              <w:fldChar w:fldCharType="end"/>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default"/>
                <w:color w:val="auto"/>
                <w:lang w:val="en-US" w:eastAsia="zh-CN"/>
              </w:rPr>
              <w:fldChar w:fldCharType="begin"/>
            </w:r>
            <w:r>
              <w:rPr>
                <w:rFonts w:hint="default"/>
                <w:color w:val="auto"/>
                <w:lang w:val="en-US" w:eastAsia="zh-CN"/>
              </w:rPr>
              <w:instrText xml:space="preserve"> = sum(F25:F26) \* MERGEFORMAT </w:instrText>
            </w:r>
            <w:r>
              <w:rPr>
                <w:rFonts w:hint="default"/>
                <w:color w:val="auto"/>
                <w:lang w:val="en-US" w:eastAsia="zh-CN"/>
              </w:rPr>
              <w:fldChar w:fldCharType="separate"/>
            </w:r>
            <w:r>
              <w:rPr>
                <w:rFonts w:hint="default"/>
                <w:color w:val="auto"/>
                <w:lang w:val="en-US" w:eastAsia="zh-CN"/>
              </w:rPr>
              <w:t>8277.41</w:t>
            </w:r>
            <w:r>
              <w:rPr>
                <w:rFonts w:hint="default"/>
                <w:color w:val="auto"/>
                <w:lang w:val="en-US" w:eastAsia="zh-CN"/>
              </w:rPr>
              <w:fldChar w:fldCharType="end"/>
            </w:r>
          </w:p>
        </w:tc>
        <w:tc>
          <w:tcPr>
            <w:tcW w:w="1134" w:type="dxa"/>
            <w:noWrap w:val="0"/>
            <w:vAlign w:val="center"/>
          </w:tcPr>
          <w:p>
            <w:pPr>
              <w:pStyle w:val="16"/>
              <w:rPr>
                <w:rFonts w:hint="default" w:eastAsia="方正书宋_GBK"/>
                <w:color w:val="auto"/>
                <w:lang w:val="en-US" w:eastAsia="zh-CN"/>
              </w:rPr>
            </w:pPr>
            <w:r>
              <w:rPr>
                <w:rFonts w:hint="default"/>
                <w:color w:val="auto"/>
                <w:lang w:val="en-US" w:eastAsia="zh-CN"/>
              </w:rPr>
              <w:fldChar w:fldCharType="begin"/>
            </w:r>
            <w:r>
              <w:rPr>
                <w:rFonts w:hint="default"/>
                <w:color w:val="auto"/>
                <w:lang w:val="en-US" w:eastAsia="zh-CN"/>
              </w:rPr>
              <w:instrText xml:space="preserve"> = sum(F25:F26) \* MERGEFORMAT </w:instrText>
            </w:r>
            <w:r>
              <w:rPr>
                <w:rFonts w:hint="default"/>
                <w:color w:val="auto"/>
                <w:lang w:val="en-US" w:eastAsia="zh-CN"/>
              </w:rPr>
              <w:fldChar w:fldCharType="separate"/>
            </w:r>
            <w:r>
              <w:rPr>
                <w:rFonts w:hint="default"/>
                <w:color w:val="auto"/>
                <w:lang w:val="en-US" w:eastAsia="zh-CN"/>
              </w:rPr>
              <w:t>8277.41</w:t>
            </w:r>
            <w:r>
              <w:rPr>
                <w:rFonts w:hint="default"/>
                <w:color w:val="auto"/>
                <w:lang w:val="en-US" w:eastAsia="zh-CN"/>
              </w:rPr>
              <w:fldChar w:fldCharType="end"/>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城乡社区规划与管理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2120201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城乡社区规划与管理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城乡社区公共设施</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2120399</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征地和拆迁补偿支出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4540.52</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4540.52</w:t>
            </w:r>
          </w:p>
        </w:tc>
        <w:tc>
          <w:tcPr>
            <w:tcW w:w="1134" w:type="dxa"/>
            <w:noWrap w:val="0"/>
            <w:vAlign w:val="center"/>
          </w:tcPr>
          <w:p>
            <w:pPr>
              <w:pStyle w:val="16"/>
              <w:rPr>
                <w:rFonts w:hint="default"/>
                <w:color w:val="auto"/>
                <w:lang w:val="en-US" w:eastAsia="zh-CN"/>
              </w:rPr>
            </w:pPr>
            <w:r>
              <w:rPr>
                <w:rFonts w:hint="eastAsia"/>
                <w:color w:val="auto"/>
                <w:lang w:val="en-US" w:eastAsia="zh-CN"/>
              </w:rPr>
              <w:t>4540.52</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3736.89</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3736.89</w:t>
            </w:r>
          </w:p>
        </w:tc>
        <w:tc>
          <w:tcPr>
            <w:tcW w:w="1134" w:type="dxa"/>
            <w:noWrap w:val="0"/>
            <w:vAlign w:val="center"/>
          </w:tcPr>
          <w:p>
            <w:pPr>
              <w:pStyle w:val="16"/>
              <w:rPr>
                <w:rFonts w:hint="default"/>
                <w:color w:val="auto"/>
                <w:lang w:val="en-US" w:eastAsia="zh-CN"/>
              </w:rPr>
            </w:pPr>
            <w:r>
              <w:rPr>
                <w:rFonts w:hint="eastAsia"/>
                <w:color w:val="auto"/>
                <w:lang w:val="en-US" w:eastAsia="zh-CN"/>
              </w:rPr>
              <w:t>3736.89</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21210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2121002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农林水支出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农业农村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2130135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林业和草原</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森林资源培育</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技术推广与转化</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2130209</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森林生态效益补偿</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2130234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林业草原防灾减灾</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default" w:ascii="方正书宋_GBK" w:hAnsi="方正书宋_GBK" w:eastAsia="方正书宋_GBK" w:cs="方正书宋_GBK"/>
                <w:color w:val="auto"/>
                <w:sz w:val="21"/>
                <w:szCs w:val="24"/>
                <w:lang w:val="en-US" w:eastAsia="zh-CN" w:bidi="ar-SA"/>
              </w:rPr>
              <w:fldChar w:fldCharType="begin"/>
            </w:r>
            <w:r>
              <w:rPr>
                <w:rFonts w:hint="default" w:ascii="方正书宋_GBK" w:hAnsi="方正书宋_GBK" w:eastAsia="方正书宋_GBK" w:cs="方正书宋_GBK"/>
                <w:color w:val="auto"/>
                <w:sz w:val="21"/>
                <w:szCs w:val="24"/>
                <w:lang w:val="en-US" w:eastAsia="zh-CN" w:bidi="ar-SA"/>
              </w:rPr>
              <w:instrText xml:space="preserve"> = sum(F41:F45) \* MERGEFORMAT </w:instrText>
            </w:r>
            <w:r>
              <w:rPr>
                <w:rFonts w:hint="default" w:ascii="方正书宋_GBK" w:hAnsi="方正书宋_GBK" w:eastAsia="方正书宋_GBK" w:cs="方正书宋_GBK"/>
                <w:color w:val="auto"/>
                <w:sz w:val="21"/>
                <w:szCs w:val="24"/>
                <w:lang w:val="en-US" w:eastAsia="zh-CN" w:bidi="ar-SA"/>
              </w:rPr>
              <w:fldChar w:fldCharType="separate"/>
            </w:r>
            <w:r>
              <w:rPr>
                <w:rFonts w:hint="default" w:ascii="方正书宋_GBK" w:hAnsi="方正书宋_GBK" w:eastAsia="方正书宋_GBK" w:cs="方正书宋_GBK"/>
                <w:color w:val="auto"/>
                <w:sz w:val="21"/>
                <w:szCs w:val="24"/>
                <w:lang w:val="en-US" w:eastAsia="zh-CN" w:bidi="ar-SA"/>
              </w:rPr>
              <w:t>12659.16</w:t>
            </w:r>
            <w:r>
              <w:rPr>
                <w:rFonts w:hint="default" w:ascii="方正书宋_GBK" w:hAnsi="方正书宋_GBK" w:eastAsia="方正书宋_GBK" w:cs="方正书宋_GBK"/>
                <w:color w:val="auto"/>
                <w:sz w:val="21"/>
                <w:szCs w:val="24"/>
                <w:lang w:val="en-US" w:eastAsia="zh-CN" w:bidi="ar-SA"/>
              </w:rPr>
              <w:fldChar w:fldCharType="end"/>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default" w:ascii="方正书宋_GBK" w:hAnsi="方正书宋_GBK" w:eastAsia="方正书宋_GBK" w:cs="方正书宋_GBK"/>
                <w:color w:val="auto"/>
                <w:sz w:val="21"/>
                <w:szCs w:val="24"/>
                <w:lang w:val="en-US" w:eastAsia="zh-CN" w:bidi="ar-SA"/>
              </w:rPr>
              <w:fldChar w:fldCharType="begin"/>
            </w:r>
            <w:r>
              <w:rPr>
                <w:rFonts w:hint="default" w:ascii="方正书宋_GBK" w:hAnsi="方正书宋_GBK" w:eastAsia="方正书宋_GBK" w:cs="方正书宋_GBK"/>
                <w:color w:val="auto"/>
                <w:sz w:val="21"/>
                <w:szCs w:val="24"/>
                <w:lang w:val="en-US" w:eastAsia="zh-CN" w:bidi="ar-SA"/>
              </w:rPr>
              <w:instrText xml:space="preserve"> = sum(F41:F45) \* MERGEFORMAT </w:instrText>
            </w:r>
            <w:r>
              <w:rPr>
                <w:rFonts w:hint="default" w:ascii="方正书宋_GBK" w:hAnsi="方正书宋_GBK" w:eastAsia="方正书宋_GBK" w:cs="方正书宋_GBK"/>
                <w:color w:val="auto"/>
                <w:sz w:val="21"/>
                <w:szCs w:val="24"/>
                <w:lang w:val="en-US" w:eastAsia="zh-CN" w:bidi="ar-SA"/>
              </w:rPr>
              <w:fldChar w:fldCharType="separate"/>
            </w:r>
            <w:r>
              <w:rPr>
                <w:rFonts w:hint="default" w:ascii="方正书宋_GBK" w:hAnsi="方正书宋_GBK" w:eastAsia="方正书宋_GBK" w:cs="方正书宋_GBK"/>
                <w:color w:val="auto"/>
                <w:sz w:val="21"/>
                <w:szCs w:val="24"/>
                <w:lang w:val="en-US" w:eastAsia="zh-CN" w:bidi="ar-SA"/>
              </w:rPr>
              <w:t>12659.16</w:t>
            </w:r>
            <w:r>
              <w:rPr>
                <w:rFonts w:hint="default" w:ascii="方正书宋_GBK" w:hAnsi="方正书宋_GBK" w:eastAsia="方正书宋_GBK" w:cs="方正书宋_GBK"/>
                <w:color w:val="auto"/>
                <w:sz w:val="21"/>
                <w:szCs w:val="24"/>
                <w:lang w:val="en-US" w:eastAsia="zh-CN" w:bidi="ar-SA"/>
              </w:rPr>
              <w:fldChar w:fldCharType="end"/>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default" w:ascii="方正书宋_GBK" w:hAnsi="方正书宋_GBK" w:eastAsia="方正书宋_GBK" w:cs="方正书宋_GBK"/>
                <w:color w:val="auto"/>
                <w:sz w:val="21"/>
                <w:szCs w:val="24"/>
                <w:lang w:val="en-US" w:eastAsia="zh-CN" w:bidi="ar-SA"/>
              </w:rPr>
              <w:fldChar w:fldCharType="begin"/>
            </w:r>
            <w:r>
              <w:rPr>
                <w:rFonts w:hint="default" w:ascii="方正书宋_GBK" w:hAnsi="方正书宋_GBK" w:eastAsia="方正书宋_GBK" w:cs="方正书宋_GBK"/>
                <w:color w:val="auto"/>
                <w:sz w:val="21"/>
                <w:szCs w:val="24"/>
                <w:lang w:val="en-US" w:eastAsia="zh-CN" w:bidi="ar-SA"/>
              </w:rPr>
              <w:instrText xml:space="preserve"> = sum(F41:F45) \* MERGEFORMAT </w:instrText>
            </w:r>
            <w:r>
              <w:rPr>
                <w:rFonts w:hint="default" w:ascii="方正书宋_GBK" w:hAnsi="方正书宋_GBK" w:eastAsia="方正书宋_GBK" w:cs="方正书宋_GBK"/>
                <w:color w:val="auto"/>
                <w:sz w:val="21"/>
                <w:szCs w:val="24"/>
                <w:lang w:val="en-US" w:eastAsia="zh-CN" w:bidi="ar-SA"/>
              </w:rPr>
              <w:fldChar w:fldCharType="separate"/>
            </w:r>
            <w:r>
              <w:rPr>
                <w:rFonts w:hint="default" w:ascii="方正书宋_GBK" w:hAnsi="方正书宋_GBK" w:eastAsia="方正书宋_GBK" w:cs="方正书宋_GBK"/>
                <w:color w:val="auto"/>
                <w:sz w:val="21"/>
                <w:szCs w:val="24"/>
                <w:lang w:val="en-US" w:eastAsia="zh-CN" w:bidi="ar-SA"/>
              </w:rPr>
              <w:t>12659.16</w:t>
            </w:r>
            <w:r>
              <w:rPr>
                <w:rFonts w:hint="default" w:ascii="方正书宋_GBK" w:hAnsi="方正书宋_GBK" w:eastAsia="方正书宋_GBK" w:cs="方正书宋_GBK"/>
                <w:color w:val="auto"/>
                <w:sz w:val="21"/>
                <w:szCs w:val="24"/>
                <w:lang w:val="en-US" w:eastAsia="zh-CN" w:bidi="ar-SA"/>
              </w:rPr>
              <w:fldChar w:fldCharType="end"/>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自然资源事务</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行政运行</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一般行政管理事务</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自然资源规划及管理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103.15</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103.15</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103.15</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自然资源利用与保护</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12472</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12472</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12472</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2200150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事业运行</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69.01</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69.01</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69.01</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住房保障支出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住房改革支出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住房公积金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自然灾害防治</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地质灾害防治</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p>
        </w:tc>
        <w:tc>
          <w:tcPr>
            <w:tcW w:w="992" w:type="dxa"/>
            <w:noWrap w:val="0"/>
            <w:vAlign w:val="center"/>
          </w:tcPr>
          <w:p>
            <w:pPr>
              <w:jc w:val="left"/>
              <w:rPr>
                <w:color w:val="auto"/>
              </w:rPr>
            </w:pPr>
          </w:p>
        </w:tc>
        <w:tc>
          <w:tcPr>
            <w:tcW w:w="1559" w:type="dxa"/>
            <w:noWrap w:val="0"/>
            <w:vAlign w:val="center"/>
          </w:tcPr>
          <w:p>
            <w:pPr>
              <w:keepNext w:val="0"/>
              <w:keepLines w:val="0"/>
              <w:widowControl/>
              <w:suppressLineNumbers w:val="0"/>
              <w:jc w:val="left"/>
              <w:textAlignment w:val="center"/>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rFonts w:hint="eastAsia"/>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5"/>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324006保定市自然资源和规划局满城区分局(自收自支)</w:t>
            </w:r>
          </w:p>
        </w:tc>
        <w:tc>
          <w:tcPr>
            <w:tcW w:w="2722" w:type="dxa"/>
            <w:gridSpan w:val="2"/>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444" w:type="dxa"/>
            <w:gridSpan w:val="4"/>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528" w:type="dxa"/>
            <w:gridSpan w:val="2"/>
            <w:noWrap w:val="0"/>
            <w:vAlign w:val="center"/>
          </w:tcPr>
          <w:p>
            <w:pPr>
              <w:pStyle w:val="15"/>
              <w:rPr>
                <w:color w:val="auto"/>
              </w:rPr>
            </w:pPr>
            <w:r>
              <w:rPr>
                <w:color w:val="auto"/>
              </w:rPr>
              <w:t>功能分类科目</w:t>
            </w:r>
          </w:p>
        </w:tc>
        <w:tc>
          <w:tcPr>
            <w:tcW w:w="1361" w:type="dxa"/>
            <w:vMerge w:val="restart"/>
            <w:noWrap w:val="0"/>
            <w:vAlign w:val="center"/>
          </w:tcPr>
          <w:p>
            <w:pPr>
              <w:pStyle w:val="15"/>
              <w:rPr>
                <w:color w:val="auto"/>
              </w:rPr>
            </w:pPr>
            <w:r>
              <w:rPr>
                <w:color w:val="auto"/>
              </w:rPr>
              <w:t>合计</w:t>
            </w:r>
          </w:p>
        </w:tc>
        <w:tc>
          <w:tcPr>
            <w:tcW w:w="1361" w:type="dxa"/>
            <w:vMerge w:val="restart"/>
            <w:noWrap w:val="0"/>
            <w:vAlign w:val="center"/>
          </w:tcPr>
          <w:p>
            <w:pPr>
              <w:pStyle w:val="15"/>
              <w:rPr>
                <w:color w:val="auto"/>
              </w:rPr>
            </w:pPr>
            <w:r>
              <w:rPr>
                <w:color w:val="auto"/>
              </w:rPr>
              <w:t>基本支出</w:t>
            </w:r>
          </w:p>
        </w:tc>
        <w:tc>
          <w:tcPr>
            <w:tcW w:w="1361" w:type="dxa"/>
            <w:vMerge w:val="restart"/>
            <w:noWrap w:val="0"/>
            <w:vAlign w:val="center"/>
          </w:tcPr>
          <w:p>
            <w:pPr>
              <w:pStyle w:val="15"/>
              <w:rPr>
                <w:color w:val="auto"/>
              </w:rPr>
            </w:pPr>
            <w:r>
              <w:rPr>
                <w:color w:val="auto"/>
              </w:rPr>
              <w:t>项目支出</w:t>
            </w:r>
          </w:p>
        </w:tc>
        <w:tc>
          <w:tcPr>
            <w:tcW w:w="1361" w:type="dxa"/>
            <w:vMerge w:val="restart"/>
            <w:noWrap w:val="0"/>
            <w:vAlign w:val="center"/>
          </w:tcPr>
          <w:p>
            <w:pPr>
              <w:pStyle w:val="15"/>
              <w:rPr>
                <w:color w:val="auto"/>
              </w:rPr>
            </w:pPr>
            <w:r>
              <w:rPr>
                <w:color w:val="auto"/>
              </w:rPr>
              <w:t>经营支出</w:t>
            </w:r>
          </w:p>
        </w:tc>
        <w:tc>
          <w:tcPr>
            <w:tcW w:w="1361" w:type="dxa"/>
            <w:vMerge w:val="restart"/>
            <w:noWrap w:val="0"/>
            <w:vAlign w:val="center"/>
          </w:tcPr>
          <w:p>
            <w:pPr>
              <w:pStyle w:val="15"/>
              <w:rPr>
                <w:color w:val="auto"/>
              </w:rPr>
            </w:pPr>
            <w:r>
              <w:rPr>
                <w:color w:val="auto"/>
              </w:rPr>
              <w:t>上解上级     支出</w:t>
            </w:r>
          </w:p>
        </w:tc>
        <w:tc>
          <w:tcPr>
            <w:tcW w:w="1361" w:type="dxa"/>
            <w:vMerge w:val="restart"/>
            <w:noWrap w:val="0"/>
            <w:vAlign w:val="center"/>
          </w:tcPr>
          <w:p>
            <w:pPr>
              <w:pStyle w:val="15"/>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992" w:type="dxa"/>
            <w:noWrap w:val="0"/>
            <w:vAlign w:val="center"/>
          </w:tcPr>
          <w:p>
            <w:pPr>
              <w:pStyle w:val="15"/>
              <w:rPr>
                <w:color w:val="auto"/>
              </w:rPr>
            </w:pPr>
            <w:r>
              <w:rPr>
                <w:color w:val="auto"/>
              </w:rPr>
              <w:t>科目    编码</w:t>
            </w:r>
          </w:p>
        </w:tc>
        <w:tc>
          <w:tcPr>
            <w:tcW w:w="4536" w:type="dxa"/>
            <w:noWrap w:val="0"/>
            <w:vAlign w:val="center"/>
          </w:tcPr>
          <w:p>
            <w:pPr>
              <w:pStyle w:val="15"/>
              <w:rPr>
                <w:color w:val="auto"/>
              </w:rPr>
            </w:pPr>
            <w:r>
              <w:rPr>
                <w:color w:val="auto"/>
              </w:rPr>
              <w:t>科目名称</w:t>
            </w: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992" w:type="dxa"/>
            <w:noWrap w:val="0"/>
            <w:vAlign w:val="center"/>
          </w:tcPr>
          <w:p>
            <w:pPr>
              <w:pStyle w:val="15"/>
              <w:rPr>
                <w:color w:val="auto"/>
              </w:rPr>
            </w:pPr>
            <w:r>
              <w:rPr>
                <w:color w:val="auto"/>
              </w:rPr>
              <w:t>1</w:t>
            </w:r>
          </w:p>
        </w:tc>
        <w:tc>
          <w:tcPr>
            <w:tcW w:w="4536" w:type="dxa"/>
            <w:noWrap w:val="0"/>
            <w:vAlign w:val="center"/>
          </w:tcPr>
          <w:p>
            <w:pPr>
              <w:pStyle w:val="15"/>
              <w:rPr>
                <w:color w:val="auto"/>
              </w:rPr>
            </w:pPr>
            <w:r>
              <w:rPr>
                <w:color w:val="auto"/>
              </w:rPr>
              <w:t>2</w:t>
            </w:r>
          </w:p>
        </w:tc>
        <w:tc>
          <w:tcPr>
            <w:tcW w:w="1361" w:type="dxa"/>
            <w:noWrap w:val="0"/>
            <w:vAlign w:val="center"/>
          </w:tcPr>
          <w:p>
            <w:pPr>
              <w:pStyle w:val="15"/>
              <w:rPr>
                <w:color w:val="auto"/>
              </w:rPr>
            </w:pPr>
            <w:r>
              <w:rPr>
                <w:color w:val="auto"/>
              </w:rPr>
              <w:t>3</w:t>
            </w:r>
          </w:p>
        </w:tc>
        <w:tc>
          <w:tcPr>
            <w:tcW w:w="1361" w:type="dxa"/>
            <w:noWrap w:val="0"/>
            <w:vAlign w:val="center"/>
          </w:tcPr>
          <w:p>
            <w:pPr>
              <w:pStyle w:val="15"/>
              <w:rPr>
                <w:color w:val="auto"/>
              </w:rPr>
            </w:pPr>
            <w:r>
              <w:rPr>
                <w:color w:val="auto"/>
              </w:rPr>
              <w:t>4</w:t>
            </w:r>
          </w:p>
        </w:tc>
        <w:tc>
          <w:tcPr>
            <w:tcW w:w="1361" w:type="dxa"/>
            <w:noWrap w:val="0"/>
            <w:vAlign w:val="center"/>
          </w:tcPr>
          <w:p>
            <w:pPr>
              <w:pStyle w:val="15"/>
              <w:rPr>
                <w:color w:val="auto"/>
              </w:rPr>
            </w:pPr>
            <w:r>
              <w:rPr>
                <w:color w:val="auto"/>
              </w:rPr>
              <w:t>5</w:t>
            </w:r>
          </w:p>
        </w:tc>
        <w:tc>
          <w:tcPr>
            <w:tcW w:w="1361" w:type="dxa"/>
            <w:noWrap w:val="0"/>
            <w:vAlign w:val="center"/>
          </w:tcPr>
          <w:p>
            <w:pPr>
              <w:pStyle w:val="15"/>
              <w:rPr>
                <w:color w:val="auto"/>
              </w:rPr>
            </w:pPr>
            <w:r>
              <w:rPr>
                <w:color w:val="auto"/>
              </w:rPr>
              <w:t>6</w:t>
            </w:r>
          </w:p>
        </w:tc>
        <w:tc>
          <w:tcPr>
            <w:tcW w:w="1361" w:type="dxa"/>
            <w:noWrap w:val="0"/>
            <w:vAlign w:val="center"/>
          </w:tcPr>
          <w:p>
            <w:pPr>
              <w:pStyle w:val="15"/>
              <w:rPr>
                <w:color w:val="auto"/>
              </w:rPr>
            </w:pPr>
            <w:r>
              <w:rPr>
                <w:color w:val="auto"/>
              </w:rPr>
              <w:t>7</w:t>
            </w:r>
          </w:p>
        </w:tc>
        <w:tc>
          <w:tcPr>
            <w:tcW w:w="1361" w:type="dxa"/>
            <w:noWrap w:val="0"/>
            <w:vAlign w:val="center"/>
          </w:tcPr>
          <w:p>
            <w:pPr>
              <w:pStyle w:val="15"/>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992" w:type="dxa"/>
            <w:noWrap w:val="0"/>
            <w:vAlign w:val="center"/>
          </w:tcPr>
          <w:p>
            <w:pPr>
              <w:jc w:val="left"/>
              <w:rPr>
                <w:color w:val="auto"/>
              </w:rPr>
            </w:pP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1361"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ascii="方正书宋_GBK" w:eastAsia="方正书宋_GBK"/>
                <w:b/>
                <w:color w:val="auto"/>
              </w:rPr>
              <w:t>20936.57</w:t>
            </w:r>
          </w:p>
        </w:tc>
        <w:tc>
          <w:tcPr>
            <w:tcW w:w="1361"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b/>
                <w:color w:val="auto"/>
                <w:lang w:val="en-US" w:eastAsia="zh-CN"/>
              </w:rPr>
              <w:t>69.01</w:t>
            </w:r>
          </w:p>
        </w:tc>
        <w:tc>
          <w:tcPr>
            <w:tcW w:w="1361"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20867.47</w:t>
            </w:r>
          </w:p>
        </w:tc>
        <w:tc>
          <w:tcPr>
            <w:tcW w:w="1361" w:type="dxa"/>
            <w:noWrap w:val="0"/>
            <w:vAlign w:val="center"/>
          </w:tcPr>
          <w:p>
            <w:pPr>
              <w:pStyle w:val="20"/>
              <w:rPr>
                <w:color w:val="auto"/>
              </w:rPr>
            </w:pPr>
          </w:p>
        </w:tc>
        <w:tc>
          <w:tcPr>
            <w:tcW w:w="1361" w:type="dxa"/>
            <w:noWrap w:val="0"/>
            <w:vAlign w:val="center"/>
          </w:tcPr>
          <w:p>
            <w:pPr>
              <w:pStyle w:val="20"/>
              <w:rPr>
                <w:color w:val="auto"/>
              </w:rPr>
            </w:pPr>
          </w:p>
        </w:tc>
        <w:tc>
          <w:tcPr>
            <w:tcW w:w="1361"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default"/>
                <w:color w:val="auto"/>
                <w:lang w:val="en-US" w:eastAsia="zh-CN"/>
              </w:rPr>
              <w:fldChar w:fldCharType="begin"/>
            </w:r>
            <w:r>
              <w:rPr>
                <w:rFonts w:hint="default"/>
                <w:color w:val="auto"/>
                <w:lang w:val="en-US" w:eastAsia="zh-CN"/>
              </w:rPr>
              <w:instrText xml:space="preserve"> = sum(F25:F26) \* MERGEFORMAT </w:instrText>
            </w:r>
            <w:r>
              <w:rPr>
                <w:rFonts w:hint="default"/>
                <w:color w:val="auto"/>
                <w:lang w:val="en-US" w:eastAsia="zh-CN"/>
              </w:rPr>
              <w:fldChar w:fldCharType="separate"/>
            </w:r>
            <w:r>
              <w:rPr>
                <w:rFonts w:hint="default"/>
                <w:color w:val="auto"/>
                <w:lang w:val="en-US" w:eastAsia="zh-CN"/>
              </w:rPr>
              <w:t>8277.41</w:t>
            </w:r>
            <w:r>
              <w:rPr>
                <w:rFonts w:hint="default"/>
                <w:color w:val="auto"/>
                <w:lang w:val="en-US" w:eastAsia="zh-CN"/>
              </w:rPr>
              <w:fldChar w:fldCharType="end"/>
            </w: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default"/>
                <w:color w:val="auto"/>
                <w:lang w:val="en-US" w:eastAsia="zh-CN"/>
              </w:rPr>
              <w:fldChar w:fldCharType="begin"/>
            </w:r>
            <w:r>
              <w:rPr>
                <w:rFonts w:hint="default"/>
                <w:color w:val="auto"/>
                <w:lang w:val="en-US" w:eastAsia="zh-CN"/>
              </w:rPr>
              <w:instrText xml:space="preserve"> = sum(F25:F26) \* MERGEFORMAT </w:instrText>
            </w:r>
            <w:r>
              <w:rPr>
                <w:rFonts w:hint="default"/>
                <w:color w:val="auto"/>
                <w:lang w:val="en-US" w:eastAsia="zh-CN"/>
              </w:rPr>
              <w:fldChar w:fldCharType="separate"/>
            </w:r>
            <w:r>
              <w:rPr>
                <w:rFonts w:hint="default"/>
                <w:color w:val="auto"/>
                <w:lang w:val="en-US" w:eastAsia="zh-CN"/>
              </w:rPr>
              <w:t>8277.41</w:t>
            </w:r>
            <w:r>
              <w:rPr>
                <w:rFonts w:hint="default"/>
                <w:color w:val="auto"/>
                <w:lang w:val="en-US" w:eastAsia="zh-CN"/>
              </w:rPr>
              <w:fldChar w:fldCharType="end"/>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城乡社区规划与管理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2120201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城乡社区规划与管理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城乡社区公共设施</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2120399</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征地和拆迁补偿支出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4540.52</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4540.52</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土地开发支出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olor w:val="auto"/>
                <w:lang w:val="en-US" w:eastAsia="zh-CN"/>
              </w:rPr>
              <w:t>3736.89</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3736.89</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土地开发支出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农林水支出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农业农村</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2130135</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林业和草原</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2130205</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森林资源培育</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技术推广与转化</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2130209</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森林生态效益补偿</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2130234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林业草原防灾减灾</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1361" w:type="dxa"/>
            <w:noWrap w:val="0"/>
            <w:vAlign w:val="center"/>
          </w:tcPr>
          <w:p>
            <w:pPr>
              <w:pStyle w:val="16"/>
              <w:rPr>
                <w:rFonts w:hint="default"/>
                <w:color w:val="auto"/>
                <w:lang w:val="en-US" w:eastAsia="zh-CN"/>
              </w:rPr>
            </w:pPr>
            <w:r>
              <w:rPr>
                <w:rFonts w:hint="default" w:ascii="方正书宋_GBK" w:hAnsi="方正书宋_GBK" w:eastAsia="方正书宋_GBK" w:cs="方正书宋_GBK"/>
                <w:color w:val="auto"/>
                <w:sz w:val="21"/>
                <w:szCs w:val="24"/>
                <w:lang w:val="en-US" w:eastAsia="zh-CN" w:bidi="ar-SA"/>
              </w:rPr>
              <w:fldChar w:fldCharType="begin"/>
            </w:r>
            <w:r>
              <w:rPr>
                <w:rFonts w:hint="default" w:ascii="方正书宋_GBK" w:hAnsi="方正书宋_GBK" w:eastAsia="方正书宋_GBK" w:cs="方正书宋_GBK"/>
                <w:color w:val="auto"/>
                <w:sz w:val="21"/>
                <w:szCs w:val="24"/>
                <w:lang w:val="en-US" w:eastAsia="zh-CN" w:bidi="ar-SA"/>
              </w:rPr>
              <w:instrText xml:space="preserve"> = sum(F41:F45) \* MERGEFORMAT </w:instrText>
            </w:r>
            <w:r>
              <w:rPr>
                <w:rFonts w:hint="default" w:ascii="方正书宋_GBK" w:hAnsi="方正书宋_GBK" w:eastAsia="方正书宋_GBK" w:cs="方正书宋_GBK"/>
                <w:color w:val="auto"/>
                <w:sz w:val="21"/>
                <w:szCs w:val="24"/>
                <w:lang w:val="en-US" w:eastAsia="zh-CN" w:bidi="ar-SA"/>
              </w:rPr>
              <w:fldChar w:fldCharType="separate"/>
            </w:r>
            <w:r>
              <w:rPr>
                <w:rFonts w:hint="default" w:ascii="方正书宋_GBK" w:hAnsi="方正书宋_GBK" w:eastAsia="方正书宋_GBK" w:cs="方正书宋_GBK"/>
                <w:color w:val="auto"/>
                <w:sz w:val="21"/>
                <w:szCs w:val="24"/>
                <w:lang w:val="en-US" w:eastAsia="zh-CN" w:bidi="ar-SA"/>
              </w:rPr>
              <w:t>12659.16</w:t>
            </w:r>
            <w:r>
              <w:rPr>
                <w:rFonts w:hint="default" w:ascii="方正书宋_GBK" w:hAnsi="方正书宋_GBK" w:eastAsia="方正书宋_GBK" w:cs="方正书宋_GBK"/>
                <w:color w:val="auto"/>
                <w:sz w:val="21"/>
                <w:szCs w:val="24"/>
                <w:lang w:val="en-US" w:eastAsia="zh-CN" w:bidi="ar-SA"/>
              </w:rPr>
              <w:fldChar w:fldCharType="end"/>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69.01</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12590.15</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自然资源事务</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行政运行</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一般行政管理事务</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自然资源规划及管理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103.15</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103.15</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自然资源利用与保护</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12472</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12472</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2200113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136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15</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15</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2200114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2200150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事业运行</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69.01</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69.01</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住房保障支出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住房改革支出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2210201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住房公积金</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自然灾害防治</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2240601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地质灾害防治</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20"/>
              <w:rPr>
                <w:rFonts w:hint="eastAsia"/>
                <w:color w:val="auto"/>
                <w:lang w:val="en-US" w:eastAsia="zh-CN"/>
              </w:rPr>
            </w:pPr>
          </w:p>
        </w:tc>
        <w:tc>
          <w:tcPr>
            <w:tcW w:w="1361" w:type="dxa"/>
            <w:noWrap w:val="0"/>
            <w:vAlign w:val="center"/>
          </w:tcPr>
          <w:p>
            <w:pPr>
              <w:pStyle w:val="20"/>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bl>
    <w:p>
      <w:pPr>
        <w:spacing w:line="300" w:lineRule="exact"/>
        <w:jc w:val="left"/>
        <w:outlineLvl w:val="1"/>
        <w:rPr>
          <w:rFonts w:eastAsia="方正仿宋_GBK"/>
          <w:color w:val="auto"/>
          <w:sz w:val="28"/>
        </w:rPr>
        <w:sectPr>
          <w:pgSz w:w="16839" w:h="11907" w:orient="landscape"/>
          <w:pgMar w:top="1020" w:right="1361" w:bottom="1020" w:left="1361" w:header="851" w:footer="992" w:gutter="0"/>
          <w:cols w:space="720" w:num="1"/>
          <w:rtlGutter w:val="0"/>
          <w:docGrid w:type="lines" w:linePitch="328" w:charSpace="0"/>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324006保定市自然资源和规划局满城区分局(自收自支)</w:t>
            </w:r>
          </w:p>
        </w:tc>
        <w:tc>
          <w:tcPr>
            <w:tcW w:w="3402"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896" w:type="dxa"/>
            <w:gridSpan w:val="4"/>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4876" w:type="dxa"/>
            <w:gridSpan w:val="2"/>
            <w:noWrap w:val="0"/>
            <w:vAlign w:val="center"/>
          </w:tcPr>
          <w:p>
            <w:pPr>
              <w:pStyle w:val="15"/>
              <w:rPr>
                <w:color w:val="auto"/>
              </w:rPr>
            </w:pPr>
            <w:r>
              <w:rPr>
                <w:color w:val="auto"/>
              </w:rPr>
              <w:t>收入</w:t>
            </w:r>
          </w:p>
        </w:tc>
        <w:tc>
          <w:tcPr>
            <w:tcW w:w="9298" w:type="dxa"/>
            <w:gridSpan w:val="5"/>
            <w:noWrap w:val="0"/>
            <w:vAlign w:val="center"/>
          </w:tcPr>
          <w:p>
            <w:pPr>
              <w:pStyle w:val="15"/>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3402" w:type="dxa"/>
            <w:noWrap w:val="0"/>
            <w:vAlign w:val="center"/>
          </w:tcPr>
          <w:p>
            <w:pPr>
              <w:pStyle w:val="15"/>
              <w:rPr>
                <w:color w:val="auto"/>
              </w:rPr>
            </w:pPr>
            <w:r>
              <w:rPr>
                <w:color w:val="auto"/>
              </w:rPr>
              <w:t>项  目</w:t>
            </w:r>
          </w:p>
        </w:tc>
        <w:tc>
          <w:tcPr>
            <w:tcW w:w="1474" w:type="dxa"/>
            <w:noWrap w:val="0"/>
            <w:vAlign w:val="center"/>
          </w:tcPr>
          <w:p>
            <w:pPr>
              <w:pStyle w:val="15"/>
              <w:rPr>
                <w:color w:val="auto"/>
              </w:rPr>
            </w:pPr>
            <w:r>
              <w:rPr>
                <w:color w:val="auto"/>
              </w:rPr>
              <w:t>金额</w:t>
            </w:r>
          </w:p>
        </w:tc>
        <w:tc>
          <w:tcPr>
            <w:tcW w:w="3402" w:type="dxa"/>
            <w:noWrap w:val="0"/>
            <w:vAlign w:val="center"/>
          </w:tcPr>
          <w:p>
            <w:pPr>
              <w:pStyle w:val="15"/>
              <w:rPr>
                <w:color w:val="auto"/>
              </w:rPr>
            </w:pPr>
            <w:r>
              <w:rPr>
                <w:color w:val="auto"/>
              </w:rPr>
              <w:t>项  目</w:t>
            </w:r>
          </w:p>
        </w:tc>
        <w:tc>
          <w:tcPr>
            <w:tcW w:w="1474" w:type="dxa"/>
            <w:noWrap w:val="0"/>
            <w:vAlign w:val="center"/>
          </w:tcPr>
          <w:p>
            <w:pPr>
              <w:pStyle w:val="15"/>
              <w:rPr>
                <w:color w:val="auto"/>
              </w:rPr>
            </w:pPr>
            <w:r>
              <w:rPr>
                <w:color w:val="auto"/>
              </w:rPr>
              <w:t>合计</w:t>
            </w:r>
          </w:p>
        </w:tc>
        <w:tc>
          <w:tcPr>
            <w:tcW w:w="1474" w:type="dxa"/>
            <w:noWrap w:val="0"/>
            <w:vAlign w:val="center"/>
          </w:tcPr>
          <w:p>
            <w:pPr>
              <w:pStyle w:val="15"/>
              <w:rPr>
                <w:color w:val="auto"/>
              </w:rPr>
            </w:pPr>
            <w:r>
              <w:rPr>
                <w:color w:val="auto"/>
              </w:rPr>
              <w:t>一般公共预算财政拨款</w:t>
            </w:r>
          </w:p>
        </w:tc>
        <w:tc>
          <w:tcPr>
            <w:tcW w:w="1474" w:type="dxa"/>
            <w:noWrap w:val="0"/>
            <w:vAlign w:val="center"/>
          </w:tcPr>
          <w:p>
            <w:pPr>
              <w:pStyle w:val="15"/>
              <w:rPr>
                <w:color w:val="auto"/>
              </w:rPr>
            </w:pPr>
            <w:r>
              <w:rPr>
                <w:color w:val="auto"/>
              </w:rPr>
              <w:t>政府性基金预算财政    拨款</w:t>
            </w:r>
          </w:p>
        </w:tc>
        <w:tc>
          <w:tcPr>
            <w:tcW w:w="1474" w:type="dxa"/>
            <w:noWrap w:val="0"/>
            <w:vAlign w:val="center"/>
          </w:tcPr>
          <w:p>
            <w:pPr>
              <w:pStyle w:val="15"/>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3402" w:type="dxa"/>
            <w:noWrap w:val="0"/>
            <w:vAlign w:val="center"/>
          </w:tcPr>
          <w:p>
            <w:pPr>
              <w:pStyle w:val="15"/>
              <w:rPr>
                <w:color w:val="auto"/>
              </w:rPr>
            </w:pPr>
            <w:r>
              <w:rPr>
                <w:color w:val="auto"/>
              </w:rPr>
              <w:t>1</w:t>
            </w:r>
          </w:p>
        </w:tc>
        <w:tc>
          <w:tcPr>
            <w:tcW w:w="1474" w:type="dxa"/>
            <w:noWrap w:val="0"/>
            <w:vAlign w:val="center"/>
          </w:tcPr>
          <w:p>
            <w:pPr>
              <w:pStyle w:val="15"/>
              <w:rPr>
                <w:color w:val="auto"/>
              </w:rPr>
            </w:pPr>
            <w:r>
              <w:rPr>
                <w:color w:val="auto"/>
              </w:rPr>
              <w:t>2</w:t>
            </w:r>
          </w:p>
        </w:tc>
        <w:tc>
          <w:tcPr>
            <w:tcW w:w="3402" w:type="dxa"/>
            <w:noWrap w:val="0"/>
            <w:vAlign w:val="center"/>
          </w:tcPr>
          <w:p>
            <w:pPr>
              <w:pStyle w:val="15"/>
              <w:rPr>
                <w:color w:val="auto"/>
              </w:rPr>
            </w:pPr>
            <w:r>
              <w:rPr>
                <w:color w:val="auto"/>
              </w:rPr>
              <w:t>3</w:t>
            </w:r>
          </w:p>
        </w:tc>
        <w:tc>
          <w:tcPr>
            <w:tcW w:w="1474" w:type="dxa"/>
            <w:noWrap w:val="0"/>
            <w:vAlign w:val="center"/>
          </w:tcPr>
          <w:p>
            <w:pPr>
              <w:pStyle w:val="15"/>
              <w:rPr>
                <w:color w:val="auto"/>
              </w:rPr>
            </w:pPr>
            <w:r>
              <w:rPr>
                <w:color w:val="auto"/>
              </w:rPr>
              <w:t>4</w:t>
            </w:r>
          </w:p>
        </w:tc>
        <w:tc>
          <w:tcPr>
            <w:tcW w:w="1474" w:type="dxa"/>
            <w:noWrap w:val="0"/>
            <w:vAlign w:val="center"/>
          </w:tcPr>
          <w:p>
            <w:pPr>
              <w:pStyle w:val="15"/>
              <w:rPr>
                <w:color w:val="auto"/>
              </w:rPr>
            </w:pPr>
            <w:r>
              <w:rPr>
                <w:color w:val="auto"/>
              </w:rPr>
              <w:t>5</w:t>
            </w:r>
          </w:p>
        </w:tc>
        <w:tc>
          <w:tcPr>
            <w:tcW w:w="1474" w:type="dxa"/>
            <w:noWrap w:val="0"/>
            <w:vAlign w:val="center"/>
          </w:tcPr>
          <w:p>
            <w:pPr>
              <w:pStyle w:val="15"/>
              <w:rPr>
                <w:color w:val="auto"/>
              </w:rPr>
            </w:pPr>
            <w:r>
              <w:rPr>
                <w:color w:val="auto"/>
              </w:rPr>
              <w:t>6</w:t>
            </w:r>
          </w:p>
        </w:tc>
        <w:tc>
          <w:tcPr>
            <w:tcW w:w="1474" w:type="dxa"/>
            <w:noWrap w:val="0"/>
            <w:vAlign w:val="center"/>
          </w:tcPr>
          <w:p>
            <w:pPr>
              <w:pStyle w:val="15"/>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w:t>
            </w:r>
          </w:p>
        </w:tc>
        <w:tc>
          <w:tcPr>
            <w:tcW w:w="3402" w:type="dxa"/>
            <w:noWrap w:val="0"/>
            <w:vAlign w:val="center"/>
          </w:tcPr>
          <w:p>
            <w:pPr>
              <w:pStyle w:val="17"/>
              <w:rPr>
                <w:color w:val="auto"/>
              </w:rPr>
            </w:pPr>
            <w:r>
              <w:rPr>
                <w:color w:val="auto"/>
              </w:rPr>
              <w:t>一、一般公共预算拨款</w:t>
            </w:r>
          </w:p>
        </w:tc>
        <w:tc>
          <w:tcPr>
            <w:tcW w:w="1474" w:type="dxa"/>
            <w:noWrap w:val="0"/>
            <w:vAlign w:val="center"/>
          </w:tcPr>
          <w:p>
            <w:pPr>
              <w:pStyle w:val="16"/>
              <w:rPr>
                <w:rFonts w:hint="default" w:eastAsia="方正书宋_GBK"/>
                <w:color w:val="auto"/>
                <w:lang w:val="en-US" w:eastAsia="zh-CN"/>
              </w:rPr>
            </w:pPr>
            <w:r>
              <w:rPr>
                <w:rFonts w:ascii="方正书宋_GBK" w:eastAsia="方正书宋_GBK"/>
                <w:color w:val="auto"/>
              </w:rPr>
              <w:t>12659.16</w:t>
            </w:r>
          </w:p>
        </w:tc>
        <w:tc>
          <w:tcPr>
            <w:tcW w:w="3402" w:type="dxa"/>
            <w:noWrap w:val="0"/>
            <w:vAlign w:val="center"/>
          </w:tcPr>
          <w:p>
            <w:pPr>
              <w:pStyle w:val="17"/>
              <w:rPr>
                <w:color w:val="auto"/>
              </w:rPr>
            </w:pPr>
            <w:r>
              <w:rPr>
                <w:color w:val="auto"/>
              </w:rPr>
              <w:t>一、一般公共服务支出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w:t>
            </w:r>
          </w:p>
        </w:tc>
        <w:tc>
          <w:tcPr>
            <w:tcW w:w="3402" w:type="dxa"/>
            <w:noWrap w:val="0"/>
            <w:vAlign w:val="center"/>
          </w:tcPr>
          <w:p>
            <w:pPr>
              <w:pStyle w:val="17"/>
              <w:rPr>
                <w:color w:val="auto"/>
              </w:rPr>
            </w:pPr>
            <w:r>
              <w:rPr>
                <w:color w:val="auto"/>
              </w:rPr>
              <w:t>二、政府性基金预算拨款</w:t>
            </w:r>
          </w:p>
        </w:tc>
        <w:tc>
          <w:tcPr>
            <w:tcW w:w="1474" w:type="dxa"/>
            <w:noWrap w:val="0"/>
            <w:vAlign w:val="center"/>
          </w:tcPr>
          <w:p>
            <w:pPr>
              <w:pStyle w:val="16"/>
              <w:rPr>
                <w:color w:val="auto"/>
              </w:rPr>
            </w:pPr>
            <w:r>
              <w:rPr>
                <w:rFonts w:ascii="方正书宋_GBK" w:eastAsia="方正书宋_GBK"/>
                <w:color w:val="auto"/>
              </w:rPr>
              <w:t>8277.41</w:t>
            </w:r>
          </w:p>
        </w:tc>
        <w:tc>
          <w:tcPr>
            <w:tcW w:w="3402" w:type="dxa"/>
            <w:noWrap w:val="0"/>
            <w:vAlign w:val="center"/>
          </w:tcPr>
          <w:p>
            <w:pPr>
              <w:pStyle w:val="17"/>
              <w:rPr>
                <w:color w:val="auto"/>
              </w:rPr>
            </w:pPr>
            <w:r>
              <w:rPr>
                <w:color w:val="auto"/>
              </w:rPr>
              <w:t>二、外交支出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w:t>
            </w:r>
          </w:p>
        </w:tc>
        <w:tc>
          <w:tcPr>
            <w:tcW w:w="3402" w:type="dxa"/>
            <w:noWrap w:val="0"/>
            <w:vAlign w:val="center"/>
          </w:tcPr>
          <w:p>
            <w:pPr>
              <w:pStyle w:val="17"/>
              <w:rPr>
                <w:color w:val="auto"/>
              </w:rPr>
            </w:pPr>
            <w:r>
              <w:rPr>
                <w:color w:val="auto"/>
              </w:rPr>
              <w:t>三、国有资本经营预算拨款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三、国防支出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四、公共安全支出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五、教育支出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六、科学技术支出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七、文化旅游体育与传媒支出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八、社会保障和就业支出</w:t>
            </w:r>
          </w:p>
        </w:tc>
        <w:tc>
          <w:tcPr>
            <w:tcW w:w="1474" w:type="dxa"/>
            <w:noWrap w:val="0"/>
            <w:vAlign w:val="center"/>
          </w:tcPr>
          <w:p>
            <w:pPr>
              <w:pStyle w:val="16"/>
              <w:rPr>
                <w:color w:val="auto"/>
              </w:rPr>
            </w:pPr>
          </w:p>
        </w:tc>
        <w:tc>
          <w:tcPr>
            <w:tcW w:w="1474" w:type="dxa"/>
            <w:noWrap w:val="0"/>
            <w:vAlign w:val="center"/>
          </w:tcPr>
          <w:p>
            <w:pPr>
              <w:pStyle w:val="16"/>
              <w:rPr>
                <w:rFonts w:hint="default" w:eastAsia="方正书宋_GBK"/>
                <w:color w:val="auto"/>
                <w:lang w:val="en-US" w:eastAsia="zh-CN"/>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九、社会保险基金支出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十、卫生健康支出</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11</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十一、节能环保支出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12</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十二、城乡社区支出</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default"/>
                <w:color w:val="auto"/>
                <w:lang w:val="en-US" w:eastAsia="zh-CN"/>
              </w:rPr>
              <w:fldChar w:fldCharType="begin"/>
            </w:r>
            <w:r>
              <w:rPr>
                <w:rFonts w:hint="default"/>
                <w:color w:val="auto"/>
                <w:lang w:val="en-US" w:eastAsia="zh-CN"/>
              </w:rPr>
              <w:instrText xml:space="preserve"> = sum(F25:F26) \* MERGEFORMAT </w:instrText>
            </w:r>
            <w:r>
              <w:rPr>
                <w:rFonts w:hint="default"/>
                <w:color w:val="auto"/>
                <w:lang w:val="en-US" w:eastAsia="zh-CN"/>
              </w:rPr>
              <w:fldChar w:fldCharType="separate"/>
            </w:r>
            <w:r>
              <w:rPr>
                <w:rFonts w:hint="default"/>
                <w:color w:val="auto"/>
                <w:lang w:val="en-US" w:eastAsia="zh-CN"/>
              </w:rPr>
              <w:t>8277.41</w:t>
            </w:r>
            <w:r>
              <w:rPr>
                <w:rFonts w:hint="default"/>
                <w:color w:val="auto"/>
                <w:lang w:val="en-US" w:eastAsia="zh-CN"/>
              </w:rPr>
              <w:fldChar w:fldCharType="end"/>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default"/>
                <w:color w:val="auto"/>
                <w:lang w:val="en-US" w:eastAsia="zh-CN"/>
              </w:rPr>
              <w:fldChar w:fldCharType="begin"/>
            </w:r>
            <w:r>
              <w:rPr>
                <w:rFonts w:hint="default"/>
                <w:color w:val="auto"/>
                <w:lang w:val="en-US" w:eastAsia="zh-CN"/>
              </w:rPr>
              <w:instrText xml:space="preserve"> = sum(F25:F26) \* MERGEFORMAT </w:instrText>
            </w:r>
            <w:r>
              <w:rPr>
                <w:rFonts w:hint="default"/>
                <w:color w:val="auto"/>
                <w:lang w:val="en-US" w:eastAsia="zh-CN"/>
              </w:rPr>
              <w:fldChar w:fldCharType="separate"/>
            </w:r>
            <w:r>
              <w:rPr>
                <w:rFonts w:hint="default"/>
                <w:color w:val="auto"/>
                <w:lang w:val="en-US" w:eastAsia="zh-CN"/>
              </w:rPr>
              <w:t>8277.41</w:t>
            </w:r>
            <w:r>
              <w:rPr>
                <w:rFonts w:hint="default"/>
                <w:color w:val="auto"/>
                <w:lang w:val="en-US" w:eastAsia="zh-CN"/>
              </w:rPr>
              <w:fldChar w:fldCharType="end"/>
            </w: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13</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十三、农林水支出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十四、交通运输支出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十五、资源勘探工业信息等支出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十六、商业服务业等支出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十七、金融支出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十八、援助其他地区支出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十九、自然资源海洋气象等支出</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default" w:ascii="方正书宋_GBK" w:hAnsi="方正书宋_GBK" w:eastAsia="方正书宋_GBK" w:cs="方正书宋_GBK"/>
                <w:color w:val="auto"/>
                <w:sz w:val="21"/>
                <w:szCs w:val="24"/>
                <w:lang w:val="en-US" w:eastAsia="zh-CN" w:bidi="ar-SA"/>
              </w:rPr>
              <w:fldChar w:fldCharType="begin"/>
            </w:r>
            <w:r>
              <w:rPr>
                <w:rFonts w:hint="default" w:ascii="方正书宋_GBK" w:hAnsi="方正书宋_GBK" w:eastAsia="方正书宋_GBK" w:cs="方正书宋_GBK"/>
                <w:color w:val="auto"/>
                <w:sz w:val="21"/>
                <w:szCs w:val="24"/>
                <w:lang w:val="en-US" w:eastAsia="zh-CN" w:bidi="ar-SA"/>
              </w:rPr>
              <w:instrText xml:space="preserve"> = sum(F41:F45) \* MERGEFORMAT </w:instrText>
            </w:r>
            <w:r>
              <w:rPr>
                <w:rFonts w:hint="default" w:ascii="方正书宋_GBK" w:hAnsi="方正书宋_GBK" w:eastAsia="方正书宋_GBK" w:cs="方正书宋_GBK"/>
                <w:color w:val="auto"/>
                <w:sz w:val="21"/>
                <w:szCs w:val="24"/>
                <w:lang w:val="en-US" w:eastAsia="zh-CN" w:bidi="ar-SA"/>
              </w:rPr>
              <w:fldChar w:fldCharType="separate"/>
            </w:r>
            <w:r>
              <w:rPr>
                <w:rFonts w:hint="default" w:ascii="方正书宋_GBK" w:hAnsi="方正书宋_GBK" w:eastAsia="方正书宋_GBK" w:cs="方正书宋_GBK"/>
                <w:color w:val="auto"/>
                <w:sz w:val="21"/>
                <w:szCs w:val="24"/>
                <w:lang w:val="en-US" w:eastAsia="zh-CN" w:bidi="ar-SA"/>
              </w:rPr>
              <w:t>12659.16</w:t>
            </w:r>
            <w:r>
              <w:rPr>
                <w:rFonts w:hint="default" w:ascii="方正书宋_GBK" w:hAnsi="方正书宋_GBK" w:eastAsia="方正书宋_GBK" w:cs="方正书宋_GBK"/>
                <w:color w:val="auto"/>
                <w:sz w:val="21"/>
                <w:szCs w:val="24"/>
                <w:lang w:val="en-US" w:eastAsia="zh-CN" w:bidi="ar-SA"/>
              </w:rPr>
              <w:fldChar w:fldCharType="end"/>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12659.16</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二十、住房保障支出</w:t>
            </w:r>
          </w:p>
        </w:tc>
        <w:tc>
          <w:tcPr>
            <w:tcW w:w="147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21</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二十一、粮油物资储备支出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22</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二十二、国有资本经营预算支出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23</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二十三、灾害防治及应急管理支出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二十四、预备费</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二十五、其他支出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二十六、转移性支出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二十七、债务还本支出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二十八、债务付息支出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二十九、债务发行费用支出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三十、抗疫特别国债安排的支出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31</w:t>
            </w:r>
          </w:p>
        </w:tc>
        <w:tc>
          <w:tcPr>
            <w:tcW w:w="3402" w:type="dxa"/>
            <w:noWrap w:val="0"/>
            <w:vAlign w:val="center"/>
          </w:tcPr>
          <w:p>
            <w:pPr>
              <w:pStyle w:val="19"/>
              <w:rPr>
                <w:color w:val="auto"/>
              </w:rPr>
            </w:pPr>
            <w:r>
              <w:rPr>
                <w:color w:val="auto"/>
              </w:rPr>
              <w:t>本年收入合计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20936.57</w:t>
            </w:r>
          </w:p>
        </w:tc>
        <w:tc>
          <w:tcPr>
            <w:tcW w:w="3402" w:type="dxa"/>
            <w:noWrap w:val="0"/>
            <w:vAlign w:val="center"/>
          </w:tcPr>
          <w:p>
            <w:pPr>
              <w:pStyle w:val="19"/>
              <w:rPr>
                <w:color w:val="auto"/>
              </w:rPr>
            </w:pPr>
            <w:r>
              <w:rPr>
                <w:color w:val="auto"/>
              </w:rPr>
              <w:t>本年支出合计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20936.57</w:t>
            </w:r>
          </w:p>
        </w:tc>
        <w:tc>
          <w:tcPr>
            <w:tcW w:w="1474" w:type="dxa"/>
            <w:noWrap w:val="0"/>
            <w:vAlign w:val="center"/>
          </w:tcPr>
          <w:p>
            <w:pPr>
              <w:pStyle w:val="20"/>
              <w:rPr>
                <w:rFonts w:hint="default" w:eastAsia="方正书宋_GBK"/>
                <w:color w:val="auto"/>
                <w:lang w:val="en-US" w:eastAsia="zh-CN"/>
              </w:rPr>
            </w:pPr>
            <w:r>
              <w:rPr>
                <w:rFonts w:hint="eastAsia" w:cs="方正书宋_GBK"/>
                <w:color w:val="auto"/>
                <w:sz w:val="21"/>
                <w:szCs w:val="24"/>
                <w:lang w:val="en-US" w:eastAsia="zh-CN" w:bidi="ar-SA"/>
              </w:rPr>
              <w:t>12659.16</w:t>
            </w:r>
          </w:p>
        </w:tc>
        <w:tc>
          <w:tcPr>
            <w:tcW w:w="1474" w:type="dxa"/>
            <w:noWrap w:val="0"/>
            <w:vAlign w:val="center"/>
          </w:tcPr>
          <w:p>
            <w:pPr>
              <w:pStyle w:val="20"/>
              <w:rPr>
                <w:rFonts w:hint="default" w:eastAsia="方正书宋_GBK"/>
                <w:color w:val="auto"/>
                <w:lang w:val="en-US" w:eastAsia="zh-CN"/>
              </w:rPr>
            </w:pPr>
            <w:r>
              <w:rPr>
                <w:rFonts w:hint="default"/>
                <w:color w:val="auto"/>
                <w:lang w:val="en-US" w:eastAsia="zh-CN"/>
              </w:rPr>
              <w:fldChar w:fldCharType="begin"/>
            </w:r>
            <w:r>
              <w:rPr>
                <w:rFonts w:hint="default"/>
                <w:color w:val="auto"/>
                <w:lang w:val="en-US" w:eastAsia="zh-CN"/>
              </w:rPr>
              <w:instrText xml:space="preserve"> = sum(F25:F26) \* MERGEFORMAT </w:instrText>
            </w:r>
            <w:r>
              <w:rPr>
                <w:rFonts w:hint="default"/>
                <w:color w:val="auto"/>
                <w:lang w:val="en-US" w:eastAsia="zh-CN"/>
              </w:rPr>
              <w:fldChar w:fldCharType="separate"/>
            </w:r>
            <w:r>
              <w:rPr>
                <w:rFonts w:hint="default"/>
                <w:color w:val="auto"/>
                <w:lang w:val="en-US" w:eastAsia="zh-CN"/>
              </w:rPr>
              <w:t>8277.41</w:t>
            </w:r>
            <w:r>
              <w:rPr>
                <w:rFonts w:hint="default"/>
                <w:color w:val="auto"/>
                <w:lang w:val="en-US" w:eastAsia="zh-CN"/>
              </w:rPr>
              <w:fldChar w:fldCharType="end"/>
            </w:r>
          </w:p>
        </w:tc>
        <w:tc>
          <w:tcPr>
            <w:tcW w:w="1474"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32</w:t>
            </w:r>
          </w:p>
        </w:tc>
        <w:tc>
          <w:tcPr>
            <w:tcW w:w="3402" w:type="dxa"/>
            <w:noWrap w:val="0"/>
            <w:vAlign w:val="center"/>
          </w:tcPr>
          <w:p>
            <w:pPr>
              <w:pStyle w:val="17"/>
              <w:rPr>
                <w:color w:val="auto"/>
              </w:rPr>
            </w:pPr>
            <w:r>
              <w:rPr>
                <w:color w:val="auto"/>
              </w:rPr>
              <w:t>年初财政拨款结转和结余</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年末财政拨款结转和结余</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33</w:t>
            </w:r>
          </w:p>
        </w:tc>
        <w:tc>
          <w:tcPr>
            <w:tcW w:w="3402" w:type="dxa"/>
            <w:noWrap w:val="0"/>
            <w:vAlign w:val="center"/>
          </w:tcPr>
          <w:p>
            <w:pPr>
              <w:pStyle w:val="17"/>
              <w:rPr>
                <w:color w:val="auto"/>
              </w:rPr>
            </w:pPr>
            <w:r>
              <w:rPr>
                <w:color w:val="auto"/>
              </w:rPr>
              <w:t>一、一般公共预算拨款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34</w:t>
            </w:r>
          </w:p>
        </w:tc>
        <w:tc>
          <w:tcPr>
            <w:tcW w:w="3402" w:type="dxa"/>
            <w:noWrap w:val="0"/>
            <w:vAlign w:val="center"/>
          </w:tcPr>
          <w:p>
            <w:pPr>
              <w:pStyle w:val="17"/>
              <w:rPr>
                <w:color w:val="auto"/>
              </w:rPr>
            </w:pPr>
            <w:r>
              <w:rPr>
                <w:color w:val="auto"/>
              </w:rPr>
              <w:t>二、政府性基金预算拨款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35</w:t>
            </w:r>
          </w:p>
        </w:tc>
        <w:tc>
          <w:tcPr>
            <w:tcW w:w="3402" w:type="dxa"/>
            <w:noWrap w:val="0"/>
            <w:vAlign w:val="center"/>
          </w:tcPr>
          <w:p>
            <w:pPr>
              <w:pStyle w:val="17"/>
              <w:rPr>
                <w:color w:val="auto"/>
              </w:rPr>
            </w:pPr>
            <w:r>
              <w:rPr>
                <w:color w:val="auto"/>
              </w:rPr>
              <w:t>三、国有资本经营预算拨款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36</w:t>
            </w:r>
          </w:p>
        </w:tc>
        <w:tc>
          <w:tcPr>
            <w:tcW w:w="3402" w:type="dxa"/>
            <w:noWrap w:val="0"/>
            <w:vAlign w:val="center"/>
          </w:tcPr>
          <w:p>
            <w:pPr>
              <w:pStyle w:val="19"/>
              <w:rPr>
                <w:color w:val="auto"/>
              </w:rPr>
            </w:pPr>
            <w:r>
              <w:rPr>
                <w:color w:val="auto"/>
              </w:rPr>
              <w:t>收入总计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20936.57</w:t>
            </w:r>
          </w:p>
        </w:tc>
        <w:tc>
          <w:tcPr>
            <w:tcW w:w="3402" w:type="dxa"/>
            <w:noWrap w:val="0"/>
            <w:vAlign w:val="center"/>
          </w:tcPr>
          <w:p>
            <w:pPr>
              <w:pStyle w:val="19"/>
              <w:rPr>
                <w:color w:val="auto"/>
              </w:rPr>
            </w:pPr>
            <w:r>
              <w:rPr>
                <w:color w:val="auto"/>
              </w:rPr>
              <w:t>支出总计</w:t>
            </w:r>
          </w:p>
        </w:tc>
        <w:tc>
          <w:tcPr>
            <w:tcW w:w="1474" w:type="dxa"/>
            <w:noWrap w:val="0"/>
            <w:vAlign w:val="center"/>
          </w:tcPr>
          <w:p>
            <w:pPr>
              <w:pStyle w:val="20"/>
              <w:rPr>
                <w:rFonts w:hint="default" w:eastAsia="方正书宋_GBK"/>
                <w:color w:val="auto"/>
                <w:lang w:val="en-US" w:eastAsia="zh-CN"/>
              </w:rPr>
            </w:pPr>
            <w:r>
              <w:rPr>
                <w:rFonts w:ascii="方正书宋_GBK" w:eastAsia="方正书宋_GBK"/>
                <w:b/>
                <w:color w:val="auto"/>
              </w:rPr>
              <w:t>20936.57</w:t>
            </w:r>
          </w:p>
        </w:tc>
        <w:tc>
          <w:tcPr>
            <w:tcW w:w="1474" w:type="dxa"/>
            <w:noWrap w:val="0"/>
            <w:vAlign w:val="center"/>
          </w:tcPr>
          <w:p>
            <w:pPr>
              <w:pStyle w:val="20"/>
              <w:rPr>
                <w:rFonts w:hint="default" w:eastAsia="方正书宋_GBK"/>
                <w:color w:val="auto"/>
                <w:lang w:val="en-US" w:eastAsia="zh-CN"/>
              </w:rPr>
            </w:pPr>
            <w:r>
              <w:rPr>
                <w:rFonts w:hint="eastAsia" w:cs="方正书宋_GBK"/>
                <w:color w:val="auto"/>
                <w:sz w:val="21"/>
                <w:szCs w:val="24"/>
                <w:lang w:val="en-US" w:eastAsia="zh-CN" w:bidi="ar-SA"/>
              </w:rPr>
              <w:t>12659.16</w:t>
            </w:r>
          </w:p>
        </w:tc>
        <w:tc>
          <w:tcPr>
            <w:tcW w:w="1474" w:type="dxa"/>
            <w:noWrap w:val="0"/>
            <w:vAlign w:val="center"/>
          </w:tcPr>
          <w:p>
            <w:pPr>
              <w:pStyle w:val="20"/>
              <w:rPr>
                <w:rFonts w:hint="default"/>
                <w:color w:val="auto"/>
                <w:lang w:val="en-US"/>
              </w:rPr>
            </w:pPr>
            <w:r>
              <w:rPr>
                <w:rFonts w:hint="default"/>
                <w:color w:val="auto"/>
                <w:lang w:val="en-US" w:eastAsia="zh-CN"/>
              </w:rPr>
              <w:fldChar w:fldCharType="begin"/>
            </w:r>
            <w:r>
              <w:rPr>
                <w:rFonts w:hint="default"/>
                <w:color w:val="auto"/>
                <w:lang w:val="en-US" w:eastAsia="zh-CN"/>
              </w:rPr>
              <w:instrText xml:space="preserve"> = sum(F25:F26) \* MERGEFORMAT </w:instrText>
            </w:r>
            <w:r>
              <w:rPr>
                <w:rFonts w:hint="default"/>
                <w:color w:val="auto"/>
                <w:lang w:val="en-US" w:eastAsia="zh-CN"/>
              </w:rPr>
              <w:fldChar w:fldCharType="separate"/>
            </w:r>
            <w:r>
              <w:rPr>
                <w:rFonts w:hint="default"/>
                <w:color w:val="auto"/>
                <w:lang w:val="en-US" w:eastAsia="zh-CN"/>
              </w:rPr>
              <w:t>8277.41</w:t>
            </w:r>
            <w:r>
              <w:rPr>
                <w:rFonts w:hint="default"/>
                <w:color w:val="auto"/>
                <w:lang w:val="en-US" w:eastAsia="zh-CN"/>
              </w:rPr>
              <w:fldChar w:fldCharType="end"/>
            </w:r>
          </w:p>
        </w:tc>
        <w:tc>
          <w:tcPr>
            <w:tcW w:w="1474" w:type="dxa"/>
            <w:noWrap w:val="0"/>
            <w:vAlign w:val="center"/>
          </w:tcPr>
          <w:p>
            <w:pPr>
              <w:pStyle w:val="20"/>
              <w:rPr>
                <w:color w:val="auto"/>
              </w:rPr>
            </w:pPr>
          </w:p>
        </w:tc>
      </w:tr>
    </w:tbl>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324006保定市自然资源和规划局满城区分局(自收自支)</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color w:val="auto"/>
              </w:rPr>
            </w:pP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pStyle w:val="20"/>
              <w:rPr>
                <w:rFonts w:hint="default" w:eastAsia="方正书宋_GBK"/>
                <w:color w:val="auto"/>
                <w:lang w:val="en-US" w:eastAsia="zh-CN"/>
              </w:rPr>
            </w:pPr>
            <w:r>
              <w:rPr>
                <w:rFonts w:hint="eastAsia"/>
                <w:b/>
                <w:color w:val="auto"/>
                <w:lang w:val="en-US" w:eastAsia="zh-CN"/>
              </w:rPr>
              <w:t>12659.16</w:t>
            </w:r>
          </w:p>
        </w:tc>
        <w:tc>
          <w:tcPr>
            <w:tcW w:w="2551" w:type="dxa"/>
            <w:noWrap w:val="0"/>
            <w:vAlign w:val="center"/>
          </w:tcPr>
          <w:p>
            <w:pPr>
              <w:pStyle w:val="20"/>
              <w:rPr>
                <w:rFonts w:hint="default"/>
                <w:color w:val="auto"/>
                <w:lang w:val="en-US"/>
              </w:rPr>
            </w:pPr>
            <w:r>
              <w:rPr>
                <w:rFonts w:hint="eastAsia"/>
                <w:b/>
                <w:color w:val="auto"/>
                <w:lang w:val="en-US" w:eastAsia="zh-CN"/>
              </w:rPr>
              <w:t>69.01</w:t>
            </w:r>
          </w:p>
        </w:tc>
        <w:tc>
          <w:tcPr>
            <w:tcW w:w="2551" w:type="dxa"/>
            <w:noWrap w:val="0"/>
            <w:vAlign w:val="center"/>
          </w:tcPr>
          <w:p>
            <w:pPr>
              <w:pStyle w:val="20"/>
              <w:rPr>
                <w:color w:val="auto"/>
              </w:rPr>
            </w:pPr>
            <w:r>
              <w:rPr>
                <w:rFonts w:hint="eastAsia" w:cs="方正书宋_GBK"/>
                <w:color w:val="auto"/>
                <w:sz w:val="21"/>
                <w:szCs w:val="24"/>
                <w:lang w:val="en-US" w:eastAsia="zh-CN" w:bidi="ar-SA"/>
              </w:rPr>
              <w:t>12590.15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16</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城乡社区规划与管理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17</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2120201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城乡社区规划与管理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18</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21203</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城乡社区公共设施</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19</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2120399</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20</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征地和拆迁补偿支出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23</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21210</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24</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2121002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25</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农林水支出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26</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农业农村</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27</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2130135</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28</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林业和草原</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29</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2130205</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森林资源培育</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2130206</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技术推广与转化</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31</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2130209</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森林生态效益补偿</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32</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2130234</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林业草原防灾减灾</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33</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220</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2551" w:type="dxa"/>
            <w:noWrap w:val="0"/>
            <w:vAlign w:val="center"/>
          </w:tcPr>
          <w:p>
            <w:pPr>
              <w:pStyle w:val="16"/>
              <w:rPr>
                <w:rFonts w:hint="eastAsia"/>
                <w:color w:val="auto"/>
                <w:lang w:val="en-US" w:eastAsia="zh-CN"/>
              </w:rPr>
            </w:pPr>
            <w:r>
              <w:rPr>
                <w:rFonts w:hint="default" w:ascii="方正书宋_GBK" w:hAnsi="方正书宋_GBK" w:eastAsia="方正书宋_GBK" w:cs="方正书宋_GBK"/>
                <w:color w:val="auto"/>
                <w:sz w:val="21"/>
                <w:szCs w:val="24"/>
                <w:lang w:val="en-US" w:eastAsia="zh-CN" w:bidi="ar-SA"/>
              </w:rPr>
              <w:fldChar w:fldCharType="begin"/>
            </w:r>
            <w:r>
              <w:rPr>
                <w:rFonts w:hint="default" w:ascii="方正书宋_GBK" w:hAnsi="方正书宋_GBK" w:eastAsia="方正书宋_GBK" w:cs="方正书宋_GBK"/>
                <w:color w:val="auto"/>
                <w:sz w:val="21"/>
                <w:szCs w:val="24"/>
                <w:lang w:val="en-US" w:eastAsia="zh-CN" w:bidi="ar-SA"/>
              </w:rPr>
              <w:instrText xml:space="preserve"> = sum(F41:F45) \* MERGEFORMAT </w:instrText>
            </w:r>
            <w:r>
              <w:rPr>
                <w:rFonts w:hint="default" w:ascii="方正书宋_GBK" w:hAnsi="方正书宋_GBK" w:eastAsia="方正书宋_GBK" w:cs="方正书宋_GBK"/>
                <w:color w:val="auto"/>
                <w:sz w:val="21"/>
                <w:szCs w:val="24"/>
                <w:lang w:val="en-US" w:eastAsia="zh-CN" w:bidi="ar-SA"/>
              </w:rPr>
              <w:fldChar w:fldCharType="separate"/>
            </w:r>
            <w:r>
              <w:rPr>
                <w:rFonts w:hint="default" w:ascii="方正书宋_GBK" w:hAnsi="方正书宋_GBK" w:eastAsia="方正书宋_GBK" w:cs="方正书宋_GBK"/>
                <w:color w:val="auto"/>
                <w:sz w:val="21"/>
                <w:szCs w:val="24"/>
                <w:lang w:val="en-US" w:eastAsia="zh-CN" w:bidi="ar-SA"/>
              </w:rPr>
              <w:t>12659.16</w:t>
            </w:r>
            <w:r>
              <w:rPr>
                <w:rFonts w:hint="default" w:ascii="方正书宋_GBK" w:hAnsi="方正书宋_GBK" w:eastAsia="方正书宋_GBK" w:cs="方正书宋_GBK"/>
                <w:color w:val="auto"/>
                <w:sz w:val="21"/>
                <w:szCs w:val="24"/>
                <w:lang w:val="en-US" w:eastAsia="zh-CN" w:bidi="ar-SA"/>
              </w:rPr>
              <w:fldChar w:fldCharType="end"/>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69.01</w:t>
            </w:r>
          </w:p>
        </w:tc>
        <w:tc>
          <w:tcPr>
            <w:tcW w:w="2551" w:type="dxa"/>
            <w:noWrap w:val="0"/>
            <w:vAlign w:val="center"/>
          </w:tcPr>
          <w:p>
            <w:pPr>
              <w:pStyle w:val="16"/>
              <w:rPr>
                <w:color w:val="auto"/>
              </w:rPr>
            </w:pPr>
            <w:r>
              <w:rPr>
                <w:rFonts w:hint="eastAsia" w:cs="方正书宋_GBK"/>
                <w:color w:val="auto"/>
                <w:sz w:val="21"/>
                <w:szCs w:val="24"/>
                <w:lang w:val="en-US" w:eastAsia="zh-CN" w:bidi="ar-SA"/>
              </w:rPr>
              <w:t>12590.15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34</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22001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自然资源事务</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行政运行</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一般行政管理事务</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自然资源规划及管理</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103.15</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s="方正书宋_GBK"/>
                <w:color w:val="auto"/>
                <w:sz w:val="21"/>
                <w:szCs w:val="24"/>
                <w:lang w:val="en-US" w:eastAsia="zh-CN" w:bidi="ar-SA"/>
              </w:rPr>
              <w:t>103.15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38</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自然资源利用与保护</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12472</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s="方正书宋_GBK"/>
                <w:color w:val="auto"/>
                <w:sz w:val="21"/>
                <w:szCs w:val="24"/>
                <w:lang w:val="en-US" w:eastAsia="zh-CN" w:bidi="ar-SA"/>
              </w:rPr>
              <w:t>12472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39</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2200113</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2551" w:type="dxa"/>
            <w:noWrap w:val="0"/>
            <w:vAlign w:val="center"/>
          </w:tcPr>
          <w:p>
            <w:pPr>
              <w:pStyle w:val="16"/>
              <w:rPr>
                <w:rFonts w:hint="eastAsia"/>
                <w:color w:val="auto"/>
                <w:lang w:val="en-US" w:eastAsia="zh-CN"/>
              </w:rPr>
            </w:pPr>
            <w:r>
              <w:rPr>
                <w:rFonts w:hint="eastAsia" w:cs="方正书宋_GBK"/>
                <w:color w:val="auto"/>
                <w:sz w:val="21"/>
                <w:szCs w:val="24"/>
                <w:lang w:val="en-US" w:eastAsia="zh-CN" w:bidi="ar-SA"/>
              </w:rPr>
              <w:t>15</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r>
              <w:rPr>
                <w:rFonts w:hint="eastAsia" w:cs="方正书宋_GBK"/>
                <w:color w:val="auto"/>
                <w:sz w:val="21"/>
                <w:szCs w:val="24"/>
                <w:lang w:val="en-US" w:eastAsia="zh-CN" w:bidi="ar-SA"/>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40</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41</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2200150</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事业运行</w:t>
            </w:r>
          </w:p>
        </w:tc>
        <w:tc>
          <w:tcPr>
            <w:tcW w:w="255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69.01</w:t>
            </w:r>
          </w:p>
        </w:tc>
        <w:tc>
          <w:tcPr>
            <w:tcW w:w="255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69.01</w:t>
            </w: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住房保障支出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住房改革支出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住房公积金</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自然灾害防治</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地质灾害防治</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19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r>
    </w:tbl>
    <w:p>
      <w:pPr>
        <w:rPr>
          <w:color w:val="auto"/>
        </w:rPr>
        <w:sectPr>
          <w:pgSz w:w="16840" w:h="11900" w:orient="landscape"/>
          <w:pgMar w:top="1361" w:right="1020" w:bottom="1134" w:left="1020" w:header="720" w:footer="720" w:gutter="0"/>
          <w:cols w:space="720" w:num="1"/>
        </w:sectPr>
      </w:pPr>
    </w:p>
    <w:p>
      <w:pPr>
        <w:jc w:val="center"/>
        <w:outlineLvl w:val="4"/>
        <w:rPr>
          <w:rFonts w:ascii="方正小标宋_GBK" w:hAnsi="方正小标宋_GBK" w:eastAsia="方正小标宋_GBK" w:cs="方正小标宋_GBK"/>
          <w:color w:val="auto"/>
          <w:sz w:val="36"/>
        </w:rPr>
      </w:pPr>
      <w:r>
        <w:rPr>
          <w:rFonts w:ascii="方正小标宋_GBK" w:hAnsi="方正小标宋_GBK" w:eastAsia="方正小标宋_GBK" w:cs="方正小标宋_GBK"/>
          <w:color w:val="auto"/>
          <w:sz w:val="36"/>
        </w:rPr>
        <w:t>单位预算一般公共预算财政拨款基本支出表</w:t>
      </w:r>
    </w:p>
    <w:p>
      <w:pPr>
        <w:jc w:val="center"/>
        <w:outlineLvl w:val="4"/>
        <w:rPr>
          <w:rFonts w:ascii="方正小标宋_GBK" w:hAnsi="方正小标宋_GBK" w:eastAsia="方正小标宋_GBK" w:cs="方正小标宋_GBK"/>
          <w:color w:val="auto"/>
          <w:sz w:val="36"/>
        </w:rPr>
      </w:pPr>
    </w:p>
    <w:tbl>
      <w:tblPr>
        <w:tblStyle w:val="5"/>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rPr>
                <w:rFonts w:ascii="方正小标宋_GBK" w:hAnsi="方正小标宋_GBK" w:eastAsia="方正小标宋_GBK" w:cs="方正小标宋_GBK"/>
                <w:color w:val="auto"/>
                <w:sz w:val="24"/>
                <w:szCs w:val="24"/>
                <w:lang w:val="en-US" w:eastAsia="uk-UA" w:bidi="ar-SA"/>
              </w:rPr>
            </w:pPr>
            <w:r>
              <w:rPr>
                <w:color w:val="auto"/>
              </w:rPr>
              <w:t>324006保定市自然资源和规划局满城区分局(自收自支)</w:t>
            </w:r>
          </w:p>
        </w:tc>
        <w:tc>
          <w:tcPr>
            <w:tcW w:w="2551" w:type="dxa"/>
            <w:tcBorders>
              <w:top w:val="single" w:color="FFFFFF" w:sz="6" w:space="0"/>
              <w:left w:val="single" w:color="FFFFFF" w:sz="6" w:space="0"/>
              <w:right w:val="single" w:color="FFFFFF" w:sz="6" w:space="0"/>
            </w:tcBorders>
            <w:noWrap w:val="0"/>
            <w:vAlign w:val="center"/>
          </w:tcPr>
          <w:p>
            <w:pPr>
              <w:pStyle w:val="13"/>
              <w:rPr>
                <w:color w:val="auto"/>
              </w:rPr>
            </w:pPr>
            <w:r>
              <w:rPr>
                <w:color w:val="auto"/>
              </w:rPr>
              <w:t>预算年度：202</w:t>
            </w:r>
            <w:r>
              <w:rPr>
                <w:rFonts w:hint="eastAsia"/>
                <w:color w:val="auto"/>
                <w:lang w:val="en-US" w:eastAsia="zh-CN"/>
              </w:rPr>
              <w:t>1</w:t>
            </w:r>
          </w:p>
        </w:tc>
        <w:tc>
          <w:tcPr>
            <w:tcW w:w="5103"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支出部门经济分类科目</w:t>
            </w:r>
          </w:p>
        </w:tc>
        <w:tc>
          <w:tcPr>
            <w:tcW w:w="7654" w:type="dxa"/>
            <w:gridSpan w:val="3"/>
            <w:noWrap w:val="0"/>
            <w:vAlign w:val="center"/>
          </w:tcPr>
          <w:p>
            <w:pPr>
              <w:pStyle w:val="15"/>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noWrap w:val="0"/>
            <w:vAlign w:val="center"/>
          </w:tcPr>
          <w:p>
            <w:pPr>
              <w:pStyle w:val="15"/>
              <w:rPr>
                <w:color w:val="auto"/>
              </w:rPr>
            </w:pPr>
            <w:r>
              <w:rPr>
                <w:color w:val="auto"/>
              </w:rPr>
              <w:t>合计</w:t>
            </w:r>
          </w:p>
        </w:tc>
        <w:tc>
          <w:tcPr>
            <w:tcW w:w="2551" w:type="dxa"/>
            <w:noWrap w:val="0"/>
            <w:vAlign w:val="center"/>
          </w:tcPr>
          <w:p>
            <w:pPr>
              <w:pStyle w:val="15"/>
              <w:rPr>
                <w:color w:val="auto"/>
              </w:rPr>
            </w:pPr>
            <w:r>
              <w:rPr>
                <w:color w:val="auto"/>
              </w:rPr>
              <w:t>人员经费</w:t>
            </w:r>
          </w:p>
        </w:tc>
        <w:tc>
          <w:tcPr>
            <w:tcW w:w="2552" w:type="dxa"/>
            <w:noWrap w:val="0"/>
            <w:vAlign w:val="center"/>
          </w:tcPr>
          <w:p>
            <w:pPr>
              <w:pStyle w:val="15"/>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2"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rFonts w:ascii="方正书宋_GBK" w:hAnsi="Times New Roman" w:eastAsia="方正书宋_GBK" w:cs="Times New Roman"/>
                <w:b/>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b/>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69.01</w:t>
            </w:r>
          </w:p>
        </w:tc>
        <w:tc>
          <w:tcPr>
            <w:tcW w:w="2551" w:type="dxa"/>
            <w:noWrap w:val="0"/>
            <w:vAlign w:val="center"/>
          </w:tcPr>
          <w:p>
            <w:pPr>
              <w:spacing w:line="300" w:lineRule="exact"/>
              <w:jc w:val="right"/>
              <w:rPr>
                <w:rFonts w:hint="default" w:ascii="方正书宋_GBK" w:hAnsi="Times New Roman" w:eastAsia="方正书宋_GBK" w:cs="Times New Roman"/>
                <w:b/>
                <w:color w:val="auto"/>
                <w:sz w:val="24"/>
                <w:szCs w:val="24"/>
                <w:lang w:val="en-US" w:eastAsia="zh-CN" w:bidi="ar-SA"/>
              </w:rPr>
            </w:pPr>
          </w:p>
        </w:tc>
        <w:tc>
          <w:tcPr>
            <w:tcW w:w="2552" w:type="dxa"/>
            <w:noWrap w:val="0"/>
            <w:vAlign w:val="center"/>
          </w:tcPr>
          <w:p>
            <w:pPr>
              <w:pStyle w:val="20"/>
              <w:rPr>
                <w:rFonts w:hint="default" w:eastAsia="方正书宋_GBK"/>
                <w:color w:val="auto"/>
                <w:lang w:val="en-US" w:eastAsia="zh-CN"/>
              </w:rPr>
            </w:pPr>
            <w:r>
              <w:rPr>
                <w:rFonts w:hint="eastAsia"/>
                <w:color w:val="auto"/>
                <w:lang w:val="en-US" w:eastAsia="zh-CN"/>
              </w:rPr>
              <w:t>69.01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工资福利支出</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uk-UA"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基本工资</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30102</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津贴补贴</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30103</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奖金</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30107</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绩效工资</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uk-UA"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30108</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机关事业单位基本养老保险缴费</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30109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职业年金缴费</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uk-UA"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30110</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城镇职工基本医疗保险缴费</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30112</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其他社会保障缴费</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30113</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住房公积金</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30199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其他工资福利支出</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商品和服务支出</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69.01</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rFonts w:hint="default" w:eastAsia="方正书宋_GBK"/>
                <w:color w:val="auto"/>
                <w:lang w:val="en-US" w:eastAsia="zh-CN"/>
              </w:rPr>
            </w:pPr>
            <w:r>
              <w:rPr>
                <w:rFonts w:hint="eastAsia"/>
                <w:color w:val="auto"/>
                <w:lang w:val="en-US" w:eastAsia="zh-CN"/>
              </w:rPr>
              <w:t>69.01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办公费</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13.09</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rFonts w:hint="default" w:eastAsia="方正书宋_GBK"/>
                <w:color w:val="auto"/>
                <w:lang w:val="en-US" w:eastAsia="zh-CN"/>
              </w:rPr>
            </w:pPr>
            <w:r>
              <w:rPr>
                <w:rFonts w:hint="eastAsia"/>
                <w:color w:val="auto"/>
                <w:lang w:val="en-US" w:eastAsia="zh-CN"/>
              </w:rPr>
              <w:t>13.09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30205</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水费</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2.81</w:t>
            </w: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rFonts w:hint="default" w:eastAsia="方正书宋_GBK"/>
                <w:color w:val="auto"/>
                <w:lang w:val="en-US" w:eastAsia="zh-CN"/>
              </w:rPr>
            </w:pPr>
            <w:r>
              <w:rPr>
                <w:rFonts w:hint="eastAsia"/>
                <w:color w:val="auto"/>
                <w:lang w:val="en-US" w:eastAsia="zh-CN"/>
              </w:rPr>
              <w:t>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30206</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电费</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9.35</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rFonts w:hint="default" w:eastAsia="方正书宋_GBK"/>
                <w:color w:val="auto"/>
                <w:lang w:val="en-US" w:eastAsia="zh-CN"/>
              </w:rPr>
            </w:pPr>
            <w:r>
              <w:rPr>
                <w:rFonts w:hint="eastAsia"/>
                <w:color w:val="auto"/>
                <w:lang w:val="en-US" w:eastAsia="zh-CN"/>
              </w:rPr>
              <w:t>9.35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30207</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邮电费</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0.36</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rFonts w:hint="default" w:eastAsia="方正书宋_GBK"/>
                <w:color w:val="auto"/>
                <w:lang w:val="en-US" w:eastAsia="zh-CN"/>
              </w:rPr>
            </w:pPr>
            <w:r>
              <w:rPr>
                <w:rFonts w:hint="eastAsia"/>
                <w:color w:val="auto"/>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30208</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取暖费</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17.18</w:t>
            </w: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2" w:type="dxa"/>
            <w:noWrap w:val="0"/>
            <w:vAlign w:val="center"/>
          </w:tcPr>
          <w:p>
            <w:pPr>
              <w:pStyle w:val="16"/>
              <w:rPr>
                <w:rFonts w:hint="default" w:eastAsia="方正书宋_GBK"/>
                <w:color w:val="auto"/>
                <w:lang w:val="en-US" w:eastAsia="zh-CN"/>
              </w:rPr>
            </w:pPr>
            <w:r>
              <w:rPr>
                <w:rFonts w:hint="eastAsia"/>
                <w:color w:val="auto"/>
                <w:lang w:val="en-US" w:eastAsia="zh-CN"/>
              </w:rPr>
              <w:t>17.18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30211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差旅费</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2.81</w:t>
            </w: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20</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30217</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公务接待费</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0.41</w:t>
            </w: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21</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30229</w:t>
            </w: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福利费</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22</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30231</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公务用车运行维护费</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18</w:t>
            </w: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23</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30239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其他交通费用</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24</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30299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其他商品和服务支出</w:t>
            </w:r>
          </w:p>
        </w:tc>
        <w:tc>
          <w:tcPr>
            <w:tcW w:w="0" w:type="auto"/>
            <w:noWrap w:val="0"/>
            <w:vAlign w:val="top"/>
          </w:tcPr>
          <w:p>
            <w:pPr>
              <w:pStyle w:val="16"/>
              <w:rPr>
                <w:rFonts w:hint="default" w:ascii="方正书宋_GBK" w:hAnsi="方正书宋_GBK" w:eastAsia="方正书宋_GBK" w:cs="方正书宋_GBK"/>
                <w:color w:val="auto"/>
                <w:sz w:val="21"/>
                <w:szCs w:val="24"/>
                <w:lang w:val="en-US" w:eastAsia="uk-UA" w:bidi="ar-SA"/>
              </w:rPr>
            </w:pPr>
            <w:r>
              <w:rPr>
                <w:rFonts w:hint="eastAsia"/>
                <w:color w:val="auto"/>
                <w:lang w:val="en-US" w:eastAsia="zh-CN"/>
              </w:rPr>
              <w:t>5</w:t>
            </w: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rFonts w:hint="default" w:eastAsia="方正书宋_GBK"/>
                <w:color w:val="auto"/>
                <w:lang w:val="en-US" w:eastAsia="zh-CN"/>
              </w:rPr>
            </w:pPr>
            <w:r>
              <w:rPr>
                <w:rFonts w:hint="eastAsia"/>
                <w:color w:val="auto"/>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25</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对个人和家庭的补助</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26</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30302</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退休费</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27</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30305</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生活补助</w:t>
            </w:r>
          </w:p>
        </w:tc>
        <w:tc>
          <w:tcPr>
            <w:tcW w:w="0" w:type="auto"/>
            <w:noWrap w:val="0"/>
            <w:vAlign w:val="center"/>
          </w:tcPr>
          <w:p>
            <w:pPr>
              <w:spacing w:line="300" w:lineRule="exact"/>
              <w:jc w:val="right"/>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hint="eastAsia"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28</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30309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奖励金</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29</w:t>
            </w: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30399</w:t>
            </w: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其他对个人和家庭的补助</w:t>
            </w: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jc w:val="left"/>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0" w:type="auto"/>
            <w:noWrap w:val="0"/>
            <w:vAlign w:val="top"/>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0" w:type="auto"/>
            <w:noWrap w:val="0"/>
            <w:vAlign w:val="top"/>
          </w:tcPr>
          <w:p>
            <w:pPr>
              <w:pStyle w:val="16"/>
              <w:rPr>
                <w:color w:val="auto"/>
              </w:rPr>
            </w:pPr>
          </w:p>
        </w:tc>
      </w:tr>
    </w:tbl>
    <w:p>
      <w:pPr>
        <w:jc w:val="center"/>
        <w:outlineLvl w:val="4"/>
        <w:rPr>
          <w:rFonts w:ascii="方正小标宋_GBK" w:hAnsi="方正小标宋_GBK" w:eastAsia="方正小标宋_GBK" w:cs="方正小标宋_GBK"/>
          <w:color w:val="auto"/>
          <w:sz w:val="36"/>
        </w:rPr>
      </w:pPr>
    </w:p>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324006保定市自然资源和规划局满城区分局(自收自支)</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color w:val="auto"/>
              </w:rPr>
            </w:pP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8277.41</w:t>
            </w: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r>
              <w:rPr>
                <w:rFonts w:hint="eastAsia"/>
                <w:color w:val="auto"/>
                <w:lang w:val="en-US" w:eastAsia="zh-CN"/>
              </w:rPr>
              <w:t>8277.41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8277.41</w:t>
            </w: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r>
              <w:rPr>
                <w:rFonts w:hint="eastAsia"/>
                <w:color w:val="auto"/>
                <w:lang w:val="en-US" w:eastAsia="zh-CN"/>
              </w:rPr>
              <w:t>8277.41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8277.41</w:t>
            </w: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r>
              <w:rPr>
                <w:rFonts w:hint="eastAsia"/>
                <w:color w:val="auto"/>
                <w:lang w:val="en-US" w:eastAsia="zh-CN"/>
              </w:rPr>
              <w:t>8277.41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征地和拆迁补偿支出</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4540.52</w:t>
            </w:r>
          </w:p>
        </w:tc>
        <w:tc>
          <w:tcPr>
            <w:tcW w:w="2551" w:type="dxa"/>
            <w:noWrap w:val="0"/>
            <w:vAlign w:val="center"/>
          </w:tcPr>
          <w:p>
            <w:pPr>
              <w:pStyle w:val="16"/>
              <w:rPr>
                <w:color w:val="auto"/>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4540.52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3736.89</w:t>
            </w:r>
          </w:p>
        </w:tc>
        <w:tc>
          <w:tcPr>
            <w:tcW w:w="2551" w:type="dxa"/>
            <w:noWrap w:val="0"/>
            <w:vAlign w:val="center"/>
          </w:tcPr>
          <w:p>
            <w:pPr>
              <w:pStyle w:val="16"/>
              <w:rPr>
                <w:color w:val="auto"/>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3736.89</w:t>
            </w: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324006保定市自然资源和规划局满城区分局(自收自支)</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pStyle w:val="17"/>
              <w:rPr>
                <w:color w:val="auto"/>
              </w:rPr>
            </w:pPr>
          </w:p>
        </w:tc>
        <w:tc>
          <w:tcPr>
            <w:tcW w:w="4535" w:type="dxa"/>
            <w:noWrap w:val="0"/>
            <w:vAlign w:val="center"/>
          </w:tcPr>
          <w:p>
            <w:pPr>
              <w:pStyle w:val="17"/>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eastAsia="方正书宋_GBK"/>
                <w:color w:val="auto"/>
              </w:rPr>
            </w:pPr>
          </w:p>
        </w:tc>
        <w:tc>
          <w:tcPr>
            <w:tcW w:w="2551" w:type="dxa"/>
            <w:noWrap w:val="0"/>
            <w:vAlign w:val="center"/>
          </w:tcPr>
          <w:p>
            <w:pPr>
              <w:pStyle w:val="16"/>
              <w:rPr>
                <w:rFonts w:ascii="方正书宋_GBK" w:eastAsia="方正书宋_GBK"/>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1"/>
        <w:rPr>
          <w:rFonts w:hint="eastAsia" w:hAnsi="宋体"/>
          <w:color w:val="auto"/>
          <w:sz w:val="32"/>
        </w:rPr>
      </w:pPr>
      <w:r>
        <w:rPr>
          <w:rFonts w:hint="eastAsia" w:ascii="方正小标宋_GBK" w:eastAsia="方正小标宋_GBK"/>
          <w:color w:val="auto"/>
          <w:sz w:val="32"/>
          <w:lang w:val="en-US" w:eastAsia="zh-CN"/>
        </w:rPr>
        <w:t>单位</w:t>
      </w:r>
      <w:r>
        <w:rPr>
          <w:rFonts w:hint="cs" w:ascii="方正小标宋_GBK" w:eastAsia="方正小标宋_GBK"/>
          <w:color w:val="auto"/>
          <w:sz w:val="32"/>
          <w:cs/>
        </w:rPr>
        <w:t>“</w:t>
      </w:r>
      <w:r>
        <w:rPr>
          <w:rFonts w:hint="eastAsia" w:ascii="方正小标宋_GBK" w:eastAsia="方正小标宋_GBK"/>
          <w:color w:val="auto"/>
          <w:sz w:val="32"/>
        </w:rPr>
        <w:t>三公</w:t>
      </w:r>
      <w:r>
        <w:rPr>
          <w:rFonts w:hint="cs" w:ascii="方正小标宋_GBK" w:eastAsia="方正小标宋_GBK"/>
          <w:color w:val="auto"/>
          <w:sz w:val="32"/>
          <w:cs/>
        </w:rPr>
        <w:t>”</w:t>
      </w:r>
      <w:r>
        <w:rPr>
          <w:rFonts w:hint="eastAsia" w:ascii="方正小标宋_GBK" w:eastAsia="方正小标宋_GBK"/>
          <w:color w:val="auto"/>
          <w:sz w:val="32"/>
        </w:rPr>
        <w:t>及会议培训经费预算</w:t>
      </w:r>
    </w:p>
    <w:tbl>
      <w:tblPr>
        <w:tblStyle w:val="5"/>
        <w:tblW w:w="143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02"/>
        <w:gridCol w:w="1843"/>
        <w:gridCol w:w="1814"/>
        <w:gridCol w:w="1814"/>
        <w:gridCol w:w="1814"/>
        <w:gridCol w:w="1814"/>
        <w:gridCol w:w="1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873" w:type="dxa"/>
            <w:gridSpan w:val="4"/>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color w:val="auto"/>
                <w:sz w:val="24"/>
              </w:rPr>
            </w:pPr>
            <w:r>
              <w:rPr>
                <w:color w:val="auto"/>
              </w:rPr>
              <w:t>324006保定市自然资源和规划局满城区分局(自收自支)</w:t>
            </w:r>
            <w:r>
              <w:rPr>
                <w:rFonts w:hint="eastAsia" w:ascii="方正小标宋_GBK" w:eastAsia="方正小标宋_GBK"/>
                <w:color w:val="auto"/>
                <w:sz w:val="24"/>
                <w:lang w:val="en-US" w:eastAsia="zh-CN"/>
              </w:rPr>
              <w:t xml:space="preserve">         </w:t>
            </w:r>
            <w:r>
              <w:rPr>
                <w:color w:val="auto"/>
              </w:rPr>
              <w:t>预算年度：202</w:t>
            </w:r>
            <w:r>
              <w:rPr>
                <w:rFonts w:hint="eastAsia"/>
                <w:color w:val="auto"/>
                <w:lang w:val="en-US" w:eastAsia="zh-CN"/>
              </w:rPr>
              <w:t>1</w:t>
            </w:r>
          </w:p>
        </w:tc>
        <w:tc>
          <w:tcPr>
            <w:tcW w:w="5442" w:type="dxa"/>
            <w:gridSpan w:val="3"/>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olor w:val="auto"/>
                <w:sz w:val="24"/>
              </w:rPr>
            </w:pPr>
            <w:r>
              <w:rPr>
                <w:rFonts w:hint="eastAsia" w:ascii="方正书宋_GBK" w:eastAsia="方正书宋_GBK"/>
                <w:color w:val="auto"/>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3402" w:type="dxa"/>
            <w:vMerge w:val="restart"/>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支出内容</w:t>
            </w:r>
          </w:p>
        </w:tc>
        <w:tc>
          <w:tcPr>
            <w:tcW w:w="10913" w:type="dxa"/>
            <w:gridSpan w:val="6"/>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资</w:t>
            </w:r>
            <w:r>
              <w:rPr>
                <w:rFonts w:ascii="方正书宋_GBK" w:eastAsia="方正书宋_GBK"/>
                <w:b/>
                <w:color w:val="auto"/>
              </w:rPr>
              <w:t xml:space="preserve"> </w:t>
            </w:r>
            <w:r>
              <w:rPr>
                <w:rFonts w:hint="eastAsia" w:ascii="方正书宋_GBK" w:eastAsia="方正书宋_GBK"/>
                <w:b/>
                <w:color w:val="auto"/>
              </w:rPr>
              <w:t>金</w:t>
            </w:r>
            <w:r>
              <w:rPr>
                <w:rFonts w:ascii="方正书宋_GBK" w:eastAsia="方正书宋_GBK"/>
                <w:b/>
                <w:color w:val="auto"/>
              </w:rPr>
              <w:t xml:space="preserve"> </w:t>
            </w:r>
            <w:r>
              <w:rPr>
                <w:rFonts w:hint="eastAsia" w:ascii="方正书宋_GBK" w:eastAsia="方正书宋_GBK"/>
                <w:b/>
                <w:color w:val="auto"/>
              </w:rPr>
              <w:t>来</w:t>
            </w:r>
            <w:r>
              <w:rPr>
                <w:rFonts w:ascii="方正书宋_GBK" w:eastAsia="方正书宋_GBK"/>
                <w:b/>
                <w:color w:val="auto"/>
              </w:rPr>
              <w:t xml:space="preserve"> </w:t>
            </w:r>
            <w:r>
              <w:rPr>
                <w:rFonts w:hint="eastAsia" w:ascii="方正书宋_GBK" w:eastAsia="方正书宋_GBK"/>
                <w:b/>
                <w:color w:val="auto"/>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3402" w:type="dxa"/>
            <w:vMerge w:val="continue"/>
            <w:noWrap w:val="0"/>
            <w:vAlign w:val="center"/>
          </w:tcPr>
          <w:p>
            <w:pPr>
              <w:spacing w:line="300" w:lineRule="exact"/>
              <w:jc w:val="left"/>
              <w:outlineLvl w:val="1"/>
              <w:rPr>
                <w:rFonts w:eastAsia="方正仿宋_GBK"/>
                <w:color w:val="auto"/>
                <w:sz w:val="28"/>
              </w:rPr>
            </w:pPr>
          </w:p>
        </w:tc>
        <w:tc>
          <w:tcPr>
            <w:tcW w:w="1843"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合计</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一般公共预算</w:t>
            </w:r>
            <w:r>
              <w:rPr>
                <w:rFonts w:ascii="方正书宋_GBK" w:eastAsia="方正书宋_GBK"/>
                <w:b/>
                <w:color w:val="auto"/>
              </w:rPr>
              <w:t xml:space="preserve">  </w:t>
            </w:r>
            <w:r>
              <w:rPr>
                <w:rFonts w:hint="eastAsia" w:ascii="方正书宋_GBK" w:eastAsia="方正书宋_GBK"/>
                <w:b/>
                <w:color w:val="auto"/>
              </w:rPr>
              <w:t>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基金预算拨款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国有资本经营</w:t>
            </w:r>
            <w:r>
              <w:rPr>
                <w:rFonts w:ascii="方正书宋_GBK" w:eastAsia="方正书宋_GBK"/>
                <w:b/>
                <w:color w:val="auto"/>
              </w:rPr>
              <w:t xml:space="preserve">  </w:t>
            </w:r>
            <w:r>
              <w:rPr>
                <w:rFonts w:hint="eastAsia" w:ascii="方正书宋_GBK" w:eastAsia="方正书宋_GBK"/>
                <w:b/>
                <w:color w:val="auto"/>
              </w:rPr>
              <w:t>预算拨款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财政专户核拨</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合计</w:t>
            </w:r>
          </w:p>
        </w:tc>
        <w:tc>
          <w:tcPr>
            <w:tcW w:w="1843"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center"/>
              <w:rPr>
                <w:rFonts w:hint="eastAsia" w:ascii="方正书宋_GBK" w:eastAsia="方正书宋_GBK"/>
                <w:b/>
                <w:color w:val="auto"/>
              </w:rPr>
            </w:pPr>
            <w:r>
              <w:rPr>
                <w:rFonts w:hint="cs" w:ascii="方正书宋_GBK" w:eastAsia="方正书宋_GBK"/>
                <w:b/>
                <w:color w:val="auto"/>
                <w:cs/>
              </w:rPr>
              <w:t>“</w:t>
            </w:r>
            <w:r>
              <w:rPr>
                <w:rFonts w:hint="eastAsia" w:ascii="方正书宋_GBK" w:eastAsia="方正书宋_GBK"/>
                <w:b/>
                <w:color w:val="auto"/>
              </w:rPr>
              <w:t>三公</w:t>
            </w:r>
            <w:r>
              <w:rPr>
                <w:rFonts w:hint="cs" w:ascii="方正书宋_GBK" w:eastAsia="方正书宋_GBK"/>
                <w:b/>
                <w:color w:val="auto"/>
                <w:cs/>
              </w:rPr>
              <w:t>”</w:t>
            </w:r>
            <w:r>
              <w:rPr>
                <w:rFonts w:hint="eastAsia" w:ascii="方正书宋_GBK" w:eastAsia="方正书宋_GBK"/>
                <w:b/>
                <w:color w:val="auto"/>
              </w:rPr>
              <w:t>经费小计</w:t>
            </w:r>
          </w:p>
        </w:tc>
        <w:tc>
          <w:tcPr>
            <w:tcW w:w="1843" w:type="dxa"/>
            <w:noWrap w:val="0"/>
            <w:vAlign w:val="center"/>
          </w:tcPr>
          <w:p>
            <w:pPr>
              <w:spacing w:line="300" w:lineRule="exact"/>
              <w:jc w:val="right"/>
              <w:rPr>
                <w:rFonts w:hint="default" w:ascii="方正书宋_GBK" w:eastAsia="方正书宋_GBK"/>
                <w:b/>
                <w:color w:val="auto"/>
                <w:lang w:val="en-US" w:eastAsia="zh-CN"/>
              </w:rPr>
            </w:pPr>
            <w:r>
              <w:rPr>
                <w:rFonts w:hint="eastAsia" w:ascii="方正书宋_GBK" w:eastAsia="方正书宋_GBK"/>
                <w:b/>
                <w:color w:val="auto"/>
                <w:lang w:val="en-US" w:eastAsia="zh-CN"/>
              </w:rPr>
              <w:t>18.41</w:t>
            </w:r>
          </w:p>
        </w:tc>
        <w:tc>
          <w:tcPr>
            <w:tcW w:w="1814" w:type="dxa"/>
            <w:noWrap w:val="0"/>
            <w:vAlign w:val="center"/>
          </w:tcPr>
          <w:p>
            <w:pPr>
              <w:spacing w:line="300" w:lineRule="exact"/>
              <w:jc w:val="right"/>
              <w:rPr>
                <w:rFonts w:hint="default" w:ascii="方正书宋_GBK" w:eastAsia="方正书宋_GBK"/>
                <w:b/>
                <w:color w:val="auto"/>
                <w:lang w:val="en-US" w:eastAsia="zh-CN"/>
              </w:rPr>
            </w:pPr>
            <w:r>
              <w:rPr>
                <w:rFonts w:hint="eastAsia" w:ascii="方正书宋_GBK" w:eastAsia="方正书宋_GBK"/>
                <w:b/>
                <w:color w:val="auto"/>
                <w:lang w:val="en-US" w:eastAsia="zh-CN"/>
              </w:rPr>
              <w:t>18.41</w:t>
            </w: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cs" w:ascii="方正书宋_GBK" w:eastAsia="方正书宋_GBK"/>
                <w:color w:val="auto"/>
                <w:cs/>
              </w:rPr>
            </w:pPr>
            <w:r>
              <w:rPr>
                <w:rFonts w:hint="eastAsia" w:ascii="方正书宋_GBK" w:eastAsia="方正书宋_GBK"/>
                <w:color w:val="auto"/>
              </w:rPr>
              <w:t>一、因公出国（境）费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二、公务用车购置及运维费</w:t>
            </w:r>
          </w:p>
        </w:tc>
        <w:tc>
          <w:tcPr>
            <w:tcW w:w="1843"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18</w:t>
            </w:r>
          </w:p>
        </w:tc>
        <w:tc>
          <w:tcPr>
            <w:tcW w:w="1814"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18</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ascii="方正书宋_GBK" w:eastAsia="方正书宋_GBK"/>
                <w:color w:val="auto"/>
              </w:rPr>
              <w:t xml:space="preserve">    </w:t>
            </w:r>
            <w:r>
              <w:rPr>
                <w:rFonts w:hint="eastAsia" w:ascii="方正书宋_GBK" w:eastAsia="方正书宋_GBK"/>
                <w:color w:val="auto"/>
              </w:rPr>
              <w:t>其中：公务用车购置费</w:t>
            </w:r>
          </w:p>
        </w:tc>
        <w:tc>
          <w:tcPr>
            <w:tcW w:w="1843"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hint="eastAsia" w:ascii="方正书宋_GBK" w:eastAsia="方正书宋_GBK"/>
                <w:color w:val="auto"/>
                <w:lang w:val="en-US" w:eastAsia="zh-CN"/>
              </w:rPr>
            </w:pPr>
            <w:r>
              <w:rPr>
                <w:rFonts w:hint="eastAsia" w:ascii="方正书宋_GBK" w:eastAsia="方正书宋_GBK"/>
                <w:color w:val="auto"/>
                <w:lang w:val="en-US" w:eastAsia="zh-CN"/>
              </w:rPr>
              <w:t>0</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ascii="方正书宋_GBK" w:eastAsia="方正书宋_GBK"/>
                <w:color w:val="auto"/>
              </w:rPr>
            </w:pPr>
            <w:r>
              <w:rPr>
                <w:rFonts w:ascii="方正书宋_GBK" w:eastAsia="方正书宋_GBK"/>
                <w:color w:val="auto"/>
              </w:rPr>
              <w:t xml:space="preserve">        </w:t>
            </w:r>
            <w:r>
              <w:rPr>
                <w:rFonts w:hint="eastAsia" w:ascii="方正书宋_GBK" w:eastAsia="方正书宋_GBK"/>
                <w:color w:val="auto"/>
              </w:rPr>
              <w:t>公务用车运行维护费</w:t>
            </w:r>
          </w:p>
        </w:tc>
        <w:tc>
          <w:tcPr>
            <w:tcW w:w="1843"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18</w:t>
            </w:r>
          </w:p>
        </w:tc>
        <w:tc>
          <w:tcPr>
            <w:tcW w:w="1814"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18</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ascii="方正书宋_GBK" w:eastAsia="方正书宋_GBK"/>
                <w:color w:val="auto"/>
              </w:rPr>
            </w:pPr>
            <w:r>
              <w:rPr>
                <w:rFonts w:hint="eastAsia" w:ascii="方正书宋_GBK" w:eastAsia="方正书宋_GBK"/>
                <w:color w:val="auto"/>
              </w:rPr>
              <w:t>三、公务接待费</w:t>
            </w:r>
          </w:p>
        </w:tc>
        <w:tc>
          <w:tcPr>
            <w:tcW w:w="1843"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0.41</w:t>
            </w:r>
          </w:p>
        </w:tc>
        <w:tc>
          <w:tcPr>
            <w:tcW w:w="1814" w:type="dxa"/>
            <w:noWrap w:val="0"/>
            <w:vAlign w:val="center"/>
          </w:tcPr>
          <w:p>
            <w:pPr>
              <w:spacing w:line="300" w:lineRule="exact"/>
              <w:jc w:val="right"/>
              <w:rPr>
                <w:rFonts w:hint="default" w:ascii="方正书宋_GBK" w:eastAsia="方正书宋_GBK"/>
                <w:color w:val="auto"/>
                <w:lang w:val="en-US" w:eastAsia="zh-CN"/>
              </w:rPr>
            </w:pPr>
            <w:r>
              <w:rPr>
                <w:rFonts w:hint="eastAsia" w:ascii="方正书宋_GBK" w:eastAsia="方正书宋_GBK"/>
                <w:color w:val="auto"/>
                <w:lang w:val="en-US" w:eastAsia="zh-CN"/>
              </w:rPr>
              <w:t>0.41</w:t>
            </w: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四、会议费</w:t>
            </w:r>
          </w:p>
        </w:tc>
        <w:tc>
          <w:tcPr>
            <w:tcW w:w="1843"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五、培训费</w:t>
            </w:r>
          </w:p>
        </w:tc>
        <w:tc>
          <w:tcPr>
            <w:tcW w:w="1843"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bl>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rPr>
          <w:color w:val="auto"/>
        </w:rPr>
        <w:sectPr>
          <w:pgSz w:w="16838" w:h="11905" w:orient="landscape"/>
          <w:pgMar w:top="1304" w:right="1984" w:bottom="1304" w:left="1134" w:header="850" w:footer="992" w:gutter="0"/>
          <w:cols w:space="720" w:num="1"/>
          <w:rtlGutter w:val="0"/>
          <w:docGrid w:type="lines" w:linePitch="332" w:charSpace="0"/>
        </w:sectPr>
      </w:pPr>
    </w:p>
    <w:p>
      <w:pPr>
        <w:jc w:val="center"/>
        <w:outlineLvl w:val="4"/>
        <w:rPr>
          <w:color w:val="auto"/>
        </w:rPr>
      </w:pPr>
      <w:r>
        <w:rPr>
          <w:rFonts w:ascii="方正小标宋_GBK" w:hAnsi="方正小标宋_GBK" w:eastAsia="方正小标宋_GBK" w:cs="方正小标宋_GBK"/>
          <w:color w:val="auto"/>
          <w:sz w:val="44"/>
        </w:rPr>
        <w:t>保定市自然资源和规划局满城区分局(自收自支)202</w:t>
      </w:r>
      <w:r>
        <w:rPr>
          <w:rFonts w:hint="eastAsia" w:ascii="方正小标宋_GBK" w:hAnsi="方正小标宋_GBK" w:eastAsia="方正小标宋_GBK" w:cs="方正小标宋_GBK"/>
          <w:color w:val="auto"/>
          <w:sz w:val="44"/>
          <w:lang w:val="en-US" w:eastAsia="zh-CN"/>
        </w:rPr>
        <w:t>1</w:t>
      </w:r>
      <w:r>
        <w:rPr>
          <w:rFonts w:ascii="方正小标宋_GBK" w:hAnsi="方正小标宋_GBK" w:eastAsia="方正小标宋_GBK" w:cs="方正小标宋_GBK"/>
          <w:color w:val="auto"/>
          <w:sz w:val="44"/>
        </w:rPr>
        <w:t>年单位预算信息公开情况说明</w:t>
      </w:r>
    </w:p>
    <w:p>
      <w:pPr>
        <w:spacing w:line="500" w:lineRule="exact"/>
        <w:ind w:firstLine="560"/>
        <w:rPr>
          <w:color w:val="auto"/>
        </w:rPr>
      </w:pPr>
      <w:r>
        <w:rPr>
          <w:rFonts w:eastAsia="方正仿宋_GBK"/>
          <w:color w:val="auto"/>
          <w:sz w:val="28"/>
        </w:rPr>
        <w:t>按照《</w:t>
      </w:r>
      <w:r>
        <w:rPr>
          <w:rFonts w:hint="eastAsia" w:eastAsia="方正仿宋_GBK"/>
          <w:color w:val="auto"/>
          <w:sz w:val="28"/>
          <w:lang w:eastAsia="zh-CN"/>
        </w:rPr>
        <w:t>中华人民共和国预算法</w:t>
      </w:r>
      <w:r>
        <w:rPr>
          <w:rFonts w:eastAsia="方正仿宋_GBK"/>
          <w:color w:val="auto"/>
          <w:sz w:val="28"/>
        </w:rPr>
        <w:t>》、《地方预决算公开操作规程》和《关于进一步推进预算公开工作的实施意见》规定，现将保定市自然资源和规划局满城区分局(自收自支)202</w:t>
      </w:r>
      <w:r>
        <w:rPr>
          <w:rFonts w:hint="eastAsia" w:eastAsia="方正仿宋_GBK"/>
          <w:color w:val="auto"/>
          <w:sz w:val="28"/>
          <w:lang w:val="en-US" w:eastAsia="zh-CN"/>
        </w:rPr>
        <w:t>1</w:t>
      </w:r>
      <w:r>
        <w:rPr>
          <w:rFonts w:eastAsia="方正仿宋_GBK"/>
          <w:color w:val="auto"/>
          <w:sz w:val="28"/>
        </w:rPr>
        <w:t>年单位预算公开如下：</w:t>
      </w:r>
    </w:p>
    <w:p>
      <w:pPr>
        <w:spacing w:before="10" w:after="10"/>
        <w:ind w:firstLine="640"/>
        <w:outlineLvl w:val="5"/>
        <w:rPr>
          <w:color w:val="auto"/>
        </w:rPr>
      </w:pPr>
      <w:r>
        <w:rPr>
          <w:rFonts w:ascii="黑体" w:hAnsi="黑体" w:eastAsia="黑体" w:cs="黑体"/>
          <w:color w:val="auto"/>
          <w:sz w:val="32"/>
        </w:rPr>
        <w:t>一、单位职责及机构设置情况</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rFonts w:ascii="方正楷体_GBK" w:hAnsi="方正楷体_GBK" w:eastAsia="方正楷体_GBK" w:cs="方正楷体_GBK"/>
          <w:b/>
          <w:color w:val="auto"/>
          <w:sz w:val="32"/>
        </w:rPr>
        <w:t>单位职责：</w:t>
      </w:r>
      <w:r>
        <w:rPr>
          <w:color w:val="auto"/>
        </w:rPr>
        <w:t>组织矿产资源的调查评价，编制全</w:t>
      </w:r>
      <w:r>
        <w:rPr>
          <w:rFonts w:hint="eastAsia"/>
          <w:color w:val="auto"/>
          <w:lang w:eastAsia="zh-CN"/>
        </w:rPr>
        <w:t>区</w:t>
      </w:r>
      <w:r>
        <w:rPr>
          <w:color w:val="auto"/>
        </w:rPr>
        <w:t>矿产资源的保护与合理利用规划、地质勘查规划、地质灾害防治和地质遗迹保护规划。监督检查全</w:t>
      </w:r>
      <w:r>
        <w:rPr>
          <w:rFonts w:hint="eastAsia"/>
          <w:color w:val="auto"/>
          <w:lang w:eastAsia="zh-CN"/>
        </w:rPr>
        <w:t>区</w:t>
      </w:r>
      <w:r>
        <w:rPr>
          <w:color w:val="auto"/>
        </w:rPr>
        <w:t>土地资源和矿产资源规划执行情况；依法保护土地、矿产资源所有者和使用者的合法权益，承办并组织调处本县的权属纠纷，查处违法案件；拟订并实施全</w:t>
      </w:r>
      <w:r>
        <w:rPr>
          <w:rFonts w:hint="eastAsia"/>
          <w:color w:val="auto"/>
          <w:lang w:eastAsia="zh-CN"/>
        </w:rPr>
        <w:t>区</w:t>
      </w:r>
      <w:r>
        <w:rPr>
          <w:color w:val="auto"/>
        </w:rPr>
        <w:t>耕地特殊保护和鼓励耕地开发政策；实施农用地用途管制，组织基本农田保护，指导未利用土地开发、土地整理、土地复垦和开发耕地监督工作，确保耕地面积只能增加、不能减少</w:t>
      </w:r>
      <w:r>
        <w:rPr>
          <w:rFonts w:hint="eastAsia"/>
          <w:color w:val="auto"/>
          <w:lang w:eastAsia="zh-CN"/>
        </w:rPr>
        <w:t>。</w:t>
      </w:r>
    </w:p>
    <w:p>
      <w:pPr>
        <w:ind w:firstLine="640"/>
        <w:rPr>
          <w:rFonts w:hint="eastAsia" w:eastAsia="方正楷体_GBK"/>
          <w:color w:val="auto"/>
          <w:lang w:eastAsia="zh-CN"/>
        </w:rPr>
      </w:pPr>
    </w:p>
    <w:p>
      <w:pPr>
        <w:pStyle w:val="30"/>
        <w:rPr>
          <w:color w:val="auto"/>
        </w:rPr>
      </w:pPr>
    </w:p>
    <w:p>
      <w:pPr>
        <w:ind w:firstLine="640"/>
        <w:rPr>
          <w:color w:val="auto"/>
        </w:rPr>
      </w:pPr>
      <w:r>
        <w:rPr>
          <w:rFonts w:ascii="方正楷体_GBK" w:hAnsi="方正楷体_GBK" w:eastAsia="方正楷体_GBK" w:cs="方正楷体_GBK"/>
          <w:b/>
          <w:color w:val="auto"/>
          <w:sz w:val="32"/>
        </w:rPr>
        <w:t>机构设置：</w:t>
      </w:r>
    </w:p>
    <w:p>
      <w:pPr>
        <w:jc w:val="center"/>
        <w:rPr>
          <w:color w:val="auto"/>
        </w:rPr>
      </w:pPr>
      <w:r>
        <w:rPr>
          <w:rFonts w:ascii="方正小标宋_GBK" w:hAnsi="方正小标宋_GBK" w:eastAsia="方正小标宋_GBK" w:cs="方正小标宋_GBK"/>
          <w:color w:val="auto"/>
          <w:sz w:val="32"/>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5"/>
              <w:rPr>
                <w:color w:val="auto"/>
              </w:rPr>
            </w:pPr>
            <w:r>
              <w:rPr>
                <w:color w:val="auto"/>
              </w:rPr>
              <w:t>单位名称</w:t>
            </w:r>
          </w:p>
        </w:tc>
        <w:tc>
          <w:tcPr>
            <w:tcW w:w="1843" w:type="dxa"/>
            <w:noWrap w:val="0"/>
            <w:vAlign w:val="center"/>
          </w:tcPr>
          <w:p>
            <w:pPr>
              <w:pStyle w:val="15"/>
              <w:rPr>
                <w:color w:val="auto"/>
              </w:rPr>
            </w:pPr>
            <w:r>
              <w:rPr>
                <w:color w:val="auto"/>
              </w:rPr>
              <w:t>单位性质</w:t>
            </w:r>
          </w:p>
        </w:tc>
        <w:tc>
          <w:tcPr>
            <w:tcW w:w="2126" w:type="dxa"/>
            <w:noWrap w:val="0"/>
            <w:vAlign w:val="center"/>
          </w:tcPr>
          <w:p>
            <w:pPr>
              <w:pStyle w:val="15"/>
              <w:rPr>
                <w:color w:val="auto"/>
              </w:rPr>
            </w:pPr>
            <w:r>
              <w:rPr>
                <w:color w:val="auto"/>
              </w:rPr>
              <w:t>单位规格</w:t>
            </w:r>
          </w:p>
        </w:tc>
        <w:tc>
          <w:tcPr>
            <w:tcW w:w="3827" w:type="dxa"/>
            <w:noWrap w:val="0"/>
            <w:vAlign w:val="center"/>
          </w:tcPr>
          <w:p>
            <w:pPr>
              <w:pStyle w:val="15"/>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7"/>
              <w:rPr>
                <w:color w:val="auto"/>
              </w:rPr>
            </w:pPr>
            <w:r>
              <w:rPr>
                <w:color w:val="auto"/>
              </w:rPr>
              <w:t>保定市自然资源和规划局满城区分局(自收自支)</w:t>
            </w:r>
          </w:p>
        </w:tc>
        <w:tc>
          <w:tcPr>
            <w:tcW w:w="1843" w:type="dxa"/>
            <w:noWrap w:val="0"/>
            <w:vAlign w:val="center"/>
          </w:tcPr>
          <w:p>
            <w:pPr>
              <w:pStyle w:val="18"/>
              <w:rPr>
                <w:color w:val="auto"/>
              </w:rPr>
            </w:pPr>
            <w:r>
              <w:rPr>
                <w:color w:val="auto"/>
              </w:rPr>
              <w:t>事业</w:t>
            </w:r>
          </w:p>
        </w:tc>
        <w:tc>
          <w:tcPr>
            <w:tcW w:w="2126" w:type="dxa"/>
            <w:noWrap w:val="0"/>
            <w:vAlign w:val="center"/>
          </w:tcPr>
          <w:p>
            <w:pPr>
              <w:pStyle w:val="18"/>
              <w:rPr>
                <w:color w:val="auto"/>
              </w:rPr>
            </w:pPr>
            <w:r>
              <w:rPr>
                <w:color w:val="auto"/>
              </w:rPr>
              <w:t>未定行政级别</w:t>
            </w:r>
          </w:p>
        </w:tc>
        <w:tc>
          <w:tcPr>
            <w:tcW w:w="3827" w:type="dxa"/>
            <w:noWrap w:val="0"/>
            <w:vAlign w:val="center"/>
          </w:tcPr>
          <w:p>
            <w:pPr>
              <w:pStyle w:val="18"/>
              <w:rPr>
                <w:color w:val="auto"/>
              </w:rPr>
            </w:pPr>
            <w:r>
              <w:rPr>
                <w:color w:val="auto"/>
              </w:rPr>
              <w:t>财政性资金基本保证</w:t>
            </w:r>
          </w:p>
        </w:tc>
      </w:tr>
    </w:tbl>
    <w:p>
      <w:pPr>
        <w:spacing w:before="10" w:after="10"/>
        <w:ind w:firstLine="640"/>
        <w:outlineLvl w:val="5"/>
        <w:rPr>
          <w:color w:val="auto"/>
        </w:rPr>
      </w:pPr>
      <w:r>
        <w:rPr>
          <w:rFonts w:ascii="黑体" w:hAnsi="黑体" w:eastAsia="黑体" w:cs="黑体"/>
          <w:color w:val="auto"/>
          <w:sz w:val="32"/>
        </w:rPr>
        <w:t>二、单位预算安排的总体情况</w:t>
      </w:r>
    </w:p>
    <w:p>
      <w:pPr>
        <w:spacing w:line="500" w:lineRule="exact"/>
        <w:ind w:firstLine="560"/>
        <w:rPr>
          <w:color w:val="auto"/>
        </w:rPr>
      </w:pPr>
      <w:r>
        <w:rPr>
          <w:rFonts w:eastAsia="方正仿宋_GBK"/>
          <w:color w:val="auto"/>
          <w:sz w:val="28"/>
        </w:rPr>
        <w:t>按照预算管理有关规定，目前我单位预算的编制实行综合预算管理，即全部收入和支出都反映在预算中。</w:t>
      </w:r>
    </w:p>
    <w:p>
      <w:pPr>
        <w:pStyle w:val="2"/>
        <w:spacing w:before="6"/>
        <w:ind w:firstLine="640" w:firstLineChars="200"/>
        <w:rPr>
          <w:color w:val="auto"/>
        </w:rPr>
      </w:pPr>
      <w:r>
        <w:rPr>
          <w:color w:val="auto"/>
        </w:rPr>
        <w:t>1、收入说明</w:t>
      </w:r>
    </w:p>
    <w:p>
      <w:pPr>
        <w:pStyle w:val="2"/>
        <w:spacing w:before="149"/>
        <w:ind w:firstLine="608" w:firstLineChars="200"/>
        <w:rPr>
          <w:color w:val="auto"/>
        </w:rPr>
      </w:pPr>
      <w:r>
        <w:rPr>
          <w:color w:val="auto"/>
          <w:w w:val="95"/>
        </w:rPr>
        <w:t>反映本</w:t>
      </w:r>
      <w:r>
        <w:rPr>
          <w:rFonts w:hint="eastAsia"/>
          <w:color w:val="auto"/>
          <w:w w:val="95"/>
          <w:lang w:eastAsia="zh-CN"/>
        </w:rPr>
        <w:t>单位</w:t>
      </w:r>
      <w:r>
        <w:rPr>
          <w:color w:val="auto"/>
          <w:w w:val="95"/>
        </w:rPr>
        <w:t>当年全部收入。202</w:t>
      </w:r>
      <w:r>
        <w:rPr>
          <w:rFonts w:hint="eastAsia"/>
          <w:color w:val="auto"/>
          <w:w w:val="95"/>
          <w:lang w:val="en-US" w:eastAsia="zh-CN"/>
        </w:rPr>
        <w:t>1</w:t>
      </w:r>
      <w:r>
        <w:rPr>
          <w:color w:val="auto"/>
          <w:spacing w:val="10"/>
          <w:w w:val="95"/>
        </w:rPr>
        <w:t>年预算收入</w:t>
      </w:r>
      <w:r>
        <w:rPr>
          <w:rFonts w:ascii="方正书宋_GBK" w:eastAsia="方正书宋_GBK"/>
          <w:b/>
          <w:color w:val="auto"/>
        </w:rPr>
        <w:t>20936.57</w:t>
      </w:r>
      <w:r>
        <w:rPr>
          <w:color w:val="auto"/>
          <w:spacing w:val="2"/>
          <w:w w:val="95"/>
        </w:rPr>
        <w:t>万元，</w:t>
      </w:r>
      <w:r>
        <w:rPr>
          <w:rFonts w:hint="eastAsia"/>
          <w:color w:val="auto"/>
          <w:spacing w:val="2"/>
          <w:w w:val="95"/>
          <w:lang w:eastAsia="zh-CN"/>
        </w:rPr>
        <w:t>其中：</w:t>
      </w:r>
      <w:r>
        <w:rPr>
          <w:color w:val="auto"/>
          <w:spacing w:val="2"/>
          <w:w w:val="95"/>
        </w:rPr>
        <w:t>一般公共预算收入</w:t>
      </w:r>
      <w:r>
        <w:rPr>
          <w:rFonts w:ascii="方正书宋_GBK" w:eastAsia="方正书宋_GBK"/>
          <w:color w:val="auto"/>
        </w:rPr>
        <w:t>12659.16</w:t>
      </w:r>
      <w:r>
        <w:rPr>
          <w:rFonts w:hint="eastAsia"/>
          <w:color w:val="auto"/>
          <w:spacing w:val="2"/>
          <w:w w:val="95"/>
          <w:lang w:val="en-US" w:eastAsia="zh-CN"/>
        </w:rPr>
        <w:t>万元，</w:t>
      </w:r>
      <w:r>
        <w:rPr>
          <w:color w:val="auto"/>
        </w:rPr>
        <w:t>政府性基金预算拨款收入</w:t>
      </w:r>
      <w:r>
        <w:rPr>
          <w:rFonts w:ascii="方正书宋_GBK" w:eastAsia="方正书宋_GBK"/>
          <w:color w:val="auto"/>
        </w:rPr>
        <w:t>8277.41</w:t>
      </w:r>
      <w:r>
        <w:rPr>
          <w:rFonts w:hint="eastAsia"/>
          <w:color w:val="auto"/>
          <w:lang w:val="en-US" w:eastAsia="zh-CN"/>
        </w:rPr>
        <w:t>万元</w:t>
      </w:r>
      <w:r>
        <w:rPr>
          <w:rFonts w:hint="eastAsia"/>
          <w:color w:val="auto"/>
          <w:spacing w:val="2"/>
          <w:w w:val="95"/>
          <w:lang w:eastAsia="zh-CN"/>
        </w:rPr>
        <w:t>。</w:t>
      </w:r>
    </w:p>
    <w:p>
      <w:pPr>
        <w:pStyle w:val="2"/>
        <w:spacing w:before="149"/>
        <w:ind w:firstLine="640" w:firstLineChars="200"/>
        <w:rPr>
          <w:color w:val="auto"/>
        </w:rPr>
      </w:pPr>
      <w:r>
        <w:rPr>
          <w:color w:val="auto"/>
        </w:rPr>
        <w:t>2、支出说明</w:t>
      </w:r>
    </w:p>
    <w:p>
      <w:pPr>
        <w:pStyle w:val="2"/>
        <w:spacing w:before="3" w:line="328" w:lineRule="auto"/>
        <w:ind w:right="739" w:firstLine="640" w:firstLineChars="200"/>
        <w:jc w:val="both"/>
        <w:rPr>
          <w:color w:val="auto"/>
        </w:rPr>
      </w:pPr>
      <w:r>
        <w:rPr>
          <w:color w:val="auto"/>
        </w:rPr>
        <w:t>收支预算总表支出栏、基本支出表、项目支出表按经济分类和支出功能分类科目编制，反映保定市</w:t>
      </w:r>
      <w:r>
        <w:rPr>
          <w:rFonts w:hint="eastAsia"/>
          <w:color w:val="auto"/>
        </w:rPr>
        <w:t>自然资源和规划局满城区分局</w:t>
      </w:r>
      <w:r>
        <w:rPr>
          <w:color w:val="auto"/>
          <w:w w:val="95"/>
        </w:rPr>
        <w:t>年度</w:t>
      </w:r>
      <w:r>
        <w:rPr>
          <w:rFonts w:hint="eastAsia"/>
          <w:color w:val="auto"/>
          <w:w w:val="95"/>
          <w:lang w:eastAsia="zh-CN"/>
        </w:rPr>
        <w:t>单位</w:t>
      </w:r>
      <w:r>
        <w:rPr>
          <w:color w:val="auto"/>
          <w:w w:val="95"/>
        </w:rPr>
        <w:t>预算中支出预算的总体情况。202</w:t>
      </w:r>
      <w:r>
        <w:rPr>
          <w:rFonts w:hint="eastAsia"/>
          <w:color w:val="auto"/>
          <w:w w:val="95"/>
          <w:lang w:val="en-US" w:eastAsia="zh-CN"/>
        </w:rPr>
        <w:t>1</w:t>
      </w:r>
      <w:r>
        <w:rPr>
          <w:color w:val="auto"/>
          <w:spacing w:val="40"/>
          <w:w w:val="95"/>
        </w:rPr>
        <w:t>年支出预算</w:t>
      </w:r>
      <w:r>
        <w:rPr>
          <w:rFonts w:ascii="方正书宋_GBK" w:eastAsia="方正书宋_GBK"/>
          <w:b/>
          <w:color w:val="auto"/>
        </w:rPr>
        <w:t>20936.57</w:t>
      </w:r>
      <w:r>
        <w:rPr>
          <w:color w:val="auto"/>
          <w:spacing w:val="14"/>
          <w:w w:val="95"/>
        </w:rPr>
        <w:t>万元，</w:t>
      </w:r>
      <w:r>
        <w:rPr>
          <w:rFonts w:hint="eastAsia"/>
          <w:color w:val="auto"/>
          <w:spacing w:val="14"/>
          <w:w w:val="95"/>
          <w:lang w:eastAsia="zh-CN"/>
        </w:rPr>
        <w:t>其中：</w:t>
      </w:r>
      <w:r>
        <w:rPr>
          <w:color w:val="auto"/>
          <w:spacing w:val="14"/>
          <w:w w:val="95"/>
        </w:rPr>
        <w:t>基本支</w:t>
      </w:r>
      <w:r>
        <w:rPr>
          <w:color w:val="auto"/>
          <w:spacing w:val="1"/>
          <w:w w:val="95"/>
        </w:rPr>
        <w:t>出</w:t>
      </w:r>
      <w:r>
        <w:rPr>
          <w:rFonts w:ascii="方正书宋_GBK" w:eastAsia="方正书宋_GBK"/>
          <w:color w:val="auto"/>
        </w:rPr>
        <w:t>69.01</w:t>
      </w:r>
      <w:r>
        <w:rPr>
          <w:rFonts w:hint="eastAsia"/>
          <w:color w:val="auto"/>
          <w:spacing w:val="1"/>
          <w:w w:val="95"/>
          <w:lang w:val="en-US" w:eastAsia="zh-CN"/>
        </w:rPr>
        <w:t>万元，包括人员经费预算支出为0万元和日常公用经费预算为69.01元；项目支出</w:t>
      </w:r>
      <w:r>
        <w:rPr>
          <w:rFonts w:ascii="方正书宋_GBK" w:eastAsia="方正书宋_GBK"/>
          <w:color w:val="auto"/>
        </w:rPr>
        <w:t>20867.56</w:t>
      </w:r>
      <w:r>
        <w:rPr>
          <w:rFonts w:hint="eastAsia"/>
          <w:color w:val="auto"/>
          <w:spacing w:val="1"/>
          <w:w w:val="95"/>
          <w:lang w:val="en-US" w:eastAsia="zh-CN"/>
        </w:rPr>
        <w:t>万元，包括一般公共预算项目支出为12590.15万元和政府基金预算项目支出为8277.41万元</w:t>
      </w:r>
      <w:r>
        <w:rPr>
          <w:rFonts w:hint="eastAsia"/>
          <w:color w:val="auto"/>
          <w:w w:val="95"/>
        </w:rPr>
        <w:t>。</w:t>
      </w:r>
    </w:p>
    <w:p>
      <w:pPr>
        <w:pStyle w:val="2"/>
        <w:spacing w:line="405" w:lineRule="exact"/>
        <w:ind w:firstLine="640" w:firstLineChars="200"/>
        <w:rPr>
          <w:color w:val="auto"/>
        </w:rPr>
      </w:pPr>
      <w:r>
        <w:rPr>
          <w:color w:val="auto"/>
        </w:rPr>
        <w:t>3、比上年增减情况</w:t>
      </w:r>
    </w:p>
    <w:p>
      <w:pPr>
        <w:pStyle w:val="31"/>
        <w:rPr>
          <w:color w:val="auto"/>
        </w:rPr>
      </w:pPr>
      <w:r>
        <w:rPr>
          <w:rFonts w:ascii="Times New Roman" w:hAnsi="Times New Roman" w:eastAsia="方正仿宋_GBK" w:cs="Times New Roman"/>
          <w:color w:val="auto"/>
          <w:sz w:val="28"/>
          <w:szCs w:val="24"/>
          <w:lang w:val="en-US" w:eastAsia="uk-UA" w:bidi="ar-SA"/>
        </w:rPr>
        <w:t>202</w:t>
      </w:r>
      <w:r>
        <w:rPr>
          <w:rFonts w:hint="eastAsia" w:cs="Times New Roman"/>
          <w:color w:val="auto"/>
          <w:sz w:val="28"/>
          <w:szCs w:val="24"/>
          <w:lang w:val="en-US" w:eastAsia="zh-CN" w:bidi="ar-SA"/>
        </w:rPr>
        <w:t>1</w:t>
      </w:r>
      <w:r>
        <w:rPr>
          <w:rFonts w:ascii="Times New Roman" w:hAnsi="Times New Roman" w:eastAsia="方正仿宋_GBK" w:cs="Times New Roman"/>
          <w:color w:val="auto"/>
          <w:sz w:val="28"/>
          <w:szCs w:val="24"/>
          <w:lang w:val="en-US" w:eastAsia="uk-UA" w:bidi="ar-SA"/>
        </w:rPr>
        <w:t xml:space="preserve"> 年预算收支安排 </w:t>
      </w:r>
      <w:r>
        <w:rPr>
          <w:rFonts w:ascii="方正书宋_GBK" w:eastAsia="方正书宋_GBK"/>
          <w:b/>
          <w:color w:val="auto"/>
        </w:rPr>
        <w:t>20936.57</w:t>
      </w:r>
      <w:r>
        <w:rPr>
          <w:rFonts w:ascii="Times New Roman" w:hAnsi="Times New Roman" w:eastAsia="方正仿宋_GBK" w:cs="Times New Roman"/>
          <w:color w:val="auto"/>
          <w:sz w:val="28"/>
          <w:szCs w:val="24"/>
          <w:lang w:val="en-US" w:eastAsia="uk-UA" w:bidi="ar-SA"/>
        </w:rPr>
        <w:t>万元，</w:t>
      </w:r>
      <w:r>
        <w:rPr>
          <w:rFonts w:hint="eastAsia" w:ascii="Times New Roman" w:hAnsi="Times New Roman" w:eastAsia="方正仿宋_GBK" w:cs="Times New Roman"/>
          <w:color w:val="auto"/>
          <w:sz w:val="28"/>
          <w:szCs w:val="24"/>
          <w:lang w:val="en-US" w:eastAsia="zh-CN" w:bidi="ar-SA"/>
        </w:rPr>
        <w:t>全部为新增</w:t>
      </w:r>
      <w:r>
        <w:rPr>
          <w:rFonts w:hint="eastAsia" w:cs="Times New Roman"/>
          <w:color w:val="auto"/>
          <w:sz w:val="28"/>
          <w:szCs w:val="24"/>
          <w:lang w:val="en-US" w:eastAsia="zh-CN" w:bidi="ar-SA"/>
        </w:rPr>
        <w:t>。</w:t>
      </w:r>
    </w:p>
    <w:p>
      <w:pPr>
        <w:pStyle w:val="2"/>
        <w:spacing w:before="162"/>
        <w:ind w:firstLine="534" w:firstLineChars="200"/>
        <w:rPr>
          <w:b/>
          <w:color w:val="auto"/>
          <w:sz w:val="28"/>
          <w:szCs w:val="28"/>
        </w:rPr>
      </w:pPr>
      <w:r>
        <w:rPr>
          <w:b/>
          <w:color w:val="auto"/>
          <w:w w:val="95"/>
          <w:sz w:val="28"/>
          <w:szCs w:val="28"/>
        </w:rPr>
        <w:t>三、机关运行经费安排情况</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560" w:firstLineChars="200"/>
        <w:jc w:val="both"/>
        <w:textAlignment w:val="auto"/>
        <w:rPr>
          <w:rFonts w:ascii="Times New Roman" w:hAnsi="Times New Roman" w:eastAsia="方正仿宋_GBK" w:cs="Times New Roman"/>
          <w:color w:val="auto"/>
          <w:sz w:val="28"/>
          <w:szCs w:val="24"/>
          <w:lang w:val="en-US" w:eastAsia="uk-UA" w:bidi="ar-SA"/>
        </w:rPr>
      </w:pPr>
      <w:r>
        <w:rPr>
          <w:rFonts w:ascii="Times New Roman" w:hAnsi="Times New Roman" w:eastAsia="方正仿宋_GBK" w:cs="Times New Roman"/>
          <w:color w:val="auto"/>
          <w:sz w:val="28"/>
          <w:szCs w:val="24"/>
          <w:lang w:val="en-US" w:eastAsia="uk-UA" w:bidi="ar-SA"/>
        </w:rPr>
        <w:t>202</w:t>
      </w:r>
      <w:r>
        <w:rPr>
          <w:rFonts w:hint="eastAsia" w:ascii="Times New Roman" w:hAnsi="Times New Roman" w:eastAsia="方正仿宋_GBK" w:cs="Times New Roman"/>
          <w:color w:val="auto"/>
          <w:sz w:val="28"/>
          <w:szCs w:val="24"/>
          <w:lang w:val="en-US" w:eastAsia="zh-CN" w:bidi="ar-SA"/>
        </w:rPr>
        <w:t>1</w:t>
      </w:r>
      <w:r>
        <w:rPr>
          <w:rFonts w:ascii="Times New Roman" w:hAnsi="Times New Roman" w:eastAsia="方正仿宋_GBK" w:cs="Times New Roman"/>
          <w:color w:val="auto"/>
          <w:sz w:val="28"/>
          <w:szCs w:val="24"/>
          <w:lang w:val="en-US" w:eastAsia="uk-UA" w:bidi="ar-SA"/>
        </w:rPr>
        <w:t>年，我</w:t>
      </w:r>
      <w:r>
        <w:rPr>
          <w:rFonts w:hint="eastAsia" w:ascii="Times New Roman" w:hAnsi="Times New Roman" w:eastAsia="方正仿宋_GBK" w:cs="Times New Roman"/>
          <w:color w:val="auto"/>
          <w:sz w:val="28"/>
          <w:szCs w:val="24"/>
          <w:lang w:val="en-US" w:eastAsia="zh-CN" w:bidi="ar-SA"/>
        </w:rPr>
        <w:t>单位</w:t>
      </w:r>
      <w:r>
        <w:rPr>
          <w:rFonts w:ascii="Times New Roman" w:hAnsi="Times New Roman" w:eastAsia="方正仿宋_GBK" w:cs="Times New Roman"/>
          <w:color w:val="auto"/>
          <w:sz w:val="28"/>
          <w:szCs w:val="24"/>
          <w:lang w:val="en-US" w:eastAsia="uk-UA" w:bidi="ar-SA"/>
        </w:rPr>
        <w:t>运行经费共计安排</w:t>
      </w:r>
      <w:r>
        <w:rPr>
          <w:rFonts w:hint="eastAsia" w:eastAsia="方正仿宋_GBK"/>
          <w:color w:val="auto"/>
          <w:lang w:val="en-US" w:eastAsia="zh-CN"/>
        </w:rPr>
        <w:t>69.01</w:t>
      </w:r>
      <w:r>
        <w:rPr>
          <w:rFonts w:ascii="Times New Roman" w:hAnsi="Times New Roman" w:eastAsia="方正仿宋_GBK" w:cs="Times New Roman"/>
          <w:color w:val="auto"/>
          <w:sz w:val="28"/>
          <w:szCs w:val="24"/>
          <w:lang w:val="en-US" w:eastAsia="uk-UA" w:bidi="ar-SA"/>
        </w:rPr>
        <w:t>万元，主要用于日常运行支出。</w:t>
      </w:r>
    </w:p>
    <w:p>
      <w:pPr>
        <w:pStyle w:val="2"/>
        <w:spacing w:before="58"/>
        <w:ind w:firstLine="534" w:firstLineChars="200"/>
        <w:rPr>
          <w:b/>
          <w:color w:val="auto"/>
          <w:sz w:val="28"/>
          <w:szCs w:val="28"/>
        </w:rPr>
      </w:pPr>
      <w:r>
        <w:rPr>
          <w:b/>
          <w:color w:val="auto"/>
          <w:w w:val="95"/>
          <w:sz w:val="28"/>
          <w:szCs w:val="28"/>
        </w:rPr>
        <w:t>四、财政拨款“三公”经费预算情况及增减变化原因</w:t>
      </w:r>
    </w:p>
    <w:p>
      <w:pPr>
        <w:spacing w:before="10" w:after="10"/>
        <w:ind w:firstLine="640"/>
        <w:outlineLvl w:val="5"/>
        <w:rPr>
          <w:rFonts w:ascii="Times New Roman" w:hAnsi="Times New Roman" w:eastAsia="方正仿宋_GBK" w:cs="Times New Roman"/>
          <w:color w:val="auto"/>
          <w:sz w:val="28"/>
          <w:szCs w:val="24"/>
          <w:lang w:val="en-US" w:eastAsia="uk-UA" w:bidi="ar-SA"/>
        </w:rPr>
      </w:pP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560" w:firstLineChars="200"/>
        <w:jc w:val="both"/>
        <w:textAlignment w:val="auto"/>
        <w:rPr>
          <w:rFonts w:ascii="Times New Roman" w:hAnsi="Times New Roman" w:eastAsia="方正仿宋_GBK" w:cs="Times New Roman"/>
          <w:color w:val="auto"/>
          <w:sz w:val="28"/>
          <w:szCs w:val="24"/>
          <w:lang w:val="en-US" w:eastAsia="uk-UA" w:bidi="ar-SA"/>
        </w:rPr>
      </w:pPr>
      <w:r>
        <w:rPr>
          <w:rFonts w:ascii="Times New Roman" w:hAnsi="Times New Roman" w:eastAsia="方正仿宋_GBK" w:cs="Times New Roman"/>
          <w:color w:val="auto"/>
          <w:sz w:val="28"/>
          <w:szCs w:val="24"/>
          <w:lang w:val="en-US" w:eastAsia="uk-UA" w:bidi="ar-SA"/>
        </w:rPr>
        <w:t>202</w:t>
      </w:r>
      <w:r>
        <w:rPr>
          <w:rFonts w:hint="eastAsia" w:ascii="Times New Roman" w:hAnsi="Times New Roman" w:eastAsia="方正仿宋_GBK" w:cs="Times New Roman"/>
          <w:color w:val="auto"/>
          <w:sz w:val="28"/>
          <w:szCs w:val="24"/>
          <w:lang w:val="en-US" w:eastAsia="zh-CN" w:bidi="ar-SA"/>
        </w:rPr>
        <w:t>1</w:t>
      </w:r>
      <w:r>
        <w:rPr>
          <w:rFonts w:ascii="Times New Roman" w:hAnsi="Times New Roman" w:eastAsia="方正仿宋_GBK" w:cs="Times New Roman"/>
          <w:color w:val="auto"/>
          <w:sz w:val="28"/>
          <w:szCs w:val="24"/>
          <w:lang w:val="en-US" w:eastAsia="uk-UA" w:bidi="ar-SA"/>
        </w:rPr>
        <w:t xml:space="preserve"> 年</w:t>
      </w:r>
      <w:r>
        <w:rPr>
          <w:rFonts w:hint="eastAsia" w:ascii="Times New Roman" w:hAnsi="Times New Roman" w:eastAsia="方正仿宋_GBK" w:cs="Times New Roman"/>
          <w:color w:val="auto"/>
          <w:sz w:val="28"/>
          <w:szCs w:val="24"/>
          <w:lang w:val="en-US" w:eastAsia="zh-CN" w:bidi="ar-SA"/>
        </w:rPr>
        <w:t>，</w:t>
      </w:r>
      <w:r>
        <w:rPr>
          <w:rFonts w:ascii="Times New Roman" w:hAnsi="Times New Roman" w:eastAsia="方正仿宋_GBK" w:cs="Times New Roman"/>
          <w:color w:val="auto"/>
          <w:sz w:val="28"/>
          <w:szCs w:val="24"/>
          <w:lang w:val="en-US" w:eastAsia="uk-UA" w:bidi="ar-SA"/>
        </w:rPr>
        <w:t>我</w:t>
      </w:r>
      <w:r>
        <w:rPr>
          <w:rFonts w:hint="eastAsia" w:ascii="Times New Roman" w:hAnsi="Times New Roman" w:eastAsia="方正仿宋_GBK" w:cs="Times New Roman"/>
          <w:color w:val="auto"/>
          <w:sz w:val="28"/>
          <w:szCs w:val="24"/>
          <w:lang w:val="en-US" w:eastAsia="zh-CN" w:bidi="ar-SA"/>
        </w:rPr>
        <w:t>单位</w:t>
      </w:r>
      <w:r>
        <w:rPr>
          <w:rFonts w:ascii="Times New Roman" w:hAnsi="Times New Roman" w:eastAsia="方正仿宋_GBK" w:cs="Times New Roman"/>
          <w:color w:val="auto"/>
          <w:sz w:val="28"/>
          <w:szCs w:val="24"/>
          <w:lang w:val="en-US" w:eastAsia="uk-UA" w:bidi="ar-SA"/>
        </w:rPr>
        <w:t>财政拨款“三公”经费预算安排</w:t>
      </w:r>
      <w:r>
        <w:rPr>
          <w:rFonts w:hint="eastAsia" w:ascii="Times New Roman" w:hAnsi="Times New Roman" w:eastAsia="方正仿宋_GBK" w:cs="Times New Roman"/>
          <w:color w:val="auto"/>
          <w:sz w:val="28"/>
          <w:szCs w:val="24"/>
          <w:lang w:val="en-US" w:eastAsia="zh-CN" w:bidi="ar-SA"/>
        </w:rPr>
        <w:t>18.41</w:t>
      </w:r>
      <w:r>
        <w:rPr>
          <w:rFonts w:ascii="Times New Roman" w:hAnsi="Times New Roman" w:eastAsia="方正仿宋_GBK" w:cs="Times New Roman"/>
          <w:color w:val="auto"/>
          <w:sz w:val="28"/>
          <w:szCs w:val="24"/>
          <w:lang w:val="en-US" w:eastAsia="uk-UA" w:bidi="ar-SA"/>
        </w:rPr>
        <w:t>万元，</w:t>
      </w:r>
      <w:r>
        <w:rPr>
          <w:rFonts w:hint="eastAsia" w:ascii="Times New Roman" w:hAnsi="Times New Roman" w:eastAsia="方正仿宋_GBK" w:cs="Times New Roman"/>
          <w:color w:val="auto"/>
          <w:sz w:val="28"/>
          <w:szCs w:val="24"/>
          <w:lang w:val="en-US" w:eastAsia="zh-CN" w:bidi="ar-SA"/>
        </w:rPr>
        <w:t>其中因公出国（境）费0万元；公务用车购置及运行维护费18万元（其中：公务用车购置费0万元，公务用车运行维护费18万元）；公务接待费0.41万元。与2020年相比减少了12.13万元，减少的主要原因：因为组织机构改革，车辆减少，所以经费减少，公务接待费按比例计提。</w:t>
      </w:r>
    </w:p>
    <w:p>
      <w:pPr>
        <w:ind w:firstLine="640"/>
        <w:rPr>
          <w:color w:val="auto"/>
          <w:sz w:val="28"/>
          <w:szCs w:val="28"/>
        </w:rPr>
      </w:pPr>
      <w:r>
        <w:rPr>
          <w:rFonts w:ascii="黑体" w:hAnsi="黑体" w:eastAsia="黑体" w:cs="黑体"/>
          <w:color w:val="auto"/>
          <w:sz w:val="32"/>
        </w:rPr>
        <w:t>五、预算绩效信息</w:t>
      </w:r>
      <w:r>
        <w:rPr>
          <w:rFonts w:ascii="方正楷体_GBK" w:hAnsi="方正楷体_GBK" w:eastAsia="方正楷体_GBK" w:cs="方正楷体_GBK"/>
          <w:b/>
          <w:color w:val="auto"/>
          <w:sz w:val="28"/>
          <w:szCs w:val="28"/>
        </w:rPr>
        <w:t>第一部分</w:t>
      </w:r>
      <w:r>
        <w:rPr>
          <w:rFonts w:hint="eastAsia" w:ascii="方正楷体_GBK" w:hAnsi="方正楷体_GBK" w:eastAsia="方正楷体_GBK" w:cs="方正楷体_GBK"/>
          <w:b/>
          <w:color w:val="auto"/>
          <w:sz w:val="28"/>
          <w:szCs w:val="28"/>
          <w:lang w:eastAsia="zh-CN"/>
        </w:rPr>
        <w:t>单位</w:t>
      </w:r>
      <w:r>
        <w:rPr>
          <w:rFonts w:ascii="方正楷体_GBK" w:hAnsi="方正楷体_GBK" w:eastAsia="方正楷体_GBK" w:cs="方正楷体_GBK"/>
          <w:b/>
          <w:color w:val="auto"/>
          <w:sz w:val="28"/>
          <w:szCs w:val="28"/>
        </w:rPr>
        <w:t>整体绩效目标</w:t>
      </w:r>
    </w:p>
    <w:p>
      <w:pPr>
        <w:spacing w:line="500" w:lineRule="exact"/>
        <w:ind w:firstLine="560"/>
        <w:rPr>
          <w:color w:val="auto"/>
        </w:rPr>
      </w:pPr>
      <w:r>
        <w:rPr>
          <w:rFonts w:eastAsia="方正仿宋_GBK"/>
          <w:color w:val="auto"/>
          <w:sz w:val="28"/>
        </w:rPr>
        <w:t>（一）总体绩效目标</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202</w:t>
      </w:r>
      <w:r>
        <w:rPr>
          <w:rFonts w:hint="eastAsia"/>
          <w:color w:val="auto"/>
          <w:lang w:val="en-US" w:eastAsia="zh-CN"/>
        </w:rPr>
        <w:t>1</w:t>
      </w:r>
      <w:r>
        <w:rPr>
          <w:color w:val="auto"/>
        </w:rPr>
        <w:t>年是落实</w:t>
      </w:r>
      <w:r>
        <w:rPr>
          <w:rFonts w:hint="eastAsia"/>
          <w:color w:val="auto"/>
          <w:lang w:eastAsia="zh-CN"/>
        </w:rPr>
        <w:t>党的</w:t>
      </w:r>
      <w:r>
        <w:rPr>
          <w:color w:val="auto"/>
        </w:rPr>
        <w:t>十九大精神的重要一年，也是京津冀协同发展全面推进的关键之年，也是打造保定西花园、建设京南保西魅力新区的夯基固本之年。我们要围绕区委区政府中心工作和省厅的部署要求，牢固树立和贯彻落实新发展理念，适应把握引领经济发展新常态，坚持尽职尽责保护国土资源、节约集约利用国土资源、尽心尽力维护群众权益，加强管理，深化改革，扎实开展作风整顿，为“把保定建设成为创新驱动经济强市、实现保定崛起和复兴”</w:t>
      </w:r>
      <w:r>
        <w:rPr>
          <w:rFonts w:hint="eastAsia"/>
          <w:color w:val="auto"/>
          <w:lang w:val="en-US" w:eastAsia="zh-CN"/>
        </w:rPr>
        <w:t>作</w:t>
      </w:r>
      <w:r>
        <w:rPr>
          <w:color w:val="auto"/>
        </w:rPr>
        <w:t>出更大贡献。</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（一）关于土地整治工作。</w:t>
      </w:r>
      <w:bookmarkStart w:id="40" w:name="_GoBack"/>
      <w:bookmarkEnd w:id="40"/>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1、认真贯彻落实《中共中央国务院关于加强耕地保护和改进占补平衡的意见》，坚持补充耕地数量与提高质量并重的原则，严格落实耕地占补平衡主体责任，强化补充耕地任务，对没立项的抓紧立项，已立项的占补项目要确保质量、抓紧实施，拓展补充耕地渠道，统筹实施土地整治，新增耕地经核定后可用于落实补充耕地任务。</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2、要做好基本农田保护工作。全面落实永久基本农田划定“落地块、明责任、设标志、建表册、入图库”五项任务，及时做好数据库审核备案。</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3、</w:t>
      </w:r>
      <w:r>
        <w:rPr>
          <w:color w:val="auto"/>
        </w:rPr>
        <w:t>关于露天矿山污染深度整治工作。在去年工作的基础上，做好已完工项目的后期监管与维护，加强矿山地质环境恢复治理日常监管，督促生产矿山企业严格落实矿产资源开发利用方案、矿山土质环境保护与土地复垦方案，实现边开采、边治理、边恢复、边复垦。</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4、</w:t>
      </w:r>
      <w:r>
        <w:rPr>
          <w:color w:val="auto"/>
        </w:rPr>
        <w:t>关于执法监察工作。一是对202</w:t>
      </w:r>
      <w:r>
        <w:rPr>
          <w:rFonts w:hint="eastAsia"/>
          <w:color w:val="auto"/>
          <w:lang w:val="en-US" w:eastAsia="zh-CN"/>
        </w:rPr>
        <w:t>1</w:t>
      </w:r>
      <w:r>
        <w:rPr>
          <w:color w:val="auto"/>
        </w:rPr>
        <w:t>年度以前的违法用地继续完成“清零”任务，能拆则拆，能补则补，对符合规划的要抓紧完善用地手续，确保202</w:t>
      </w:r>
      <w:r>
        <w:rPr>
          <w:rFonts w:hint="eastAsia"/>
          <w:color w:val="auto"/>
          <w:lang w:val="en-US" w:eastAsia="zh-CN"/>
        </w:rPr>
        <w:t>1</w:t>
      </w:r>
      <w:r>
        <w:rPr>
          <w:color w:val="auto"/>
        </w:rPr>
        <w:t>年全年占用耕地“零”违法。二是严厉打击新增违法用地、非法采矿、盗采砂石行为，建立“网格化”监管机制，重拳出击，以雷霆之力迅速拆除违法建筑及设施，将违法占地行为消除在萌芽状态。</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5、</w:t>
      </w:r>
      <w:r>
        <w:rPr>
          <w:color w:val="auto"/>
        </w:rPr>
        <w:t>关于土地节约集约利用工作。积极开展开发区内土地集约利用评价工作和耕地质量更新评价工作；积极跑部进厅，争取新增建设用地指标；深入挖潜盘活建设用地存量，全力推进新民居建设的拆旧工作，破解增减挂钩政策；加大对闲置土地的处置力度，提高低效土地利用率，多渠道保障项目用地。对批而未供土地进行逐宗梳理，根据每个地块的情况制定供地方案，对有条件的地块加快供地进度，确保供地率。</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6、</w:t>
      </w:r>
      <w:r>
        <w:rPr>
          <w:color w:val="auto"/>
        </w:rPr>
        <w:t>关于露天矿山企业主动退出工作。严格落实《中共保定市满城区委保定市满城区人民政府关于鼓励露天矿山主动关闭退出工作的实施意见》（满字[2016]12号）文件，加快推进露天矿山企业有序退出。探索矿山企业“去产能”工程，构建交易平台，通过矿山整合集中和矿山减量化管理，大力消减矿山企业数量，缓解矿山退出政府资金压力。</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eastAsia="方正仿宋_GBK"/>
          <w:color w:val="auto"/>
          <w:sz w:val="28"/>
        </w:rPr>
        <w:t>（二）分项绩效目标</w:t>
      </w:r>
    </w:p>
    <w:p>
      <w:pPr>
        <w:pStyle w:val="27"/>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1、</w:t>
      </w:r>
      <w:r>
        <w:rPr>
          <w:color w:val="auto"/>
        </w:rPr>
        <w:t>贯彻执行国家、省、市有关法律、行政法规和政策保证其在本行政区域内的有效实施;拟订土地资源、矿产资源等自然资源规范性文件和政策性规定,并负责实施和监督检查;负责有关行政复议工作。</w:t>
      </w:r>
    </w:p>
    <w:p>
      <w:pPr>
        <w:pStyle w:val="27"/>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2、</w:t>
      </w:r>
      <w:r>
        <w:rPr>
          <w:color w:val="auto"/>
        </w:rPr>
        <w:t>监督检查全区土地资源和矿产资源规划执行情况;依法保护土地、矿产资源所有者和使用者的合法权益,承办并组织调处本区的权属纠纷,查处违法案件。</w:t>
      </w:r>
    </w:p>
    <w:p>
      <w:pPr>
        <w:pStyle w:val="27"/>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3、</w:t>
      </w:r>
      <w:r>
        <w:rPr>
          <w:color w:val="auto"/>
        </w:rPr>
        <w:t>拟订并实施全县耕地特殊保护和鼓励耕地开发政策实施农用地用途管制,组织基本农田保护,指导未利用土地开发、土地整理、土地复垦和开发耕地监督工作,确保耕地面积只能增加、不能减少。</w:t>
      </w:r>
    </w:p>
    <w:p>
      <w:pPr>
        <w:pStyle w:val="27"/>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4、</w:t>
      </w:r>
      <w:r>
        <w:rPr>
          <w:color w:val="auto"/>
        </w:rPr>
        <w:t>组织协调本行政区域内地质灾害防治;保护地质环境；按权限认定并管理具有重要价值的地质遗迹保护区。</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eastAsia="方正仿宋_GBK"/>
          <w:color w:val="auto"/>
          <w:sz w:val="28"/>
        </w:rPr>
        <w:t>（三）工作保障措施</w:t>
      </w:r>
    </w:p>
    <w:p>
      <w:pPr>
        <w:pStyle w:val="28"/>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1、完善自然资源法制化建设</w:t>
      </w:r>
    </w:p>
    <w:p>
      <w:pPr>
        <w:pStyle w:val="28"/>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全面深入贯彻党的依法治国的基本方略，建立内容协调、程序严谨、衔接有序、高效实用的自然资源和规划法制化体系。建立权责明晰、行为规范、监督有力的执法体制机制，明确职权法定工作机制，严守权力边界，依照法定权限行使权力。建立健全权力清单、责任清单制度。运用法治思维推动自然资源和规划事业发展，结合本地实际，加强法制建设。实行法律顾问制度，加强普法教育，树立法治思维、依法行政，精准执法。</w:t>
      </w:r>
    </w:p>
    <w:p>
      <w:pPr>
        <w:pStyle w:val="28"/>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2、加强预算绩效管理</w:t>
      </w:r>
    </w:p>
    <w:p>
      <w:pPr>
        <w:pStyle w:val="28"/>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落实全面预算绩效管理要求，将事前绩效评估、绩效目标设定、绩效跟踪、绩效评价及结果运用纳入预算编制、执行、监督全过程。围绕部门职责、发展规划设定绩效目标，按要求开展部门预算绩效评价工作，对评价中发现的问题及时整改，推动提高部门整体绩效管理水平。</w:t>
      </w:r>
    </w:p>
    <w:p>
      <w:pPr>
        <w:pStyle w:val="28"/>
        <w:keepNext w:val="0"/>
        <w:keepLines w:val="0"/>
        <w:pageBreakBefore w:val="0"/>
        <w:widowControl/>
        <w:kinsoku/>
        <w:wordWrap/>
        <w:overflowPunct/>
        <w:topLinePunct w:val="0"/>
        <w:autoSpaceDE/>
        <w:autoSpaceDN/>
        <w:bidi w:val="0"/>
        <w:adjustRightInd/>
        <w:snapToGrid/>
        <w:spacing w:line="540" w:lineRule="exact"/>
        <w:ind w:left="0" w:leftChars="0" w:firstLine="560" w:firstLineChars="200"/>
        <w:textAlignment w:val="auto"/>
        <w:rPr>
          <w:color w:val="auto"/>
        </w:rPr>
      </w:pPr>
      <w:r>
        <w:rPr>
          <w:rFonts w:hint="eastAsia"/>
          <w:color w:val="auto"/>
          <w:lang w:val="en-US" w:eastAsia="zh-CN"/>
        </w:rPr>
        <w:t>3</w:t>
      </w:r>
      <w:r>
        <w:rPr>
          <w:color w:val="auto"/>
        </w:rPr>
        <w:t>、加强内控、规范财务资产管理</w:t>
      </w:r>
    </w:p>
    <w:p>
      <w:pPr>
        <w:numPr>
          <w:ilvl w:val="0"/>
          <w:numId w:val="0"/>
        </w:numPr>
        <w:spacing w:before="10" w:after="10"/>
        <w:outlineLvl w:val="5"/>
        <w:rPr>
          <w:color w:val="auto"/>
        </w:rPr>
      </w:pPr>
      <w:r>
        <w:rPr>
          <w:color w:val="auto"/>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jc w:val="left"/>
        <w:outlineLvl w:val="3"/>
        <w:rPr>
          <w:rFonts w:ascii="宋体" w:hAnsi="宋体" w:cs="Times New Roman"/>
          <w:b w:val="0"/>
          <w:bCs/>
          <w:color w:val="auto"/>
          <w:kern w:val="2"/>
          <w:sz w:val="28"/>
          <w:szCs w:val="24"/>
        </w:rPr>
      </w:pPr>
      <w:bookmarkStart w:id="24" w:name="_Toc70322065"/>
      <w:r>
        <w:rPr>
          <w:rFonts w:hint="eastAsia" w:ascii="宋体" w:hAnsi="宋体" w:cs="Times New Roman"/>
          <w:b w:val="0"/>
          <w:bCs/>
          <w:color w:val="auto"/>
          <w:kern w:val="2"/>
          <w:sz w:val="28"/>
          <w:szCs w:val="24"/>
        </w:rPr>
        <w:t>17.（综）保定市满城区方顺桥镇孟村和谭头村土地整治（占补平衡）项目绩效目标表</w:t>
      </w:r>
      <w:bookmarkEnd w:id="24"/>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17、（综）保定市满城区方顺桥镇孟村和谭头村土地整治（占补平衡）项目绩效目标表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130621212H1G51A0FU38O</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（综）保定市满城区方顺桥镇孟村和谭头村土地整治（占补平衡）项目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支付项目施工费和其他费用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项目总规模</w:t>
            </w:r>
            <w:r>
              <w:rPr>
                <w:rFonts w:ascii="宋体" w:hAnsi="宋体" w:cs="Times New Roman"/>
                <w:b w:val="0"/>
                <w:bCs/>
                <w:color w:val="auto"/>
                <w:kern w:val="2"/>
                <w:szCs w:val="24"/>
              </w:rPr>
              <w:t>3.9444</w:t>
            </w:r>
            <w:r>
              <w:rPr>
                <w:rFonts w:hint="eastAsia" w:ascii="宋体" w:hAnsi="宋体" w:cs="Times New Roman"/>
                <w:b w:val="0"/>
                <w:bCs/>
                <w:color w:val="auto"/>
                <w:kern w:val="2"/>
                <w:szCs w:val="24"/>
              </w:rPr>
              <w:t>公顷，新增耕地</w:t>
            </w:r>
            <w:r>
              <w:rPr>
                <w:rFonts w:ascii="宋体" w:hAnsi="宋体" w:cs="Times New Roman"/>
                <w:b w:val="0"/>
                <w:bCs/>
                <w:color w:val="auto"/>
                <w:kern w:val="2"/>
                <w:szCs w:val="24"/>
              </w:rPr>
              <w:t>3.8684</w:t>
            </w:r>
            <w:r>
              <w:rPr>
                <w:rFonts w:hint="eastAsia" w:ascii="宋体" w:hAnsi="宋体" w:cs="Times New Roman"/>
                <w:b w:val="0"/>
                <w:bCs/>
                <w:color w:val="auto"/>
                <w:kern w:val="2"/>
                <w:szCs w:val="24"/>
              </w:rPr>
              <w:t>公顷。</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达到合格标准</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5" w:name="_Toc70322066"/>
      <w:r>
        <w:rPr>
          <w:rFonts w:hint="eastAsia" w:ascii="宋体" w:hAnsi="宋体" w:cs="Times New Roman"/>
          <w:b w:val="0"/>
          <w:bCs/>
          <w:color w:val="auto"/>
          <w:kern w:val="2"/>
          <w:sz w:val="28"/>
          <w:szCs w:val="24"/>
        </w:rPr>
        <w:t>18.（综）满城镇、大册营镇、南韩村镇、方顺桥镇、要庄乡征地补偿款及前期征地报批费用绩效目标表</w:t>
      </w:r>
      <w:bookmarkEnd w:id="25"/>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18、（综）满城镇、大册营镇、南韩村镇、方顺桥镇、要庄乡征地补偿款及前期征地报批费用绩效目标表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1306212136PF16CEHQD4M</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（综）满城镇、大册营镇、南韩村镇、方顺桥镇、要庄乡征地补偿款及前期征地报批费用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8277.41</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8277.41</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支付征地补偿款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用于支付征地补偿款按期完成工程进度</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依据区政府文件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资金支出占收入比例</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控制预算</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依据区政府文件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按计划完成</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保障社会稳定</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6" w:name="_Toc70322067"/>
      <w:r>
        <w:rPr>
          <w:rFonts w:hint="eastAsia" w:ascii="宋体" w:hAnsi="宋体" w:cs="Times New Roman"/>
          <w:b w:val="0"/>
          <w:bCs/>
          <w:color w:val="auto"/>
          <w:kern w:val="2"/>
          <w:sz w:val="28"/>
          <w:szCs w:val="24"/>
        </w:rPr>
        <w:t>19.（综）白龙乡巩庄村废弃矿山土石料资产价值评估费用绩效目标表</w:t>
      </w:r>
      <w:bookmarkEnd w:id="26"/>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19、（综）白龙乡巩庄村废弃矿山土石料资产价值评估费用绩效目标表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130621213E0RTG5G1QGLI</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（综）白龙乡巩庄村废弃矿山土石料资产价值评估费用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为废弃矿山土石料在评估基准日的公允价值提供参考。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及时拨付评估费用。</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评估报告</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评估报告数量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份</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调查数据准确率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调查数据准确率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合同约定时限</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合同约定时限</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委托第三方评估所需成本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委托第三方评估所需成本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社会效益增长率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社会效益增长率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对评估的满意程度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对评估的满意程度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7" w:name="_Toc70322068"/>
      <w:r>
        <w:rPr>
          <w:rFonts w:hint="eastAsia" w:ascii="宋体" w:hAnsi="宋体" w:cs="Times New Roman"/>
          <w:b w:val="0"/>
          <w:bCs/>
          <w:color w:val="auto"/>
          <w:kern w:val="2"/>
          <w:sz w:val="28"/>
          <w:szCs w:val="24"/>
        </w:rPr>
        <w:t>20.（综）不动产登记中心装修改造工程绩效目标表</w:t>
      </w:r>
      <w:bookmarkEnd w:id="27"/>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20、（综）不动产登记中心装修改造工程绩效目标表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1306212164FMWXV47Y01O</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（综）不动产登记中心装修改造工程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用于不动产房屋装修费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改善职工工作条件</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将资金及时拨付到位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受益人数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通过装修改善工作条件收益的人数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40</w:t>
            </w:r>
            <w:r>
              <w:rPr>
                <w:rFonts w:hint="eastAsia" w:ascii="宋体" w:hAnsi="宋体" w:cs="Times New Roman"/>
                <w:b w:val="0"/>
                <w:bCs/>
                <w:color w:val="auto"/>
                <w:kern w:val="2"/>
                <w:szCs w:val="24"/>
              </w:rPr>
              <w:t>人</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工程完成合格面积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装修的工程完成的合格面积</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200</w:t>
            </w:r>
            <w:r>
              <w:rPr>
                <w:rFonts w:hint="eastAsia" w:ascii="宋体" w:hAnsi="宋体" w:cs="Times New Roman"/>
                <w:b w:val="0"/>
                <w:bCs/>
                <w:color w:val="auto"/>
                <w:kern w:val="2"/>
                <w:szCs w:val="24"/>
              </w:rPr>
              <w:t>平米</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工程完工率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不动产办公房装修工程完成率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提高效率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提高效率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职工的满意程度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8" w:name="_Toc70322069"/>
      <w:r>
        <w:rPr>
          <w:rFonts w:hint="eastAsia" w:ascii="宋体" w:hAnsi="宋体" w:cs="Times New Roman"/>
          <w:b w:val="0"/>
          <w:bCs/>
          <w:color w:val="auto"/>
          <w:kern w:val="2"/>
          <w:sz w:val="28"/>
          <w:szCs w:val="24"/>
        </w:rPr>
        <w:t>21.（综）保定市满城区石井乡和坨南乡土地整治（占补平衡）项目、满城县神星镇石板山村土地开发项目绩效目标表</w:t>
      </w:r>
      <w:bookmarkEnd w:id="28"/>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21、（综）保定市满城区石井乡和坨南乡土地整治（占补平衡）项目、满城县神星镇石板山村土地开发项目绩效目标表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130621217PKEXT9M5HEZ0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（综）保定市满城区石井乡和坨南乡土地整治（占补平衡）项目、满城县神星镇石板山村土地开发项目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800.00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800.00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支付项目工程款及其他费用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项目建设总规模</w:t>
            </w:r>
            <w:r>
              <w:rPr>
                <w:rFonts w:ascii="宋体" w:hAnsi="宋体" w:cs="Times New Roman"/>
                <w:b w:val="0"/>
                <w:bCs/>
                <w:color w:val="auto"/>
                <w:kern w:val="2"/>
                <w:szCs w:val="24"/>
              </w:rPr>
              <w:t>92.9443</w:t>
            </w:r>
            <w:r>
              <w:rPr>
                <w:rFonts w:hint="eastAsia" w:ascii="宋体" w:hAnsi="宋体" w:cs="Times New Roman"/>
                <w:b w:val="0"/>
                <w:bCs/>
                <w:color w:val="auto"/>
                <w:kern w:val="2"/>
                <w:szCs w:val="24"/>
              </w:rPr>
              <w:t>公顷，新增耕地</w:t>
            </w:r>
            <w:r>
              <w:rPr>
                <w:rFonts w:ascii="宋体" w:hAnsi="宋体" w:cs="Times New Roman"/>
                <w:b w:val="0"/>
                <w:bCs/>
                <w:color w:val="auto"/>
                <w:kern w:val="2"/>
                <w:szCs w:val="24"/>
              </w:rPr>
              <w:t>51.0960</w:t>
            </w:r>
            <w:r>
              <w:rPr>
                <w:rFonts w:hint="eastAsia" w:ascii="宋体" w:hAnsi="宋体" w:cs="Times New Roman"/>
                <w:b w:val="0"/>
                <w:bCs/>
                <w:color w:val="auto"/>
                <w:kern w:val="2"/>
                <w:szCs w:val="24"/>
              </w:rPr>
              <w:t>公顷。</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达到合格标准</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800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9" w:name="_Toc70322070"/>
      <w:r>
        <w:rPr>
          <w:rFonts w:hint="eastAsia" w:ascii="宋体" w:hAnsi="宋体" w:cs="Times New Roman"/>
          <w:b w:val="0"/>
          <w:bCs/>
          <w:color w:val="auto"/>
          <w:kern w:val="2"/>
          <w:sz w:val="28"/>
          <w:szCs w:val="24"/>
        </w:rPr>
        <w:t>22.（综）京昆高速沿线（满城段）白茬山生态修复高标准示范带工程上子口等5个矿山生态环境综合治理项目绩效目标表</w:t>
      </w:r>
      <w:bookmarkEnd w:id="29"/>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22、（综）京昆高速沿线（满城段）白茬山生态修复高标准示范带工程上子口等5个矿山生态环境综合治理项目绩效目标表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13062121C71FMPBP4MSDK</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（综）京昆高速沿线（满城段）白茬山生态修复高标准示范带工程上子口等</w:t>
            </w:r>
            <w:r>
              <w:rPr>
                <w:rFonts w:ascii="宋体" w:hAnsi="宋体" w:cs="Times New Roman"/>
                <w:b w:val="0"/>
                <w:bCs/>
                <w:color w:val="auto"/>
                <w:kern w:val="2"/>
                <w:szCs w:val="24"/>
              </w:rPr>
              <w:t>5</w:t>
            </w:r>
            <w:r>
              <w:rPr>
                <w:rFonts w:hint="eastAsia" w:ascii="宋体" w:hAnsi="宋体" w:cs="Times New Roman"/>
                <w:b w:val="0"/>
                <w:bCs/>
                <w:color w:val="auto"/>
                <w:kern w:val="2"/>
                <w:szCs w:val="24"/>
              </w:rPr>
              <w:t>个矿山生态环境综合治理项目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9134.00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9134.00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关于京昆高速沿线（满城段）白茬山生态修复高标准示范带工程上紫口等</w:t>
            </w:r>
            <w:r>
              <w:rPr>
                <w:rFonts w:ascii="宋体" w:hAnsi="宋体" w:cs="Times New Roman"/>
                <w:b w:val="0"/>
                <w:bCs/>
                <w:color w:val="auto"/>
                <w:kern w:val="2"/>
                <w:szCs w:val="24"/>
              </w:rPr>
              <w:t>5</w:t>
            </w:r>
            <w:r>
              <w:rPr>
                <w:rFonts w:hint="eastAsia" w:ascii="宋体" w:hAnsi="宋体" w:cs="Times New Roman"/>
                <w:b w:val="0"/>
                <w:bCs/>
                <w:color w:val="auto"/>
                <w:kern w:val="2"/>
                <w:szCs w:val="24"/>
              </w:rPr>
              <w:t>个治理项目的工程款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对矿山生态环境进行综合整治</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露天矿山生态修复面积</w:t>
            </w:r>
            <w:r>
              <w:rPr>
                <w:rFonts w:ascii="宋体" w:hAnsi="宋体" w:cs="Times New Roman"/>
                <w:b w:val="0"/>
                <w:bCs/>
                <w:color w:val="auto"/>
                <w:kern w:val="2"/>
                <w:szCs w:val="24"/>
              </w:rPr>
              <w:t>2222599.25</w:t>
            </w:r>
            <w:r>
              <w:rPr>
                <w:rFonts w:hint="eastAsia" w:ascii="宋体" w:hAnsi="宋体" w:cs="Times New Roman"/>
                <w:b w:val="0"/>
                <w:bCs/>
                <w:color w:val="auto"/>
                <w:kern w:val="2"/>
                <w:szCs w:val="24"/>
              </w:rPr>
              <w:t>平方米</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灭失矿山迹地治理恢复面积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灭失矿山迹地治理恢复面积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评审合格率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评审合格率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年度实施方案</w:t>
            </w:r>
          </w:p>
        </w:tc>
        <w:tc>
          <w:tcPr>
            <w:tcW w:w="289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年度实施方案</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总成本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总成本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9134</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废弃地复垦利用率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废弃地复垦利用率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80%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0" w:name="_Toc70322071"/>
      <w:r>
        <w:rPr>
          <w:rFonts w:hint="eastAsia" w:ascii="宋体" w:hAnsi="宋体" w:cs="Times New Roman"/>
          <w:b w:val="0"/>
          <w:bCs/>
          <w:color w:val="auto"/>
          <w:kern w:val="2"/>
          <w:sz w:val="28"/>
          <w:szCs w:val="24"/>
        </w:rPr>
        <w:t>23.（综）2020年满城区五处露天矿山和满城区东赵庄村露天矿山地质环境恢复治理项目绩效目标表</w:t>
      </w:r>
      <w:bookmarkEnd w:id="30"/>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23、（综）2020年满城区五处露天矿山和满城区东赵庄村露天矿山地质环境恢复治理项目绩效目标表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13062121DO5RCIICXPZFM</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w:t>
            </w:r>
            <w:r>
              <w:rPr>
                <w:rFonts w:ascii="宋体" w:hAnsi="宋体" w:cs="Times New Roman"/>
                <w:b w:val="0"/>
                <w:bCs/>
                <w:color w:val="auto"/>
                <w:kern w:val="2"/>
                <w:szCs w:val="24"/>
              </w:rPr>
              <w:t>2020</w:t>
            </w:r>
            <w:r>
              <w:rPr>
                <w:rFonts w:hint="eastAsia" w:ascii="宋体" w:hAnsi="宋体" w:cs="Times New Roman"/>
                <w:b w:val="0"/>
                <w:bCs/>
                <w:color w:val="auto"/>
                <w:kern w:val="2"/>
                <w:szCs w:val="24"/>
              </w:rPr>
              <w:t>年满城区五处露天矿山和满城区东赵庄村露天矿山地质环境恢复治理项目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2338.00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2338.00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2020</w:t>
            </w:r>
            <w:r>
              <w:rPr>
                <w:rFonts w:hint="eastAsia" w:ascii="宋体" w:hAnsi="宋体" w:cs="Times New Roman"/>
                <w:b w:val="0"/>
                <w:bCs/>
                <w:color w:val="auto"/>
                <w:kern w:val="2"/>
                <w:szCs w:val="24"/>
              </w:rPr>
              <w:t>年满城区五处露天矿山地质环境恢复治理项目和</w:t>
            </w:r>
            <w:r>
              <w:rPr>
                <w:rFonts w:ascii="宋体" w:hAnsi="宋体" w:cs="Times New Roman"/>
                <w:b w:val="0"/>
                <w:bCs/>
                <w:color w:val="auto"/>
                <w:kern w:val="2"/>
                <w:szCs w:val="24"/>
              </w:rPr>
              <w:t>2020</w:t>
            </w:r>
            <w:r>
              <w:rPr>
                <w:rFonts w:hint="eastAsia" w:ascii="宋体" w:hAnsi="宋体" w:cs="Times New Roman"/>
                <w:b w:val="0"/>
                <w:bCs/>
                <w:color w:val="auto"/>
                <w:kern w:val="2"/>
                <w:szCs w:val="24"/>
              </w:rPr>
              <w:t>年满城区东赵庄村露天矿山地质环境恢复治理项目工程款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对矿山生态环境进行综合治理</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露天矿山生态修复面积</w:t>
            </w:r>
            <w:r>
              <w:rPr>
                <w:rFonts w:ascii="宋体" w:hAnsi="宋体" w:cs="Times New Roman"/>
                <w:b w:val="0"/>
                <w:bCs/>
                <w:color w:val="auto"/>
                <w:kern w:val="2"/>
                <w:szCs w:val="24"/>
              </w:rPr>
              <w:t>302856</w:t>
            </w:r>
            <w:r>
              <w:rPr>
                <w:rFonts w:hint="eastAsia" w:ascii="宋体" w:hAnsi="宋体" w:cs="Times New Roman"/>
                <w:b w:val="0"/>
                <w:bCs/>
                <w:color w:val="auto"/>
                <w:kern w:val="2"/>
                <w:szCs w:val="24"/>
              </w:rPr>
              <w:t>平方米</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灭失矿山迹地治理恢复面积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灭失矿山迹地治理恢复面积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方案评审合格率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方案评审合格率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年实施方案</w:t>
            </w:r>
          </w:p>
        </w:tc>
        <w:tc>
          <w:tcPr>
            <w:tcW w:w="289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年实施方案</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总成本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总成本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2338</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废弃地复垦利用率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废弃地复垦利用率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80%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1" w:name="_Toc70322072"/>
      <w:r>
        <w:rPr>
          <w:rFonts w:hint="eastAsia" w:ascii="宋体" w:hAnsi="宋体" w:cs="Times New Roman"/>
          <w:b w:val="0"/>
          <w:bCs/>
          <w:color w:val="auto"/>
          <w:kern w:val="2"/>
          <w:sz w:val="28"/>
          <w:szCs w:val="24"/>
        </w:rPr>
        <w:t>24.（综）2018年土地储备专项债券申报项目评价费用绩效目标表</w:t>
      </w:r>
      <w:bookmarkEnd w:id="31"/>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24、（综）2018年土地储备专项债券申报项目评价费用绩效目标表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13062121GOMEDDYEDEXHB</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w:t>
            </w:r>
            <w:r>
              <w:rPr>
                <w:rFonts w:ascii="宋体" w:hAnsi="宋体" w:cs="Times New Roman"/>
                <w:b w:val="0"/>
                <w:bCs/>
                <w:color w:val="auto"/>
                <w:kern w:val="2"/>
                <w:szCs w:val="24"/>
              </w:rPr>
              <w:t>2018</w:t>
            </w:r>
            <w:r>
              <w:rPr>
                <w:rFonts w:hint="eastAsia" w:ascii="宋体" w:hAnsi="宋体" w:cs="Times New Roman"/>
                <w:b w:val="0"/>
                <w:bCs/>
                <w:color w:val="auto"/>
                <w:kern w:val="2"/>
                <w:szCs w:val="24"/>
              </w:rPr>
              <w:t>年土地储备专项债券申报项目评价费用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用于拨付</w:t>
            </w:r>
            <w:r>
              <w:rPr>
                <w:rFonts w:ascii="宋体" w:hAnsi="宋体" w:cs="Times New Roman"/>
                <w:b w:val="0"/>
                <w:bCs/>
                <w:color w:val="auto"/>
                <w:kern w:val="2"/>
                <w:szCs w:val="24"/>
              </w:rPr>
              <w:t>2018</w:t>
            </w:r>
            <w:r>
              <w:rPr>
                <w:rFonts w:hint="eastAsia" w:ascii="宋体" w:hAnsi="宋体" w:cs="Times New Roman"/>
                <w:b w:val="0"/>
                <w:bCs/>
                <w:color w:val="auto"/>
                <w:kern w:val="2"/>
                <w:szCs w:val="24"/>
              </w:rPr>
              <w:t>年土地储备专项债券申报项目评价费用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拨付</w:t>
            </w:r>
            <w:r>
              <w:rPr>
                <w:rFonts w:ascii="宋体" w:hAnsi="宋体" w:cs="Times New Roman"/>
                <w:b w:val="0"/>
                <w:bCs/>
                <w:color w:val="auto"/>
                <w:kern w:val="2"/>
                <w:szCs w:val="24"/>
              </w:rPr>
              <w:t>2018</w:t>
            </w:r>
            <w:r>
              <w:rPr>
                <w:rFonts w:hint="eastAsia" w:ascii="宋体" w:hAnsi="宋体" w:cs="Times New Roman"/>
                <w:b w:val="0"/>
                <w:bCs/>
                <w:color w:val="auto"/>
                <w:kern w:val="2"/>
                <w:szCs w:val="24"/>
              </w:rPr>
              <w:t>年土地储备专项债券申报项目评价费用</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项目按期完成率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资金支出占收入比例</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控制预算</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按计划完成</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维护社会稳定性</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保障社会稳定</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2" w:name="_Toc70322073"/>
      <w:r>
        <w:rPr>
          <w:rFonts w:hint="eastAsia" w:ascii="宋体" w:hAnsi="宋体" w:cs="Times New Roman"/>
          <w:b w:val="0"/>
          <w:bCs/>
          <w:color w:val="auto"/>
          <w:kern w:val="2"/>
          <w:sz w:val="28"/>
          <w:szCs w:val="24"/>
        </w:rPr>
        <w:t>25.（综）满城县十万亩高标准基本农田建设项目绩效目标表</w:t>
      </w:r>
      <w:bookmarkEnd w:id="32"/>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25、（综）满城县十万亩高标准基本农田建设项目绩效目标表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13062121IHGIIE2GCCM3Z</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（综）满城县十万亩高标准基本农田建设项目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用于支付工程施工费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建成</w:t>
            </w:r>
            <w:r>
              <w:rPr>
                <w:rFonts w:ascii="宋体" w:hAnsi="宋体" w:cs="Times New Roman"/>
                <w:b w:val="0"/>
                <w:bCs/>
                <w:color w:val="auto"/>
                <w:kern w:val="2"/>
                <w:szCs w:val="24"/>
              </w:rPr>
              <w:t>10</w:t>
            </w:r>
            <w:r>
              <w:rPr>
                <w:rFonts w:hint="eastAsia" w:ascii="宋体" w:hAnsi="宋体" w:cs="Times New Roman"/>
                <w:b w:val="0"/>
                <w:bCs/>
                <w:color w:val="auto"/>
                <w:kern w:val="2"/>
                <w:szCs w:val="24"/>
              </w:rPr>
              <w:t>万亩高标准基本农田</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达到合格标准</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3" w:name="_Toc70322074"/>
      <w:r>
        <w:rPr>
          <w:rFonts w:hint="eastAsia" w:ascii="宋体" w:hAnsi="宋体" w:cs="Times New Roman"/>
          <w:b w:val="0"/>
          <w:bCs/>
          <w:color w:val="auto"/>
          <w:kern w:val="2"/>
          <w:sz w:val="28"/>
          <w:szCs w:val="24"/>
        </w:rPr>
        <w:t>26.（综）满城区集中拆违专项行动所需经费绩效目标表</w:t>
      </w:r>
      <w:bookmarkEnd w:id="33"/>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26、（综）满城区集中拆违专项行动所需经费绩效目标表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13062121KTEUFYOGFTW10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（综）满城区集中拆违专项行动所需经费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用于拆违机械费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整治违法用地</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消除违法建筑</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集中整治拆违面积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29033.34</w:t>
            </w:r>
            <w:r>
              <w:rPr>
                <w:rFonts w:hint="eastAsia" w:ascii="宋体" w:hAnsi="宋体" w:cs="Times New Roman"/>
                <w:b w:val="0"/>
                <w:bCs/>
                <w:color w:val="auto"/>
                <w:kern w:val="2"/>
                <w:szCs w:val="24"/>
              </w:rPr>
              <w:t>平方米</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拆除率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集中拆除违法建筑的比率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资金拨付及时率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拆违的资金成本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20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拆违工程完成情况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拆违工程完成情况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满意对</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4" w:name="_Toc70322075"/>
      <w:r>
        <w:rPr>
          <w:rFonts w:hint="eastAsia" w:ascii="宋体" w:hAnsi="宋体" w:cs="Times New Roman"/>
          <w:b w:val="0"/>
          <w:bCs/>
          <w:color w:val="auto"/>
          <w:kern w:val="2"/>
          <w:sz w:val="28"/>
          <w:szCs w:val="24"/>
        </w:rPr>
        <w:t>27.（综）《保定市满城区白龙乡巩庄村废弃矿山石料利用方案》和《保定市满城区白龙乡巩庄村废弃矿山地质环境修复治理方案》编制费用绩效目标表</w:t>
      </w:r>
      <w:bookmarkEnd w:id="34"/>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27、（综）《保定市满城区白龙乡巩庄村废弃矿山石料利用方案》和《保定市满城区白龙乡巩庄村废弃矿山地质环境修复治理方案》编制费用绩效目标表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13062121SZ7A519DM0T7U</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（综）《保定市满城区白龙乡巩庄村废弃矿山石料利用方案》和《保定市满城区白龙乡巩庄村废弃矿山地质环境修复治理方案》编制费用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方案编制费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对边坡和平台进行综合整治，预防地质灾害的发生，生态环境质量大幅度改善。</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确定废弃土石料作为容易线、安大线路基填筑材料供应点。</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评估报告数量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评估报告数量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份</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调查数据准确率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调查数据准确率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合同约定时限</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合同约定时限</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委托第三方所需的研究成本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委托第三方所需的研究成本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提高效率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提高效率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社会效益增长率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社会效益增长率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对评估报告的满意程度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5" w:name="_Toc70322076"/>
      <w:r>
        <w:rPr>
          <w:rFonts w:hint="eastAsia" w:ascii="宋体" w:hAnsi="宋体" w:cs="Times New Roman"/>
          <w:b w:val="0"/>
          <w:bCs/>
          <w:color w:val="auto"/>
          <w:kern w:val="2"/>
          <w:sz w:val="28"/>
          <w:szCs w:val="24"/>
        </w:rPr>
        <w:t>28.(综)大棚房清理整治费用绩效目标表</w:t>
      </w:r>
      <w:bookmarkEnd w:id="35"/>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28、(综)大棚房清理整治费用绩效目标表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13062121X929VBHL4EFOY</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w:t>
            </w:r>
            <w:r>
              <w:rPr>
                <w:rFonts w:hint="eastAsia" w:ascii="宋体" w:hAnsi="宋体" w:cs="Times New Roman"/>
                <w:b w:val="0"/>
                <w:bCs/>
                <w:color w:val="auto"/>
                <w:kern w:val="2"/>
                <w:szCs w:val="24"/>
              </w:rPr>
              <w:t>综</w:t>
            </w:r>
            <w:r>
              <w:rPr>
                <w:rFonts w:ascii="宋体" w:hAnsi="宋体" w:cs="Times New Roman"/>
                <w:b w:val="0"/>
                <w:bCs/>
                <w:color w:val="auto"/>
                <w:kern w:val="2"/>
                <w:szCs w:val="24"/>
              </w:rPr>
              <w:t>)</w:t>
            </w:r>
            <w:r>
              <w:rPr>
                <w:rFonts w:hint="eastAsia" w:ascii="宋体" w:hAnsi="宋体" w:cs="Times New Roman"/>
                <w:b w:val="0"/>
                <w:bCs/>
                <w:color w:val="auto"/>
                <w:kern w:val="2"/>
                <w:szCs w:val="24"/>
              </w:rPr>
              <w:t>大棚房清理整治费用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机械费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优化美化乡村环境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及时拨付资金，使资金确实落实到位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用车数量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所用挖掘机及铲车的数量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40</w:t>
            </w:r>
            <w:r>
              <w:rPr>
                <w:rFonts w:hint="eastAsia" w:ascii="宋体" w:hAnsi="宋体" w:cs="Times New Roman"/>
                <w:b w:val="0"/>
                <w:bCs/>
                <w:color w:val="auto"/>
                <w:kern w:val="2"/>
                <w:szCs w:val="24"/>
              </w:rPr>
              <w:t>台</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任务完成率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任务完成率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资金发放及时率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资金发放的及时率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每台车的费用（元）</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所用挖掘机及铲车每台的费用（元）</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2500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环境改善情况收益率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清理，环境改善情况给附近村民带来的收益率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群众投诉下降率（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群众投诉下降率（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被清理地方村民的满意程度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6" w:name="_Toc70322077"/>
      <w:r>
        <w:rPr>
          <w:rFonts w:hint="eastAsia" w:ascii="宋体" w:hAnsi="宋体" w:cs="Times New Roman"/>
          <w:b w:val="0"/>
          <w:bCs/>
          <w:color w:val="auto"/>
          <w:kern w:val="2"/>
          <w:sz w:val="28"/>
          <w:szCs w:val="24"/>
        </w:rPr>
        <w:t>29.(综）秀兰旅客接待中心地上建筑物没收评估费用绩效目标表</w:t>
      </w:r>
      <w:bookmarkEnd w:id="36"/>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29、(综）秀兰旅客接待中心地上建筑物没收评估费用绩效目标表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13062121Y263GVKOISICP</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w:t>
            </w:r>
            <w:r>
              <w:rPr>
                <w:rFonts w:hint="eastAsia" w:ascii="宋体" w:hAnsi="宋体" w:cs="Times New Roman"/>
                <w:b w:val="0"/>
                <w:bCs/>
                <w:color w:val="auto"/>
                <w:kern w:val="2"/>
                <w:szCs w:val="24"/>
              </w:rPr>
              <w:t>综）秀兰旅客接待中心地上建筑物没收评估费用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3.15</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3.15</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用于拨付秀兰旅客接待中心地上建筑物没收评估费用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完成拨付秀兰接待中心地上建筑物没收评估费用</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资金支付率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实际支付资金与应支付资金比例</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优良率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结项鉴定优秀等级项目数量占结项总数量的比例（百分比）</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按期完成项目督查</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资金所占比例</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控制预算</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经济发展影响力</w:t>
            </w:r>
          </w:p>
        </w:tc>
        <w:tc>
          <w:tcPr>
            <w:tcW w:w="289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按计划完成</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保障社会稳定</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7" w:name="_Toc70322078"/>
      <w:r>
        <w:rPr>
          <w:rFonts w:hint="eastAsia" w:ascii="宋体" w:hAnsi="宋体" w:cs="Times New Roman"/>
          <w:b w:val="0"/>
          <w:bCs/>
          <w:color w:val="auto"/>
          <w:kern w:val="2"/>
          <w:sz w:val="28"/>
          <w:szCs w:val="24"/>
        </w:rPr>
        <w:t>30.（综）满城区集中拆违专项行动所需经费绩效目标表</w:t>
      </w:r>
      <w:bookmarkEnd w:id="37"/>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30、（综）满城区集中拆违专项行动所需经费绩效目标表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13062121ZBM5IGIGK5A5G</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（综）满城区集中拆违专项行动所需经费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用于满城区集中拆违专项行动所需费用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整治违法用地</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消除违法建筑</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集中整治拆违面积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29033.34</w:t>
            </w:r>
            <w:r>
              <w:rPr>
                <w:rFonts w:hint="eastAsia" w:ascii="宋体" w:hAnsi="宋体" w:cs="Times New Roman"/>
                <w:b w:val="0"/>
                <w:bCs/>
                <w:color w:val="auto"/>
                <w:kern w:val="2"/>
                <w:szCs w:val="24"/>
              </w:rPr>
              <w:t>平方米</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拆除率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集中拆除违法建筑的比率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资金拨付及时率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拆违的资金成本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30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拆违工程完成情况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拆违工程完成情况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8" w:name="_Toc70322079"/>
      <w:r>
        <w:rPr>
          <w:rFonts w:hint="eastAsia" w:ascii="宋体" w:hAnsi="宋体" w:cs="Times New Roman"/>
          <w:b w:val="0"/>
          <w:bCs/>
          <w:color w:val="auto"/>
          <w:kern w:val="2"/>
          <w:sz w:val="28"/>
          <w:szCs w:val="24"/>
        </w:rPr>
        <w:t>31.（综）永久基本农田核实整改工作经费绩效目标表</w:t>
      </w:r>
      <w:bookmarkEnd w:id="38"/>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31、（综）永久基本农田核实整改工作经费绩效目标表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13062121ZYWG81Q5CYEHG</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（综）永久基本农田核实整改工作经费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25.00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25.00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编制方案及建立数据库费用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编制永久基本农田核实整改方案</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建立永久基本农田数据库</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编制方案数量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编制永久基本农田核实整改方案的数量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份</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准确率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建立永久基本农田数据库的准确率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及时性</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拨付整改方案和建立数据库费用的及时率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编制方案及数据库的资金成本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25</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成本节约率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编制方案及建立数据库成本节约率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社会效益指标提升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社会效益指标提升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提升显著</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服务对象的满意程度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9" w:name="_Toc70322080"/>
      <w:r>
        <w:rPr>
          <w:rFonts w:hint="eastAsia" w:ascii="宋体" w:hAnsi="宋体" w:cs="Times New Roman"/>
          <w:b w:val="0"/>
          <w:bCs/>
          <w:color w:val="auto"/>
          <w:kern w:val="2"/>
          <w:sz w:val="28"/>
          <w:szCs w:val="24"/>
        </w:rPr>
        <w:t>32.（综）征地补偿及土地开发费用绩效目标表</w:t>
      </w:r>
      <w:bookmarkEnd w:id="39"/>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32、（综）征地补偿及土地开发费用绩效目标表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324007</w:t>
            </w:r>
            <w:r>
              <w:rPr>
                <w:rFonts w:hint="eastAsia" w:ascii="宋体" w:hAnsi="宋体" w:cs="Times New Roman"/>
                <w:b w:val="0"/>
                <w:bCs/>
                <w:color w:val="auto"/>
                <w:kern w:val="2"/>
                <w:szCs w:val="24"/>
              </w:rPr>
              <w:t>国土局部门</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13062121IOU8HMLAOERUQ</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（综）征地补偿及土地开发费用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用于土地补偿和土地开发支出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25.00%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75.00%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补偿发放到位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依据区政府文件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资金支出占收入比例</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控制预算</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依据区政府文件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按计划完成</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保障社会稳定</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bl>
    <w:p>
      <w:pPr>
        <w:spacing w:line="300" w:lineRule="exact"/>
        <w:jc w:val="left"/>
        <w:rPr>
          <w:rFonts w:ascii="宋体" w:hAnsi="宋体" w:cs="Times New Roman"/>
          <w:b w:val="0"/>
          <w:bCs/>
          <w:color w:val="auto"/>
          <w:kern w:val="2"/>
          <w:szCs w:val="24"/>
        </w:rPr>
        <w:sectPr>
          <w:pgSz w:w="16838" w:h="11905" w:orient="landscape"/>
          <w:pgMar w:top="1304" w:right="1984" w:bottom="1304" w:left="1134" w:header="850" w:footer="992" w:gutter="0"/>
          <w:cols w:space="720" w:num="1"/>
          <w:rtlGutter w:val="0"/>
          <w:docGrid w:type="lines" w:linePitch="332" w:charSpace="0"/>
        </w:sectPr>
      </w:pPr>
    </w:p>
    <w:p>
      <w:pPr>
        <w:spacing w:before="10" w:after="10"/>
        <w:ind w:firstLine="640"/>
        <w:outlineLvl w:val="5"/>
        <w:rPr>
          <w:rFonts w:ascii="黑体" w:hAnsi="黑体" w:eastAsia="黑体" w:cs="黑体"/>
          <w:color w:val="auto"/>
          <w:sz w:val="32"/>
        </w:rPr>
      </w:pPr>
    </w:p>
    <w:p>
      <w:pPr>
        <w:spacing w:before="10" w:after="10"/>
        <w:ind w:firstLine="640"/>
        <w:outlineLvl w:val="5"/>
        <w:rPr>
          <w:color w:val="auto"/>
        </w:rPr>
      </w:pPr>
      <w:r>
        <w:rPr>
          <w:rFonts w:ascii="黑体" w:hAnsi="黑体" w:eastAsia="黑体" w:cs="黑体"/>
          <w:color w:val="auto"/>
          <w:sz w:val="32"/>
        </w:rPr>
        <w:t>六、政府采购预算情况</w:t>
      </w:r>
    </w:p>
    <w:p>
      <w:pPr>
        <w:spacing w:line="500" w:lineRule="exact"/>
        <w:ind w:firstLine="560"/>
        <w:rPr>
          <w:color w:val="auto"/>
        </w:rPr>
      </w:pPr>
      <w:r>
        <w:rPr>
          <w:rFonts w:eastAsia="方正仿宋_GBK"/>
          <w:color w:val="auto"/>
          <w:sz w:val="28"/>
        </w:rPr>
        <w:t>202</w:t>
      </w:r>
      <w:r>
        <w:rPr>
          <w:rFonts w:hint="eastAsia" w:eastAsia="方正仿宋_GBK"/>
          <w:color w:val="auto"/>
          <w:sz w:val="28"/>
          <w:lang w:val="en-US" w:eastAsia="zh-CN"/>
        </w:rPr>
        <w:t>1</w:t>
      </w:r>
      <w:r>
        <w:rPr>
          <w:rFonts w:eastAsia="方正仿宋_GBK"/>
          <w:color w:val="auto"/>
          <w:sz w:val="28"/>
        </w:rPr>
        <w:t>年，保定市自然资源和规划局满城区分局(自收自支)</w:t>
      </w:r>
      <w:r>
        <w:rPr>
          <w:rFonts w:hint="eastAsia" w:eastAsia="方正仿宋_GBK"/>
          <w:color w:val="auto"/>
          <w:sz w:val="28"/>
          <w:lang w:eastAsia="zh-CN"/>
        </w:rPr>
        <w:t>无政府采购预算，空表列示</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324006保定市自然资源和规划局满城区分局(自收自支)</w:t>
            </w:r>
          </w:p>
        </w:tc>
        <w:tc>
          <w:tcPr>
            <w:tcW w:w="8676" w:type="dxa"/>
            <w:gridSpan w:val="9"/>
            <w:tcBorders>
              <w:top w:val="single" w:color="FFFFFF" w:sz="6" w:space="0"/>
              <w:left w:val="single" w:color="FFFFFF" w:sz="6" w:space="0"/>
              <w:right w:val="single" w:color="FFFFFF" w:sz="6" w:space="0"/>
            </w:tcBorders>
            <w:noWrap w:val="0"/>
            <w:vAlign w:val="center"/>
          </w:tcPr>
          <w:p>
            <w:pPr>
              <w:pStyle w:val="2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noWrap w:val="0"/>
            <w:vAlign w:val="center"/>
          </w:tcPr>
          <w:p>
            <w:pPr>
              <w:pStyle w:val="15"/>
              <w:rPr>
                <w:color w:val="auto"/>
              </w:rPr>
            </w:pPr>
            <w:r>
              <w:rPr>
                <w:color w:val="auto"/>
              </w:rPr>
              <w:t>政府采购项目来源</w:t>
            </w:r>
          </w:p>
        </w:tc>
        <w:tc>
          <w:tcPr>
            <w:tcW w:w="1134" w:type="dxa"/>
            <w:vMerge w:val="restart"/>
            <w:noWrap w:val="0"/>
            <w:vAlign w:val="center"/>
          </w:tcPr>
          <w:p>
            <w:pPr>
              <w:pStyle w:val="15"/>
              <w:rPr>
                <w:color w:val="auto"/>
              </w:rPr>
            </w:pPr>
            <w:r>
              <w:rPr>
                <w:color w:val="auto"/>
              </w:rPr>
              <w:t>采购物品名称</w:t>
            </w:r>
          </w:p>
        </w:tc>
        <w:tc>
          <w:tcPr>
            <w:tcW w:w="1134" w:type="dxa"/>
            <w:vMerge w:val="restart"/>
            <w:noWrap w:val="0"/>
            <w:vAlign w:val="center"/>
          </w:tcPr>
          <w:p>
            <w:pPr>
              <w:pStyle w:val="15"/>
              <w:rPr>
                <w:color w:val="auto"/>
              </w:rPr>
            </w:pPr>
            <w:r>
              <w:rPr>
                <w:color w:val="auto"/>
              </w:rPr>
              <w:t>政府采购目录序号</w:t>
            </w:r>
          </w:p>
        </w:tc>
        <w:tc>
          <w:tcPr>
            <w:tcW w:w="709" w:type="dxa"/>
            <w:vMerge w:val="restart"/>
            <w:noWrap w:val="0"/>
            <w:vAlign w:val="center"/>
          </w:tcPr>
          <w:p>
            <w:pPr>
              <w:pStyle w:val="15"/>
              <w:rPr>
                <w:color w:val="auto"/>
              </w:rPr>
            </w:pPr>
            <w:r>
              <w:rPr>
                <w:color w:val="auto"/>
              </w:rPr>
              <w:t>计量  单位</w:t>
            </w:r>
          </w:p>
        </w:tc>
        <w:tc>
          <w:tcPr>
            <w:tcW w:w="850" w:type="dxa"/>
            <w:vMerge w:val="restart"/>
            <w:noWrap w:val="0"/>
            <w:vAlign w:val="center"/>
          </w:tcPr>
          <w:p>
            <w:pPr>
              <w:pStyle w:val="15"/>
              <w:rPr>
                <w:color w:val="auto"/>
              </w:rPr>
            </w:pPr>
            <w:r>
              <w:rPr>
                <w:color w:val="auto"/>
              </w:rPr>
              <w:t>数量</w:t>
            </w:r>
          </w:p>
        </w:tc>
        <w:tc>
          <w:tcPr>
            <w:tcW w:w="850" w:type="dxa"/>
            <w:vMerge w:val="restart"/>
            <w:noWrap w:val="0"/>
            <w:vAlign w:val="center"/>
          </w:tcPr>
          <w:p>
            <w:pPr>
              <w:pStyle w:val="15"/>
              <w:rPr>
                <w:color w:val="auto"/>
              </w:rPr>
            </w:pPr>
            <w:r>
              <w:rPr>
                <w:color w:val="auto"/>
              </w:rPr>
              <w:t>单价</w:t>
            </w:r>
          </w:p>
        </w:tc>
        <w:tc>
          <w:tcPr>
            <w:tcW w:w="7712" w:type="dxa"/>
            <w:gridSpan w:val="8"/>
            <w:noWrap w:val="0"/>
            <w:vAlign w:val="center"/>
          </w:tcPr>
          <w:p>
            <w:pPr>
              <w:pStyle w:val="15"/>
              <w:rPr>
                <w:color w:val="auto"/>
              </w:rPr>
            </w:pPr>
            <w:r>
              <w:rPr>
                <w:color w:val="auto"/>
              </w:rPr>
              <w:t>政府采购金额（当年部门预算安排资金）</w:t>
            </w:r>
          </w:p>
        </w:tc>
        <w:tc>
          <w:tcPr>
            <w:tcW w:w="964" w:type="dxa"/>
            <w:vMerge w:val="restart"/>
            <w:noWrap w:val="0"/>
            <w:vAlign w:val="center"/>
          </w:tcPr>
          <w:p>
            <w:pPr>
              <w:pStyle w:val="15"/>
              <w:rPr>
                <w:color w:val="auto"/>
              </w:rPr>
            </w:pPr>
            <w:r>
              <w:rPr>
                <w:color w:val="auto"/>
              </w:rPr>
              <w:t>202</w:t>
            </w:r>
            <w:r>
              <w:rPr>
                <w:rFonts w:hint="eastAsia"/>
                <w:color w:val="auto"/>
                <w:lang w:val="en-US" w:eastAsia="zh-CN"/>
              </w:rPr>
              <w:t>1</w:t>
            </w:r>
            <w:r>
              <w:rPr>
                <w:color w:val="auto"/>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noWrap w:val="0"/>
            <w:vAlign w:val="center"/>
          </w:tcPr>
          <w:p>
            <w:pPr>
              <w:pStyle w:val="15"/>
              <w:rPr>
                <w:color w:val="auto"/>
              </w:rPr>
            </w:pPr>
            <w:r>
              <w:rPr>
                <w:color w:val="auto"/>
              </w:rPr>
              <w:t>项目名称</w:t>
            </w:r>
          </w:p>
        </w:tc>
        <w:tc>
          <w:tcPr>
            <w:tcW w:w="964" w:type="dxa"/>
            <w:noWrap w:val="0"/>
            <w:vAlign w:val="center"/>
          </w:tcPr>
          <w:p>
            <w:pPr>
              <w:pStyle w:val="15"/>
              <w:rPr>
                <w:color w:val="auto"/>
              </w:rPr>
            </w:pPr>
            <w:r>
              <w:rPr>
                <w:color w:val="auto"/>
              </w:rPr>
              <w:t>预算    资金</w:t>
            </w:r>
          </w:p>
        </w:tc>
        <w:tc>
          <w:tcPr>
            <w:tcW w:w="1134" w:type="dxa"/>
            <w:vMerge w:val="continue"/>
            <w:noWrap w:val="0"/>
            <w:vAlign w:val="top"/>
          </w:tcPr>
          <w:p>
            <w:pPr>
              <w:rPr>
                <w:color w:val="auto"/>
              </w:rPr>
            </w:pPr>
          </w:p>
        </w:tc>
        <w:tc>
          <w:tcPr>
            <w:tcW w:w="1134" w:type="dxa"/>
            <w:vMerge w:val="continue"/>
            <w:noWrap w:val="0"/>
            <w:vAlign w:val="top"/>
          </w:tcPr>
          <w:p>
            <w:pPr>
              <w:rPr>
                <w:color w:val="auto"/>
              </w:rPr>
            </w:pPr>
          </w:p>
        </w:tc>
        <w:tc>
          <w:tcPr>
            <w:tcW w:w="709" w:type="dxa"/>
            <w:vMerge w:val="continue"/>
            <w:noWrap w:val="0"/>
            <w:vAlign w:val="top"/>
          </w:tcPr>
          <w:p>
            <w:pPr>
              <w:rPr>
                <w:color w:val="auto"/>
              </w:rPr>
            </w:pPr>
          </w:p>
        </w:tc>
        <w:tc>
          <w:tcPr>
            <w:tcW w:w="850" w:type="dxa"/>
            <w:vMerge w:val="continue"/>
            <w:noWrap w:val="0"/>
            <w:vAlign w:val="top"/>
          </w:tcPr>
          <w:p>
            <w:pPr>
              <w:rPr>
                <w:color w:val="auto"/>
              </w:rPr>
            </w:pPr>
          </w:p>
        </w:tc>
        <w:tc>
          <w:tcPr>
            <w:tcW w:w="850" w:type="dxa"/>
            <w:vMerge w:val="continue"/>
            <w:noWrap w:val="0"/>
            <w:vAlign w:val="top"/>
          </w:tcPr>
          <w:p>
            <w:pPr>
              <w:rPr>
                <w:color w:val="auto"/>
              </w:rPr>
            </w:pPr>
          </w:p>
        </w:tc>
        <w:tc>
          <w:tcPr>
            <w:tcW w:w="964" w:type="dxa"/>
            <w:noWrap w:val="0"/>
            <w:vAlign w:val="center"/>
          </w:tcPr>
          <w:p>
            <w:pPr>
              <w:pStyle w:val="15"/>
              <w:rPr>
                <w:color w:val="auto"/>
              </w:rPr>
            </w:pPr>
            <w:r>
              <w:rPr>
                <w:color w:val="auto"/>
              </w:rPr>
              <w:t>合计</w:t>
            </w:r>
          </w:p>
        </w:tc>
        <w:tc>
          <w:tcPr>
            <w:tcW w:w="964" w:type="dxa"/>
            <w:noWrap w:val="0"/>
            <w:vAlign w:val="center"/>
          </w:tcPr>
          <w:p>
            <w:pPr>
              <w:pStyle w:val="15"/>
              <w:rPr>
                <w:color w:val="auto"/>
              </w:rPr>
            </w:pPr>
            <w:r>
              <w:rPr>
                <w:color w:val="auto"/>
              </w:rPr>
              <w:t>一般公共预算拨款</w:t>
            </w:r>
          </w:p>
        </w:tc>
        <w:tc>
          <w:tcPr>
            <w:tcW w:w="964" w:type="dxa"/>
            <w:noWrap w:val="0"/>
            <w:vAlign w:val="center"/>
          </w:tcPr>
          <w:p>
            <w:pPr>
              <w:pStyle w:val="15"/>
              <w:rPr>
                <w:color w:val="auto"/>
              </w:rPr>
            </w:pPr>
            <w:r>
              <w:rPr>
                <w:color w:val="auto"/>
              </w:rPr>
              <w:t>基金预算拨款</w:t>
            </w:r>
          </w:p>
        </w:tc>
        <w:tc>
          <w:tcPr>
            <w:tcW w:w="964" w:type="dxa"/>
            <w:noWrap w:val="0"/>
            <w:vAlign w:val="center"/>
          </w:tcPr>
          <w:p>
            <w:pPr>
              <w:pStyle w:val="15"/>
              <w:rPr>
                <w:color w:val="auto"/>
              </w:rPr>
            </w:pPr>
            <w:r>
              <w:rPr>
                <w:color w:val="auto"/>
              </w:rPr>
              <w:t>国有资本经营预算拨款</w:t>
            </w:r>
          </w:p>
        </w:tc>
        <w:tc>
          <w:tcPr>
            <w:tcW w:w="964" w:type="dxa"/>
            <w:noWrap w:val="0"/>
            <w:vAlign w:val="center"/>
          </w:tcPr>
          <w:p>
            <w:pPr>
              <w:pStyle w:val="15"/>
              <w:rPr>
                <w:color w:val="auto"/>
              </w:rPr>
            </w:pPr>
            <w:r>
              <w:rPr>
                <w:color w:val="auto"/>
              </w:rPr>
              <w:t>财政专户核拨</w:t>
            </w:r>
          </w:p>
        </w:tc>
        <w:tc>
          <w:tcPr>
            <w:tcW w:w="964" w:type="dxa"/>
            <w:noWrap w:val="0"/>
            <w:vAlign w:val="center"/>
          </w:tcPr>
          <w:p>
            <w:pPr>
              <w:pStyle w:val="15"/>
              <w:rPr>
                <w:color w:val="auto"/>
              </w:rPr>
            </w:pPr>
            <w:r>
              <w:rPr>
                <w:color w:val="auto"/>
              </w:rPr>
              <w:t>单位    资金</w:t>
            </w:r>
          </w:p>
        </w:tc>
        <w:tc>
          <w:tcPr>
            <w:tcW w:w="964" w:type="dxa"/>
            <w:noWrap w:val="0"/>
            <w:vAlign w:val="center"/>
          </w:tcPr>
          <w:p>
            <w:pPr>
              <w:pStyle w:val="15"/>
              <w:rPr>
                <w:color w:val="auto"/>
              </w:rPr>
            </w:pPr>
            <w:r>
              <w:rPr>
                <w:color w:val="auto"/>
              </w:rPr>
              <w:t>财政拨    款结转</w:t>
            </w:r>
          </w:p>
        </w:tc>
        <w:tc>
          <w:tcPr>
            <w:tcW w:w="964" w:type="dxa"/>
            <w:noWrap w:val="0"/>
            <w:vAlign w:val="center"/>
          </w:tcPr>
          <w:p>
            <w:pPr>
              <w:pStyle w:val="15"/>
              <w:rPr>
                <w:color w:val="auto"/>
              </w:rPr>
            </w:pPr>
            <w:r>
              <w:rPr>
                <w:color w:val="auto"/>
              </w:rPr>
              <w:t>非财政    拨款结    转结余</w:t>
            </w:r>
          </w:p>
        </w:tc>
        <w:tc>
          <w:tcPr>
            <w:tcW w:w="964"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noWrap w:val="0"/>
            <w:vAlign w:val="center"/>
          </w:tcPr>
          <w:p>
            <w:pPr>
              <w:pStyle w:val="17"/>
              <w:rPr>
                <w:color w:val="auto"/>
              </w:rPr>
            </w:pPr>
          </w:p>
        </w:tc>
        <w:tc>
          <w:tcPr>
            <w:tcW w:w="964" w:type="dxa"/>
            <w:noWrap w:val="0"/>
            <w:vAlign w:val="center"/>
          </w:tcPr>
          <w:p>
            <w:pPr>
              <w:pStyle w:val="16"/>
              <w:rPr>
                <w:color w:val="auto"/>
              </w:rPr>
            </w:pPr>
          </w:p>
        </w:tc>
        <w:tc>
          <w:tcPr>
            <w:tcW w:w="1134" w:type="dxa"/>
            <w:noWrap w:val="0"/>
            <w:vAlign w:val="center"/>
          </w:tcPr>
          <w:p>
            <w:pPr>
              <w:pStyle w:val="17"/>
              <w:rPr>
                <w:color w:val="auto"/>
              </w:rPr>
            </w:pPr>
          </w:p>
        </w:tc>
        <w:tc>
          <w:tcPr>
            <w:tcW w:w="1134" w:type="dxa"/>
            <w:noWrap w:val="0"/>
            <w:vAlign w:val="center"/>
          </w:tcPr>
          <w:p>
            <w:pPr>
              <w:pStyle w:val="17"/>
              <w:rPr>
                <w:color w:val="auto"/>
              </w:rPr>
            </w:pPr>
          </w:p>
        </w:tc>
        <w:tc>
          <w:tcPr>
            <w:tcW w:w="709" w:type="dxa"/>
            <w:noWrap w:val="0"/>
            <w:vAlign w:val="center"/>
          </w:tcPr>
          <w:p>
            <w:pPr>
              <w:pStyle w:val="18"/>
              <w:rPr>
                <w:color w:val="auto"/>
              </w:rPr>
            </w:pPr>
          </w:p>
        </w:tc>
        <w:tc>
          <w:tcPr>
            <w:tcW w:w="850" w:type="dxa"/>
            <w:noWrap w:val="0"/>
            <w:vAlign w:val="center"/>
          </w:tcPr>
          <w:p>
            <w:pPr>
              <w:pStyle w:val="16"/>
              <w:rPr>
                <w:color w:val="auto"/>
              </w:rPr>
            </w:pPr>
          </w:p>
        </w:tc>
        <w:tc>
          <w:tcPr>
            <w:tcW w:w="850"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c>
          <w:tcPr>
            <w:tcW w:w="964" w:type="dxa"/>
            <w:noWrap w:val="0"/>
            <w:vAlign w:val="center"/>
          </w:tcPr>
          <w:p>
            <w:pPr>
              <w:pStyle w:val="16"/>
              <w:rPr>
                <w:color w:val="auto"/>
              </w:rPr>
            </w:pPr>
          </w:p>
        </w:tc>
      </w:tr>
    </w:tbl>
    <w:p>
      <w:pPr>
        <w:spacing w:line="500" w:lineRule="exact"/>
        <w:ind w:firstLine="420"/>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ind w:firstLine="640"/>
        <w:rPr>
          <w:color w:val="auto"/>
        </w:rPr>
      </w:pPr>
      <w:r>
        <w:rPr>
          <w:rFonts w:eastAsia="方正仿宋_GBK"/>
          <w:color w:val="auto"/>
          <w:sz w:val="32"/>
        </w:rPr>
        <w:t xml:space="preserve"> </w:t>
      </w:r>
    </w:p>
    <w:p>
      <w:pPr>
        <w:spacing w:before="10" w:after="10"/>
        <w:ind w:firstLine="640"/>
        <w:outlineLvl w:val="5"/>
        <w:rPr>
          <w:color w:val="auto"/>
        </w:rPr>
      </w:pPr>
      <w:r>
        <w:rPr>
          <w:rFonts w:ascii="黑体" w:hAnsi="黑体" w:eastAsia="黑体" w:cs="黑体"/>
          <w:color w:val="auto"/>
          <w:sz w:val="32"/>
        </w:rPr>
        <w:t>七、国有资产信息</w:t>
      </w:r>
    </w:p>
    <w:p>
      <w:pPr>
        <w:spacing w:line="500" w:lineRule="exact"/>
        <w:ind w:firstLine="560"/>
        <w:rPr>
          <w:rFonts w:hint="eastAsia" w:eastAsia="方正仿宋_GBK"/>
          <w:color w:val="auto"/>
          <w:lang w:eastAsia="zh-CN"/>
        </w:rPr>
      </w:pPr>
      <w:r>
        <w:rPr>
          <w:rFonts w:eastAsia="方正仿宋_GBK"/>
          <w:color w:val="auto"/>
          <w:sz w:val="28"/>
        </w:rPr>
        <w:t>保定市自然资源和规划局满城区分局(自收自支)上年末固定资产（详见下表）。本年度</w:t>
      </w:r>
      <w:r>
        <w:rPr>
          <w:rFonts w:hint="eastAsia" w:eastAsia="方正仿宋_GBK"/>
          <w:color w:val="auto"/>
          <w:sz w:val="28"/>
          <w:lang w:eastAsia="zh-CN"/>
        </w:rPr>
        <w:t>无</w:t>
      </w:r>
      <w:r>
        <w:rPr>
          <w:rFonts w:eastAsia="方正仿宋_GBK"/>
          <w:color w:val="auto"/>
          <w:sz w:val="28"/>
        </w:rPr>
        <w:t>拟购置固定资产</w:t>
      </w:r>
      <w:r>
        <w:rPr>
          <w:rFonts w:hint="eastAsia" w:eastAsia="方正仿宋_GBK"/>
          <w:color w:val="auto"/>
          <w:sz w:val="28"/>
          <w:lang w:eastAsia="zh-CN"/>
        </w:rPr>
        <w:t>计划。</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5"/>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324006保定市自然资源和规划局满城区分局(自收自支)</w:t>
            </w:r>
          </w:p>
        </w:tc>
        <w:tc>
          <w:tcPr>
            <w:tcW w:w="5670"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截止时间：202</w:t>
            </w:r>
            <w:r>
              <w:rPr>
                <w:rFonts w:hint="eastAsia"/>
                <w:color w:val="auto"/>
                <w:lang w:val="en-US" w:eastAsia="zh-CN"/>
              </w:rPr>
              <w:t>0</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5"/>
              <w:rPr>
                <w:color w:val="auto"/>
              </w:rPr>
            </w:pPr>
            <w:r>
              <w:rPr>
                <w:color w:val="auto"/>
              </w:rPr>
              <w:t>项   目</w:t>
            </w:r>
          </w:p>
        </w:tc>
        <w:tc>
          <w:tcPr>
            <w:tcW w:w="2835" w:type="dxa"/>
            <w:noWrap w:val="0"/>
            <w:vAlign w:val="center"/>
          </w:tcPr>
          <w:p>
            <w:pPr>
              <w:pStyle w:val="15"/>
              <w:rPr>
                <w:color w:val="auto"/>
              </w:rPr>
            </w:pPr>
            <w:r>
              <w:rPr>
                <w:color w:val="auto"/>
              </w:rPr>
              <w:t>数量</w:t>
            </w:r>
          </w:p>
        </w:tc>
        <w:tc>
          <w:tcPr>
            <w:tcW w:w="2835" w:type="dxa"/>
            <w:noWrap w:val="0"/>
            <w:vAlign w:val="center"/>
          </w:tcPr>
          <w:p>
            <w:pPr>
              <w:pStyle w:val="15"/>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color w:val="auto"/>
              </w:rPr>
            </w:pPr>
          </w:p>
        </w:tc>
        <w:tc>
          <w:tcPr>
            <w:tcW w:w="2835" w:type="dxa"/>
            <w:noWrap w:val="0"/>
            <w:vAlign w:val="center"/>
          </w:tcPr>
          <w:p>
            <w:pPr>
              <w:pStyle w:val="18"/>
              <w:rPr>
                <w:color w:val="auto"/>
              </w:rPr>
            </w:pPr>
          </w:p>
        </w:tc>
        <w:tc>
          <w:tcPr>
            <w:tcW w:w="2835" w:type="dxa"/>
            <w:noWrap w:val="0"/>
            <w:vAlign w:val="center"/>
          </w:tcPr>
          <w:p>
            <w:pPr>
              <w:pStyle w:val="16"/>
              <w:rPr>
                <w:color w:val="auto"/>
              </w:rPr>
            </w:pPr>
          </w:p>
        </w:tc>
      </w:tr>
    </w:tbl>
    <w:p>
      <w:pPr>
        <w:ind w:firstLine="420"/>
        <w:rPr>
          <w:color w:val="auto"/>
        </w:rPr>
      </w:pPr>
      <w:r>
        <w:rPr>
          <w:rFonts w:ascii="方正书宋_GBK" w:hAnsi="方正书宋_GBK" w:eastAsia="方正书宋_GBK" w:cs="方正书宋_GBK"/>
          <w:color w:val="auto"/>
          <w:sz w:val="21"/>
        </w:rPr>
        <w:t>注：无固定资产占用情况，空表列示。</w:t>
      </w:r>
    </w:p>
    <w:p>
      <w:pPr>
        <w:ind w:firstLine="640"/>
        <w:rPr>
          <w:color w:val="auto"/>
        </w:rPr>
      </w:pPr>
      <w:r>
        <w:rPr>
          <w:rFonts w:eastAsia="方正仿宋_GBK"/>
          <w:color w:val="auto"/>
          <w:sz w:val="32"/>
        </w:rPr>
        <w:t xml:space="preserve"> </w:t>
      </w:r>
    </w:p>
    <w:p>
      <w:pPr>
        <w:spacing w:before="10" w:after="10"/>
        <w:ind w:firstLine="640"/>
        <w:outlineLvl w:val="5"/>
        <w:rPr>
          <w:color w:val="auto"/>
        </w:rPr>
      </w:pPr>
      <w:r>
        <w:rPr>
          <w:rFonts w:ascii="黑体" w:hAnsi="黑体" w:eastAsia="黑体" w:cs="黑体"/>
          <w:color w:val="auto"/>
          <w:sz w:val="32"/>
        </w:rPr>
        <w:t>八、名词解释</w:t>
      </w:r>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区</w:t>
      </w:r>
      <w:r>
        <w:rPr>
          <w:rFonts w:eastAsia="方正仿宋_GBK"/>
          <w:color w:val="auto"/>
          <w:sz w:val="28"/>
        </w:rPr>
        <w:t>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w:t>
      </w:r>
      <w:r>
        <w:rPr>
          <w:rFonts w:hint="eastAsia" w:eastAsia="方正仿宋_GBK"/>
          <w:color w:val="auto"/>
          <w:sz w:val="28"/>
          <w:lang w:eastAsia="zh-CN"/>
        </w:rPr>
        <w:t>区</w:t>
      </w:r>
      <w:r>
        <w:rPr>
          <w:rFonts w:eastAsia="方正仿宋_GBK"/>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5"/>
        <w:rPr>
          <w:color w:val="auto"/>
        </w:rPr>
      </w:pPr>
      <w:r>
        <w:rPr>
          <w:rFonts w:ascii="黑体" w:hAnsi="黑体" w:eastAsia="黑体" w:cs="黑体"/>
          <w:color w:val="auto"/>
          <w:sz w:val="32"/>
        </w:rPr>
        <w:t>九、其他需要说明的事项</w:t>
      </w:r>
    </w:p>
    <w:p>
      <w:pPr>
        <w:spacing w:line="500" w:lineRule="exact"/>
        <w:ind w:firstLine="560"/>
        <w:rPr>
          <w:rFonts w:eastAsia="方正仿宋_GBK"/>
          <w:color w:val="auto"/>
          <w:sz w:val="28"/>
        </w:rPr>
      </w:pPr>
      <w:r>
        <w:rPr>
          <w:rFonts w:eastAsia="方正仿宋_GBK"/>
          <w:color w:val="auto"/>
          <w:sz w:val="28"/>
        </w:rPr>
        <w:t>我单位无其他需要说明的事项。</w:t>
      </w:r>
    </w:p>
    <w:p>
      <w:pPr>
        <w:spacing w:line="500" w:lineRule="exact"/>
        <w:ind w:firstLine="560"/>
        <w:rPr>
          <w:rFonts w:eastAsia="方正仿宋_GBK"/>
          <w:color w:val="auto"/>
          <w:sz w:val="28"/>
        </w:rPr>
      </w:pPr>
    </w:p>
    <w:p>
      <w:pPr>
        <w:spacing w:line="500" w:lineRule="exact"/>
        <w:ind w:firstLine="560"/>
        <w:rPr>
          <w:rFonts w:eastAsia="方正仿宋_GBK"/>
          <w:color w:val="auto"/>
          <w:sz w:val="28"/>
        </w:rPr>
      </w:pPr>
    </w:p>
    <w:p>
      <w:pPr>
        <w:jc w:val="center"/>
        <w:outlineLvl w:val="3"/>
        <w:rPr>
          <w:color w:val="auto"/>
        </w:rPr>
      </w:pPr>
      <w:r>
        <w:rPr>
          <w:rFonts w:hint="eastAsia" w:ascii="方正小标宋_GBK" w:hAnsi="方正小标宋_GBK" w:eastAsia="方正小标宋_GBK" w:cs="方正小标宋_GBK"/>
          <w:color w:val="auto"/>
          <w:sz w:val="44"/>
          <w:lang w:val="en-US" w:eastAsia="zh-CN"/>
        </w:rPr>
        <w:t>五</w:t>
      </w:r>
      <w:r>
        <w:rPr>
          <w:rFonts w:ascii="方正小标宋_GBK" w:hAnsi="方正小标宋_GBK" w:eastAsia="方正小标宋_GBK" w:cs="方正小标宋_GBK"/>
          <w:color w:val="auto"/>
          <w:sz w:val="44"/>
        </w:rPr>
        <w:t>、保定市自然资源和规划局满城区分局(</w:t>
      </w:r>
      <w:r>
        <w:rPr>
          <w:rFonts w:hint="eastAsia" w:ascii="方正小标宋_GBK" w:hAnsi="方正小标宋_GBK" w:eastAsia="方正小标宋_GBK" w:cs="方正小标宋_GBK"/>
          <w:color w:val="auto"/>
          <w:sz w:val="44"/>
        </w:rPr>
        <w:t>国土局部门</w:t>
      </w:r>
      <w:r>
        <w:rPr>
          <w:rFonts w:ascii="方正小标宋_GBK" w:hAnsi="方正小标宋_GBK" w:eastAsia="方正小标宋_GBK" w:cs="方正小标宋_GBK"/>
          <w:color w:val="auto"/>
          <w:sz w:val="44"/>
        </w:rPr>
        <w:t>)收支预算</w:t>
      </w:r>
    </w:p>
    <w:p>
      <w:pPr>
        <w:jc w:val="center"/>
        <w:outlineLvl w:val="4"/>
        <w:rPr>
          <w:rFonts w:ascii="方正小标宋_GBK" w:hAnsi="方正小标宋_GBK" w:eastAsia="方正小标宋_GBK" w:cs="方正小标宋_GBK"/>
          <w:color w:val="auto"/>
          <w:sz w:val="36"/>
        </w:rPr>
      </w:pPr>
      <w:r>
        <w:rPr>
          <w:rFonts w:ascii="方正小标宋_GBK" w:hAnsi="方正小标宋_GBK" w:eastAsia="方正小标宋_GBK" w:cs="方正小标宋_GBK"/>
          <w:color w:val="auto"/>
          <w:sz w:val="36"/>
        </w:rPr>
        <w:t>单位预算收支总表</w:t>
      </w:r>
    </w:p>
    <w:tbl>
      <w:tblPr>
        <w:tblStyle w:val="5"/>
        <w:tblW w:w="132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4"/>
        <w:gridCol w:w="6565"/>
        <w:gridCol w:w="57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539" w:type="dxa"/>
            <w:gridSpan w:val="2"/>
            <w:tcBorders>
              <w:top w:val="single" w:color="FFFFFF" w:sz="6" w:space="0"/>
              <w:left w:val="single" w:color="FFFFFF" w:sz="6" w:space="0"/>
              <w:right w:val="single" w:color="FFFFFF" w:sz="6" w:space="0"/>
            </w:tcBorders>
            <w:noWrap w:val="0"/>
            <w:vAlign w:val="center"/>
          </w:tcPr>
          <w:p>
            <w:pPr>
              <w:spacing w:line="240" w:lineRule="auto"/>
              <w:ind w:left="1680" w:hanging="1680" w:hangingChars="700"/>
              <w:jc w:val="left"/>
              <w:rPr>
                <w:rFonts w:hint="default" w:ascii="方正小标宋_GBK" w:eastAsia="方正小标宋_GBK"/>
                <w:color w:val="auto"/>
                <w:sz w:val="24"/>
                <w:lang w:val="en-US" w:eastAsia="zh-CN"/>
              </w:rPr>
            </w:pPr>
            <w:r>
              <w:rPr>
                <w:rFonts w:ascii="方正小标宋_GBK" w:eastAsia="方正小标宋_GBK"/>
                <w:color w:val="auto"/>
                <w:sz w:val="24"/>
              </w:rPr>
              <w:t>324007</w:t>
            </w:r>
            <w:r>
              <w:rPr>
                <w:color w:val="auto"/>
              </w:rPr>
              <w:t>保定市自然资源和规划局满城区分局(</w:t>
            </w:r>
            <w:r>
              <w:rPr>
                <w:rFonts w:hint="eastAsia" w:eastAsia="宋体"/>
                <w:color w:val="auto"/>
                <w:lang w:val="en-US" w:eastAsia="zh-CN"/>
              </w:rPr>
              <w:t>国土局部门</w:t>
            </w:r>
            <w:r>
              <w:rPr>
                <w:color w:val="auto"/>
              </w:rPr>
              <w:t>)</w:t>
            </w:r>
          </w:p>
        </w:tc>
        <w:tc>
          <w:tcPr>
            <w:tcW w:w="5751" w:type="dxa"/>
            <w:tcBorders>
              <w:top w:val="single" w:color="FFFFFF" w:sz="6" w:space="0"/>
              <w:left w:val="single" w:color="FFFFFF" w:sz="6" w:space="0"/>
              <w:right w:val="single" w:color="FFFFFF" w:sz="6" w:space="0"/>
            </w:tcBorders>
            <w:noWrap w:val="0"/>
            <w:vAlign w:val="center"/>
          </w:tcPr>
          <w:p>
            <w:pPr>
              <w:spacing w:line="240" w:lineRule="auto"/>
              <w:ind w:left="0" w:firstLine="0" w:firstLineChars="0"/>
              <w:jc w:val="left"/>
              <w:rPr>
                <w:rFonts w:ascii="方正书宋_GBK" w:eastAsia="方正书宋_GBK"/>
                <w:color w:val="auto"/>
                <w:sz w:val="24"/>
              </w:rPr>
            </w:pPr>
            <w:r>
              <w:rPr>
                <w:color w:val="auto"/>
              </w:rPr>
              <w:t>预算年度：202</w:t>
            </w:r>
            <w:r>
              <w:rPr>
                <w:rFonts w:hint="eastAsia"/>
                <w:color w:val="auto"/>
                <w:lang w:val="en-US" w:eastAsia="zh-CN"/>
              </w:rPr>
              <w:t>1</w:t>
            </w:r>
            <w:r>
              <w:rPr>
                <w:rFonts w:hint="eastAsia" w:eastAsia="宋体"/>
                <w:color w:val="auto"/>
                <w:lang w:val="en-US" w:eastAsia="zh-CN"/>
              </w:rPr>
              <w:t xml:space="preserve">                                 </w:t>
            </w:r>
            <w:r>
              <w:rPr>
                <w:rFonts w:hint="eastAsia" w:ascii="方正书宋_GBK" w:eastAsia="方正书宋_GBK"/>
                <w:color w:val="auto"/>
                <w:sz w:val="24"/>
              </w:rPr>
              <w:t>单位：万元</w:t>
            </w:r>
            <w:r>
              <w:rPr>
                <w:rFonts w:hint="eastAsia" w:eastAsia="宋体"/>
                <w:color w:val="auto"/>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7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项</w:t>
            </w:r>
            <w:r>
              <w:rPr>
                <w:rFonts w:ascii="方正书宋_GBK" w:eastAsia="方正书宋_GBK"/>
                <w:b/>
                <w:color w:val="auto"/>
              </w:rPr>
              <w:t xml:space="preserve">  </w:t>
            </w:r>
            <w:r>
              <w:rPr>
                <w:rFonts w:hint="eastAsia" w:ascii="方正书宋_GBK" w:eastAsia="方正书宋_GBK"/>
                <w:b/>
                <w:color w:val="auto"/>
              </w:rPr>
              <w:t>目代</w:t>
            </w:r>
            <w:r>
              <w:rPr>
                <w:rFonts w:ascii="方正书宋_GBK" w:eastAsia="方正书宋_GBK"/>
                <w:b/>
                <w:color w:val="auto"/>
              </w:rPr>
              <w:t xml:space="preserve">  </w:t>
            </w:r>
            <w:r>
              <w:rPr>
                <w:rFonts w:hint="eastAsia" w:ascii="方正书宋_GBK" w:eastAsia="方正书宋_GBK"/>
                <w:b/>
                <w:color w:val="auto"/>
              </w:rPr>
              <w:t>码</w:t>
            </w:r>
          </w:p>
        </w:tc>
        <w:tc>
          <w:tcPr>
            <w:tcW w:w="6565"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预算收支项目</w:t>
            </w:r>
          </w:p>
        </w:tc>
        <w:tc>
          <w:tcPr>
            <w:tcW w:w="5751"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预算收入</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本年收入</w:t>
            </w:r>
          </w:p>
        </w:tc>
        <w:tc>
          <w:tcPr>
            <w:tcW w:w="5751" w:type="dxa"/>
            <w:noWrap w:val="0"/>
            <w:vAlign w:val="center"/>
          </w:tcPr>
          <w:p>
            <w:pPr>
              <w:spacing w:line="300" w:lineRule="exact"/>
              <w:jc w:val="right"/>
              <w:rPr>
                <w:rFonts w:ascii="方正书宋_GBK" w:eastAsia="方正书宋_GBK"/>
                <w:b/>
                <w:color w:val="auto"/>
              </w:rPr>
            </w:pPr>
            <w:r>
              <w:rPr>
                <w:rFonts w:ascii="方正书宋_GBK" w:eastAsia="方正书宋_GBK"/>
                <w:b/>
                <w:color w:val="auto"/>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一般公共预算拨款</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其中：财政拨款</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行政事业性收费</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专项收入</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国有资源（资产）有偿使用收入</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政府住房基金收入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上级一般公共预算安排转移支付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一般债券</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其他</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基金预算拨款</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ascii="方正书宋_GBK" w:eastAsia="方正书宋_GBK"/>
                <w:color w:val="auto"/>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其中：政府性基金收入</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r>
              <w:rPr>
                <w:rFonts w:ascii="方正书宋_GBK" w:eastAsia="方正书宋_GBK"/>
                <w:color w:val="auto"/>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专项债券对应项目专项收入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上级政府性基金预算安排转移支付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专项债券</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3</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国有资本经营预算拨款</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其中：国有资本经营收入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上级国有资本经营预算安排转移支付</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4</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财政专户核拨</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5</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其他来源收入（单位资金）</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其中：事业收入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上级补助收入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附属单位上缴收入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事业单位经营收入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其他收入</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上年结转结余</w:t>
            </w:r>
          </w:p>
        </w:tc>
        <w:tc>
          <w:tcPr>
            <w:tcW w:w="5751"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一般公共预算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政府性基金预算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3</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国有资本经营预算</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4</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财政专户核拨</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5</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其他来源收入（单位资金）</w:t>
            </w:r>
          </w:p>
        </w:tc>
        <w:tc>
          <w:tcPr>
            <w:tcW w:w="5751"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预算支出</w:t>
            </w:r>
          </w:p>
        </w:tc>
        <w:tc>
          <w:tcPr>
            <w:tcW w:w="5751" w:type="dxa"/>
            <w:noWrap w:val="0"/>
            <w:vAlign w:val="center"/>
          </w:tcPr>
          <w:p>
            <w:pPr>
              <w:spacing w:line="300" w:lineRule="exact"/>
              <w:jc w:val="right"/>
              <w:rPr>
                <w:rFonts w:hint="default" w:ascii="方正书宋_GBK" w:eastAsia="方正书宋_GBK"/>
                <w:b/>
                <w:color w:val="auto"/>
                <w:lang w:val="en-US" w:eastAsia="zh-CN"/>
              </w:rPr>
            </w:pPr>
            <w:r>
              <w:rPr>
                <w:rFonts w:ascii="方正书宋_GBK" w:eastAsia="方正书宋_GBK"/>
                <w:b/>
                <w:color w:val="auto"/>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本年收入安排</w:t>
            </w:r>
          </w:p>
        </w:tc>
        <w:tc>
          <w:tcPr>
            <w:tcW w:w="5751" w:type="dxa"/>
            <w:noWrap w:val="0"/>
            <w:vAlign w:val="center"/>
          </w:tcPr>
          <w:p>
            <w:pPr>
              <w:spacing w:line="300" w:lineRule="exact"/>
              <w:jc w:val="right"/>
              <w:rPr>
                <w:rFonts w:ascii="方正书宋_GBK" w:hAnsi="Times New Roman" w:eastAsia="方正书宋_GBK" w:cs="Times New Roman"/>
                <w:b/>
                <w:color w:val="auto"/>
                <w:sz w:val="24"/>
                <w:szCs w:val="24"/>
                <w:lang w:val="en-US" w:eastAsia="uk-UA" w:bidi="ar-SA"/>
              </w:rPr>
            </w:pPr>
            <w:r>
              <w:rPr>
                <w:rFonts w:ascii="方正书宋_GBK" w:eastAsia="方正书宋_GBK"/>
                <w:b/>
                <w:color w:val="auto"/>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1</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基本支出</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其中：人员经费</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日常公用经费</w:t>
            </w:r>
          </w:p>
        </w:tc>
        <w:tc>
          <w:tcPr>
            <w:tcW w:w="57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color w:val="auto"/>
              </w:rPr>
            </w:pPr>
            <w:r>
              <w:rPr>
                <w:rFonts w:ascii="方正书宋_GBK" w:eastAsia="方正书宋_GBK"/>
                <w:color w:val="auto"/>
              </w:rPr>
              <w:t>2</w:t>
            </w:r>
          </w:p>
        </w:tc>
        <w:tc>
          <w:tcPr>
            <w:tcW w:w="6565"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项目支出</w:t>
            </w:r>
          </w:p>
        </w:tc>
        <w:tc>
          <w:tcPr>
            <w:tcW w:w="57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r>
              <w:rPr>
                <w:rFonts w:hint="eastAsia" w:ascii="方正书宋_GBK" w:eastAsia="方正书宋_GBK" w:cs="Times New Roman"/>
                <w:color w:val="auto"/>
                <w:sz w:val="24"/>
                <w:szCs w:val="24"/>
                <w:lang w:val="en-US" w:eastAsia="zh-CN" w:bidi="ar-SA"/>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4" w:type="dxa"/>
            <w:noWrap w:val="0"/>
            <w:vAlign w:val="center"/>
          </w:tcPr>
          <w:p>
            <w:pPr>
              <w:spacing w:line="300" w:lineRule="exact"/>
              <w:jc w:val="center"/>
              <w:rPr>
                <w:rFonts w:ascii="方正书宋_GBK" w:eastAsia="方正书宋_GBK"/>
                <w:b/>
                <w:color w:val="auto"/>
              </w:rPr>
            </w:pPr>
          </w:p>
        </w:tc>
        <w:tc>
          <w:tcPr>
            <w:tcW w:w="6565" w:type="dxa"/>
            <w:noWrap w:val="0"/>
            <w:vAlign w:val="center"/>
          </w:tcPr>
          <w:p>
            <w:pPr>
              <w:spacing w:line="300" w:lineRule="exact"/>
              <w:jc w:val="left"/>
              <w:rPr>
                <w:rFonts w:hint="eastAsia" w:ascii="方正书宋_GBK" w:eastAsia="方正书宋_GBK"/>
                <w:b/>
                <w:color w:val="auto"/>
              </w:rPr>
            </w:pPr>
            <w:r>
              <w:rPr>
                <w:rFonts w:hint="eastAsia" w:ascii="方正书宋_GBK" w:eastAsia="方正书宋_GBK"/>
                <w:b/>
                <w:color w:val="auto"/>
              </w:rPr>
              <w:t>　　上年结转安排</w:t>
            </w:r>
          </w:p>
        </w:tc>
        <w:tc>
          <w:tcPr>
            <w:tcW w:w="5751" w:type="dxa"/>
            <w:noWrap w:val="0"/>
            <w:vAlign w:val="center"/>
          </w:tcPr>
          <w:p>
            <w:pPr>
              <w:spacing w:line="300" w:lineRule="exact"/>
              <w:jc w:val="right"/>
              <w:rPr>
                <w:rFonts w:ascii="方正书宋_GBK" w:eastAsia="方正书宋_GBK"/>
                <w:b/>
                <w:color w:val="auto"/>
              </w:rPr>
            </w:pPr>
          </w:p>
        </w:tc>
      </w:tr>
    </w:tbl>
    <w:p>
      <w:pPr>
        <w:jc w:val="center"/>
        <w:outlineLvl w:val="4"/>
        <w:rPr>
          <w:rFonts w:ascii="方正小标宋_GBK" w:hAnsi="方正小标宋_GBK" w:eastAsia="方正小标宋_GBK" w:cs="方正小标宋_GBK"/>
          <w:color w:val="auto"/>
          <w:sz w:val="36"/>
        </w:rPr>
      </w:pPr>
    </w:p>
    <w:p>
      <w:pPr>
        <w:jc w:val="center"/>
        <w:outlineLvl w:val="4"/>
        <w:rPr>
          <w:color w:val="auto"/>
        </w:rPr>
      </w:pPr>
      <w:r>
        <w:rPr>
          <w:rFonts w:ascii="方正小标宋_GBK" w:hAnsi="方正小标宋_GBK" w:eastAsia="方正小标宋_GBK" w:cs="方正小标宋_GBK"/>
          <w:color w:val="auto"/>
          <w:sz w:val="36"/>
        </w:rPr>
        <w:t>单位预算收入总表</w:t>
      </w:r>
    </w:p>
    <w:tbl>
      <w:tblPr>
        <w:tblStyle w:val="5"/>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spacing w:line="240" w:lineRule="auto"/>
              <w:ind w:left="1680" w:leftChars="0" w:hanging="1680" w:hangingChars="700"/>
              <w:jc w:val="left"/>
              <w:rPr>
                <w:rFonts w:hint="default" w:ascii="方正小标宋_GBK" w:hAnsi="Times New Roman" w:eastAsia="方正小标宋_GBK" w:cs="Times New Roman"/>
                <w:color w:val="auto"/>
                <w:sz w:val="24"/>
                <w:szCs w:val="24"/>
                <w:lang w:val="en-US" w:eastAsia="zh-CN" w:bidi="ar-SA"/>
              </w:rPr>
            </w:pPr>
            <w:r>
              <w:rPr>
                <w:rFonts w:ascii="方正小标宋_GBK" w:eastAsia="方正小标宋_GBK"/>
                <w:color w:val="auto"/>
                <w:sz w:val="24"/>
              </w:rPr>
              <w:t>324007</w:t>
            </w:r>
            <w:r>
              <w:rPr>
                <w:color w:val="auto"/>
              </w:rPr>
              <w:t>保定市自然资源和规划局满城区分局(</w:t>
            </w:r>
            <w:r>
              <w:rPr>
                <w:rFonts w:hint="eastAsia" w:eastAsia="宋体"/>
                <w:color w:val="auto"/>
                <w:lang w:val="en-US" w:eastAsia="zh-CN"/>
              </w:rPr>
              <w:t>国土局部门</w:t>
            </w:r>
            <w:r>
              <w:rPr>
                <w:color w:val="auto"/>
              </w:rPr>
              <w:t>)</w:t>
            </w:r>
          </w:p>
        </w:tc>
        <w:tc>
          <w:tcPr>
            <w:tcW w:w="3402" w:type="dxa"/>
            <w:gridSpan w:val="3"/>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670" w:type="dxa"/>
            <w:gridSpan w:val="5"/>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5"/>
              <w:rPr>
                <w:color w:val="auto"/>
              </w:rPr>
            </w:pPr>
            <w:r>
              <w:rPr>
                <w:color w:val="auto"/>
              </w:rPr>
              <w:t>序号</w:t>
            </w:r>
          </w:p>
        </w:tc>
        <w:tc>
          <w:tcPr>
            <w:tcW w:w="2551" w:type="dxa"/>
            <w:gridSpan w:val="2"/>
            <w:noWrap w:val="0"/>
            <w:vAlign w:val="center"/>
          </w:tcPr>
          <w:p>
            <w:pPr>
              <w:pStyle w:val="15"/>
              <w:rPr>
                <w:color w:val="auto"/>
              </w:rPr>
            </w:pPr>
            <w:r>
              <w:rPr>
                <w:color w:val="auto"/>
              </w:rPr>
              <w:t>功能分类科目</w:t>
            </w:r>
          </w:p>
        </w:tc>
        <w:tc>
          <w:tcPr>
            <w:tcW w:w="1134" w:type="dxa"/>
            <w:vMerge w:val="restart"/>
            <w:noWrap w:val="0"/>
            <w:vAlign w:val="center"/>
          </w:tcPr>
          <w:p>
            <w:pPr>
              <w:pStyle w:val="15"/>
              <w:rPr>
                <w:color w:val="auto"/>
              </w:rPr>
            </w:pPr>
            <w:r>
              <w:rPr>
                <w:color w:val="auto"/>
              </w:rPr>
              <w:t>合计</w:t>
            </w:r>
          </w:p>
        </w:tc>
        <w:tc>
          <w:tcPr>
            <w:tcW w:w="9072" w:type="dxa"/>
            <w:gridSpan w:val="8"/>
            <w:noWrap w:val="0"/>
            <w:vAlign w:val="center"/>
          </w:tcPr>
          <w:p>
            <w:pPr>
              <w:pStyle w:val="15"/>
              <w:rPr>
                <w:color w:val="auto"/>
              </w:rPr>
            </w:pPr>
            <w:r>
              <w:rPr>
                <w:color w:val="auto"/>
              </w:rPr>
              <w:t>本年收入</w:t>
            </w:r>
          </w:p>
        </w:tc>
        <w:tc>
          <w:tcPr>
            <w:tcW w:w="1134" w:type="dxa"/>
            <w:vMerge w:val="restart"/>
            <w:noWrap w:val="0"/>
            <w:vAlign w:val="center"/>
          </w:tcPr>
          <w:p>
            <w:pPr>
              <w:pStyle w:val="15"/>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pPr>
              <w:rPr>
                <w:color w:val="auto"/>
              </w:rPr>
            </w:pPr>
          </w:p>
        </w:tc>
        <w:tc>
          <w:tcPr>
            <w:tcW w:w="992" w:type="dxa"/>
            <w:noWrap w:val="0"/>
            <w:vAlign w:val="center"/>
          </w:tcPr>
          <w:p>
            <w:pPr>
              <w:pStyle w:val="15"/>
              <w:rPr>
                <w:color w:val="auto"/>
              </w:rPr>
            </w:pPr>
            <w:r>
              <w:rPr>
                <w:color w:val="auto"/>
              </w:rPr>
              <w:t>科目    编码</w:t>
            </w:r>
          </w:p>
        </w:tc>
        <w:tc>
          <w:tcPr>
            <w:tcW w:w="1559" w:type="dxa"/>
            <w:noWrap w:val="0"/>
            <w:vAlign w:val="center"/>
          </w:tcPr>
          <w:p>
            <w:pPr>
              <w:pStyle w:val="15"/>
              <w:rPr>
                <w:color w:val="auto"/>
              </w:rPr>
            </w:pPr>
            <w:r>
              <w:rPr>
                <w:color w:val="auto"/>
              </w:rPr>
              <w:t>科目名称</w:t>
            </w:r>
          </w:p>
        </w:tc>
        <w:tc>
          <w:tcPr>
            <w:tcW w:w="1134" w:type="dxa"/>
            <w:vMerge w:val="continue"/>
            <w:noWrap w:val="0"/>
            <w:vAlign w:val="top"/>
          </w:tcPr>
          <w:p>
            <w:pPr>
              <w:rPr>
                <w:color w:val="auto"/>
              </w:rPr>
            </w:pPr>
          </w:p>
        </w:tc>
        <w:tc>
          <w:tcPr>
            <w:tcW w:w="1134" w:type="dxa"/>
            <w:noWrap w:val="0"/>
            <w:vAlign w:val="center"/>
          </w:tcPr>
          <w:p>
            <w:pPr>
              <w:pStyle w:val="15"/>
              <w:rPr>
                <w:color w:val="auto"/>
              </w:rPr>
            </w:pPr>
            <w:r>
              <w:rPr>
                <w:color w:val="auto"/>
              </w:rPr>
              <w:t>小计</w:t>
            </w:r>
          </w:p>
        </w:tc>
        <w:tc>
          <w:tcPr>
            <w:tcW w:w="1134" w:type="dxa"/>
            <w:noWrap w:val="0"/>
            <w:vAlign w:val="center"/>
          </w:tcPr>
          <w:p>
            <w:pPr>
              <w:pStyle w:val="15"/>
              <w:rPr>
                <w:color w:val="auto"/>
              </w:rPr>
            </w:pPr>
            <w:r>
              <w:rPr>
                <w:color w:val="auto"/>
              </w:rPr>
              <w:t>财政拨款 收入</w:t>
            </w:r>
          </w:p>
        </w:tc>
        <w:tc>
          <w:tcPr>
            <w:tcW w:w="1134" w:type="dxa"/>
            <w:noWrap w:val="0"/>
            <w:vAlign w:val="center"/>
          </w:tcPr>
          <w:p>
            <w:pPr>
              <w:pStyle w:val="15"/>
              <w:rPr>
                <w:color w:val="auto"/>
              </w:rPr>
            </w:pPr>
            <w:r>
              <w:rPr>
                <w:color w:val="auto"/>
              </w:rPr>
              <w:t>财政专户 收入</w:t>
            </w:r>
          </w:p>
        </w:tc>
        <w:tc>
          <w:tcPr>
            <w:tcW w:w="1134" w:type="dxa"/>
            <w:noWrap w:val="0"/>
            <w:vAlign w:val="center"/>
          </w:tcPr>
          <w:p>
            <w:pPr>
              <w:pStyle w:val="15"/>
              <w:rPr>
                <w:color w:val="auto"/>
              </w:rPr>
            </w:pPr>
            <w:r>
              <w:rPr>
                <w:color w:val="auto"/>
              </w:rPr>
              <w:t>事业收入</w:t>
            </w:r>
          </w:p>
        </w:tc>
        <w:tc>
          <w:tcPr>
            <w:tcW w:w="1134" w:type="dxa"/>
            <w:noWrap w:val="0"/>
            <w:vAlign w:val="center"/>
          </w:tcPr>
          <w:p>
            <w:pPr>
              <w:pStyle w:val="15"/>
              <w:rPr>
                <w:color w:val="auto"/>
              </w:rPr>
            </w:pPr>
            <w:r>
              <w:rPr>
                <w:color w:val="auto"/>
              </w:rPr>
              <w:t>经营收入</w:t>
            </w:r>
          </w:p>
        </w:tc>
        <w:tc>
          <w:tcPr>
            <w:tcW w:w="1134" w:type="dxa"/>
            <w:noWrap w:val="0"/>
            <w:vAlign w:val="center"/>
          </w:tcPr>
          <w:p>
            <w:pPr>
              <w:pStyle w:val="15"/>
              <w:rPr>
                <w:color w:val="auto"/>
              </w:rPr>
            </w:pPr>
            <w:r>
              <w:rPr>
                <w:color w:val="auto"/>
              </w:rPr>
              <w:t>上级补助收入</w:t>
            </w:r>
          </w:p>
        </w:tc>
        <w:tc>
          <w:tcPr>
            <w:tcW w:w="1134" w:type="dxa"/>
            <w:noWrap w:val="0"/>
            <w:vAlign w:val="center"/>
          </w:tcPr>
          <w:p>
            <w:pPr>
              <w:pStyle w:val="15"/>
              <w:rPr>
                <w:color w:val="auto"/>
              </w:rPr>
            </w:pPr>
            <w:r>
              <w:rPr>
                <w:color w:val="auto"/>
              </w:rPr>
              <w:t>附属单位上缴收入</w:t>
            </w:r>
          </w:p>
        </w:tc>
        <w:tc>
          <w:tcPr>
            <w:tcW w:w="1134" w:type="dxa"/>
            <w:noWrap w:val="0"/>
            <w:vAlign w:val="center"/>
          </w:tcPr>
          <w:p>
            <w:pPr>
              <w:pStyle w:val="15"/>
              <w:rPr>
                <w:color w:val="auto"/>
              </w:rPr>
            </w:pPr>
            <w:r>
              <w:rPr>
                <w:color w:val="auto"/>
              </w:rPr>
              <w:t>其他收入</w:t>
            </w:r>
          </w:p>
        </w:tc>
        <w:tc>
          <w:tcPr>
            <w:tcW w:w="1134"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5"/>
              <w:rPr>
                <w:color w:val="auto"/>
              </w:rPr>
            </w:pPr>
            <w:r>
              <w:rPr>
                <w:color w:val="auto"/>
              </w:rPr>
              <w:t>栏次</w:t>
            </w:r>
          </w:p>
        </w:tc>
        <w:tc>
          <w:tcPr>
            <w:tcW w:w="992" w:type="dxa"/>
            <w:noWrap w:val="0"/>
            <w:vAlign w:val="center"/>
          </w:tcPr>
          <w:p>
            <w:pPr>
              <w:pStyle w:val="15"/>
              <w:rPr>
                <w:color w:val="auto"/>
              </w:rPr>
            </w:pPr>
            <w:r>
              <w:rPr>
                <w:color w:val="auto"/>
              </w:rPr>
              <w:t>1</w:t>
            </w:r>
          </w:p>
        </w:tc>
        <w:tc>
          <w:tcPr>
            <w:tcW w:w="1559" w:type="dxa"/>
            <w:noWrap w:val="0"/>
            <w:vAlign w:val="center"/>
          </w:tcPr>
          <w:p>
            <w:pPr>
              <w:pStyle w:val="15"/>
              <w:rPr>
                <w:color w:val="auto"/>
              </w:rPr>
            </w:pPr>
            <w:r>
              <w:rPr>
                <w:color w:val="auto"/>
              </w:rPr>
              <w:t>2</w:t>
            </w:r>
          </w:p>
        </w:tc>
        <w:tc>
          <w:tcPr>
            <w:tcW w:w="1134" w:type="dxa"/>
            <w:noWrap w:val="0"/>
            <w:vAlign w:val="center"/>
          </w:tcPr>
          <w:p>
            <w:pPr>
              <w:pStyle w:val="15"/>
              <w:rPr>
                <w:color w:val="auto"/>
              </w:rPr>
            </w:pPr>
            <w:r>
              <w:rPr>
                <w:color w:val="auto"/>
              </w:rPr>
              <w:t>3</w:t>
            </w:r>
          </w:p>
        </w:tc>
        <w:tc>
          <w:tcPr>
            <w:tcW w:w="1134" w:type="dxa"/>
            <w:noWrap w:val="0"/>
            <w:vAlign w:val="center"/>
          </w:tcPr>
          <w:p>
            <w:pPr>
              <w:pStyle w:val="15"/>
              <w:rPr>
                <w:color w:val="auto"/>
              </w:rPr>
            </w:pPr>
            <w:r>
              <w:rPr>
                <w:color w:val="auto"/>
              </w:rPr>
              <w:t>4</w:t>
            </w:r>
          </w:p>
        </w:tc>
        <w:tc>
          <w:tcPr>
            <w:tcW w:w="1134" w:type="dxa"/>
            <w:noWrap w:val="0"/>
            <w:vAlign w:val="center"/>
          </w:tcPr>
          <w:p>
            <w:pPr>
              <w:pStyle w:val="15"/>
              <w:rPr>
                <w:color w:val="auto"/>
              </w:rPr>
            </w:pPr>
            <w:r>
              <w:rPr>
                <w:color w:val="auto"/>
              </w:rPr>
              <w:t>5</w:t>
            </w:r>
          </w:p>
        </w:tc>
        <w:tc>
          <w:tcPr>
            <w:tcW w:w="1134" w:type="dxa"/>
            <w:noWrap w:val="0"/>
            <w:vAlign w:val="center"/>
          </w:tcPr>
          <w:p>
            <w:pPr>
              <w:pStyle w:val="15"/>
              <w:rPr>
                <w:color w:val="auto"/>
              </w:rPr>
            </w:pPr>
            <w:r>
              <w:rPr>
                <w:color w:val="auto"/>
              </w:rPr>
              <w:t>6</w:t>
            </w:r>
          </w:p>
        </w:tc>
        <w:tc>
          <w:tcPr>
            <w:tcW w:w="1134" w:type="dxa"/>
            <w:noWrap w:val="0"/>
            <w:vAlign w:val="center"/>
          </w:tcPr>
          <w:p>
            <w:pPr>
              <w:pStyle w:val="15"/>
              <w:rPr>
                <w:color w:val="auto"/>
              </w:rPr>
            </w:pPr>
            <w:r>
              <w:rPr>
                <w:color w:val="auto"/>
              </w:rPr>
              <w:t>7</w:t>
            </w:r>
          </w:p>
        </w:tc>
        <w:tc>
          <w:tcPr>
            <w:tcW w:w="1134" w:type="dxa"/>
            <w:noWrap w:val="0"/>
            <w:vAlign w:val="center"/>
          </w:tcPr>
          <w:p>
            <w:pPr>
              <w:pStyle w:val="15"/>
              <w:rPr>
                <w:color w:val="auto"/>
              </w:rPr>
            </w:pPr>
            <w:r>
              <w:rPr>
                <w:color w:val="auto"/>
              </w:rPr>
              <w:t>8</w:t>
            </w:r>
          </w:p>
        </w:tc>
        <w:tc>
          <w:tcPr>
            <w:tcW w:w="1134" w:type="dxa"/>
            <w:noWrap w:val="0"/>
            <w:vAlign w:val="center"/>
          </w:tcPr>
          <w:p>
            <w:pPr>
              <w:pStyle w:val="15"/>
              <w:rPr>
                <w:color w:val="auto"/>
              </w:rPr>
            </w:pPr>
            <w:r>
              <w:rPr>
                <w:color w:val="auto"/>
              </w:rPr>
              <w:t>9</w:t>
            </w:r>
          </w:p>
        </w:tc>
        <w:tc>
          <w:tcPr>
            <w:tcW w:w="1134" w:type="dxa"/>
            <w:noWrap w:val="0"/>
            <w:vAlign w:val="center"/>
          </w:tcPr>
          <w:p>
            <w:pPr>
              <w:pStyle w:val="15"/>
              <w:rPr>
                <w:color w:val="auto"/>
              </w:rPr>
            </w:pPr>
            <w:r>
              <w:rPr>
                <w:color w:val="auto"/>
              </w:rPr>
              <w:t>10</w:t>
            </w:r>
          </w:p>
        </w:tc>
        <w:tc>
          <w:tcPr>
            <w:tcW w:w="1134" w:type="dxa"/>
            <w:noWrap w:val="0"/>
            <w:vAlign w:val="center"/>
          </w:tcPr>
          <w:p>
            <w:pPr>
              <w:pStyle w:val="15"/>
              <w:rPr>
                <w:color w:val="auto"/>
              </w:rPr>
            </w:pPr>
            <w:r>
              <w:rPr>
                <w:color w:val="auto"/>
              </w:rPr>
              <w:t>11</w:t>
            </w:r>
          </w:p>
        </w:tc>
        <w:tc>
          <w:tcPr>
            <w:tcW w:w="1134" w:type="dxa"/>
            <w:noWrap w:val="0"/>
            <w:vAlign w:val="center"/>
          </w:tcPr>
          <w:p>
            <w:pPr>
              <w:pStyle w:val="15"/>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992" w:type="dxa"/>
            <w:noWrap w:val="0"/>
            <w:vAlign w:val="center"/>
          </w:tcPr>
          <w:p>
            <w:pPr>
              <w:jc w:val="left"/>
              <w:rPr>
                <w:color w:val="auto"/>
              </w:rPr>
            </w:pP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b/>
                <w:color w:val="auto"/>
                <w:lang w:val="en-US" w:eastAsia="zh-CN"/>
              </w:rPr>
              <w:t>5000</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b/>
                <w:color w:val="auto"/>
                <w:lang w:val="en-US" w:eastAsia="zh-CN"/>
              </w:rPr>
              <w:t>5000</w:t>
            </w:r>
          </w:p>
        </w:tc>
        <w:tc>
          <w:tcPr>
            <w:tcW w:w="1134" w:type="dxa"/>
            <w:noWrap w:val="0"/>
            <w:vAlign w:val="center"/>
          </w:tcPr>
          <w:p>
            <w:pPr>
              <w:pStyle w:val="20"/>
              <w:rPr>
                <w:rFonts w:hint="default" w:eastAsia="方正书宋_GBK"/>
                <w:color w:val="auto"/>
                <w:lang w:val="en-US" w:eastAsia="zh-CN"/>
              </w:rPr>
            </w:pPr>
            <w:r>
              <w:rPr>
                <w:rFonts w:hint="eastAsia"/>
                <w:color w:val="auto"/>
                <w:lang w:val="en-US" w:eastAsia="zh-CN"/>
              </w:rPr>
              <w:t>5000</w:t>
            </w: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c>
          <w:tcPr>
            <w:tcW w:w="1134"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eastAsia="方正书宋_GBK"/>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城乡社区规划与管理</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b/>
                <w:color w:val="auto"/>
                <w:lang w:val="en-US" w:eastAsia="zh-CN"/>
              </w:rPr>
              <w:t>5000</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b/>
                <w:color w:val="auto"/>
                <w:lang w:val="en-US" w:eastAsia="zh-CN"/>
              </w:rPr>
              <w:t>5000</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5000</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2120201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城乡社区规划与管理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城乡社区公共设施</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2120399</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征地和拆迁补偿支出</w:t>
            </w:r>
          </w:p>
        </w:tc>
        <w:tc>
          <w:tcPr>
            <w:tcW w:w="1134" w:type="dxa"/>
            <w:noWrap w:val="0"/>
            <w:vAlign w:val="center"/>
          </w:tcPr>
          <w:p>
            <w:pPr>
              <w:pStyle w:val="20"/>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20"/>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20"/>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b/>
                <w:color w:val="auto"/>
                <w:lang w:val="en-US" w:eastAsia="zh-CN"/>
              </w:rPr>
              <w:t>5000</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b/>
                <w:color w:val="auto"/>
                <w:lang w:val="en-US" w:eastAsia="zh-CN"/>
              </w:rPr>
              <w:t>5000</w:t>
            </w:r>
          </w:p>
        </w:tc>
        <w:tc>
          <w:tcPr>
            <w:tcW w:w="1134"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color w:val="auto"/>
                <w:lang w:val="en-US" w:eastAsia="zh-CN"/>
              </w:rPr>
              <w:t>5000</w:t>
            </w: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21210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2121002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土地开发支出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农林水支出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农业农村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2130135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林业和草原</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2130205</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森林资源培育</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技术推广与转化</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2130209</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森林生态效益补偿</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2130234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林业草原防灾减灾</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自然资源事务</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行政运行</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一般行政管理事务</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自然资源规划及管理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自然资源利用与保护</w:t>
            </w: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2200113</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2200150</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事业运行</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住房保障支出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住房改革支出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住房公积金</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自然灾害防治</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2240601</w:t>
            </w:r>
          </w:p>
        </w:tc>
        <w:tc>
          <w:tcPr>
            <w:tcW w:w="1559"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地质灾害防治</w:t>
            </w: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134" w:type="dxa"/>
            <w:noWrap w:val="0"/>
            <w:vAlign w:val="center"/>
          </w:tcPr>
          <w:p>
            <w:pPr>
              <w:pStyle w:val="16"/>
              <w:rPr>
                <w:rFonts w:hint="default"/>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keepNext w:val="0"/>
              <w:keepLines w:val="0"/>
              <w:widowControl/>
              <w:suppressLineNumbers w:val="0"/>
              <w:jc w:val="center"/>
              <w:textAlignment w:val="center"/>
              <w:rPr>
                <w:color w:val="auto"/>
              </w:rPr>
            </w:pPr>
          </w:p>
        </w:tc>
        <w:tc>
          <w:tcPr>
            <w:tcW w:w="992" w:type="dxa"/>
            <w:noWrap w:val="0"/>
            <w:vAlign w:val="center"/>
          </w:tcPr>
          <w:p>
            <w:pPr>
              <w:jc w:val="left"/>
              <w:rPr>
                <w:color w:val="auto"/>
              </w:rPr>
            </w:pPr>
          </w:p>
        </w:tc>
        <w:tc>
          <w:tcPr>
            <w:tcW w:w="1559" w:type="dxa"/>
            <w:noWrap w:val="0"/>
            <w:vAlign w:val="center"/>
          </w:tcPr>
          <w:p>
            <w:pPr>
              <w:keepNext w:val="0"/>
              <w:keepLines w:val="0"/>
              <w:widowControl/>
              <w:suppressLineNumbers w:val="0"/>
              <w:jc w:val="left"/>
              <w:textAlignment w:val="center"/>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rFonts w:hint="eastAsia"/>
                <w:color w:val="auto"/>
                <w:lang w:val="en-US" w:eastAsia="zh-CN"/>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c>
          <w:tcPr>
            <w:tcW w:w="1134" w:type="dxa"/>
            <w:noWrap w:val="0"/>
            <w:vAlign w:val="center"/>
          </w:tcPr>
          <w:p>
            <w:pPr>
              <w:pStyle w:val="16"/>
              <w:rPr>
                <w:color w:val="auto"/>
              </w:rPr>
            </w:pPr>
          </w:p>
        </w:tc>
      </w:tr>
    </w:tbl>
    <w:p>
      <w:pPr>
        <w:rPr>
          <w:color w:val="auto"/>
        </w:rPr>
        <w:sectPr>
          <w:pgSz w:w="16840" w:h="11900" w:orient="landscape"/>
          <w:pgMar w:top="1361" w:right="1020" w:bottom="1134" w:left="1020" w:header="720" w:footer="720" w:gutter="0"/>
          <w:cols w:space="720" w:num="1"/>
        </w:sectPr>
      </w:pPr>
    </w:p>
    <w:p>
      <w:pPr>
        <w:jc w:val="center"/>
        <w:outlineLvl w:val="4"/>
        <w:rPr>
          <w:color w:val="auto"/>
        </w:rPr>
      </w:pPr>
      <w:r>
        <w:rPr>
          <w:rFonts w:ascii="方正小标宋_GBK" w:hAnsi="方正小标宋_GBK" w:eastAsia="方正小标宋_GBK" w:cs="方正小标宋_GBK"/>
          <w:color w:val="auto"/>
          <w:sz w:val="36"/>
        </w:rPr>
        <w:t>单位预算支出总表</w:t>
      </w:r>
    </w:p>
    <w:tbl>
      <w:tblPr>
        <w:tblStyle w:val="5"/>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spacing w:line="240" w:lineRule="auto"/>
              <w:ind w:left="1680" w:leftChars="0" w:hanging="1680" w:hangingChars="700"/>
              <w:jc w:val="left"/>
              <w:rPr>
                <w:color w:val="auto"/>
              </w:rPr>
            </w:pPr>
            <w:r>
              <w:rPr>
                <w:rFonts w:ascii="方正小标宋_GBK" w:eastAsia="方正小标宋_GBK"/>
                <w:color w:val="auto"/>
                <w:sz w:val="24"/>
              </w:rPr>
              <w:t>324007</w:t>
            </w:r>
            <w:r>
              <w:rPr>
                <w:color w:val="auto"/>
              </w:rPr>
              <w:t>保定市自然资源和规划局满城区分局(</w:t>
            </w:r>
            <w:r>
              <w:rPr>
                <w:rFonts w:hint="eastAsia" w:eastAsia="宋体"/>
                <w:color w:val="auto"/>
                <w:lang w:val="en-US" w:eastAsia="zh-CN"/>
              </w:rPr>
              <w:t>国土局部门</w:t>
            </w:r>
            <w:r>
              <w:rPr>
                <w:color w:val="auto"/>
              </w:rPr>
              <w:t>)</w:t>
            </w:r>
          </w:p>
        </w:tc>
        <w:tc>
          <w:tcPr>
            <w:tcW w:w="2722" w:type="dxa"/>
            <w:gridSpan w:val="2"/>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444" w:type="dxa"/>
            <w:gridSpan w:val="4"/>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528" w:type="dxa"/>
            <w:gridSpan w:val="2"/>
            <w:noWrap w:val="0"/>
            <w:vAlign w:val="center"/>
          </w:tcPr>
          <w:p>
            <w:pPr>
              <w:pStyle w:val="15"/>
              <w:rPr>
                <w:color w:val="auto"/>
              </w:rPr>
            </w:pPr>
            <w:r>
              <w:rPr>
                <w:color w:val="auto"/>
              </w:rPr>
              <w:t>功能分类科目</w:t>
            </w:r>
          </w:p>
        </w:tc>
        <w:tc>
          <w:tcPr>
            <w:tcW w:w="1361" w:type="dxa"/>
            <w:vMerge w:val="restart"/>
            <w:noWrap w:val="0"/>
            <w:vAlign w:val="center"/>
          </w:tcPr>
          <w:p>
            <w:pPr>
              <w:pStyle w:val="15"/>
              <w:rPr>
                <w:color w:val="auto"/>
              </w:rPr>
            </w:pPr>
            <w:r>
              <w:rPr>
                <w:color w:val="auto"/>
              </w:rPr>
              <w:t>合计</w:t>
            </w:r>
          </w:p>
        </w:tc>
        <w:tc>
          <w:tcPr>
            <w:tcW w:w="1361" w:type="dxa"/>
            <w:vMerge w:val="restart"/>
            <w:noWrap w:val="0"/>
            <w:vAlign w:val="center"/>
          </w:tcPr>
          <w:p>
            <w:pPr>
              <w:pStyle w:val="15"/>
              <w:rPr>
                <w:color w:val="auto"/>
              </w:rPr>
            </w:pPr>
            <w:r>
              <w:rPr>
                <w:color w:val="auto"/>
              </w:rPr>
              <w:t>基本支出</w:t>
            </w:r>
          </w:p>
        </w:tc>
        <w:tc>
          <w:tcPr>
            <w:tcW w:w="1361" w:type="dxa"/>
            <w:vMerge w:val="restart"/>
            <w:noWrap w:val="0"/>
            <w:vAlign w:val="center"/>
          </w:tcPr>
          <w:p>
            <w:pPr>
              <w:pStyle w:val="15"/>
              <w:rPr>
                <w:color w:val="auto"/>
              </w:rPr>
            </w:pPr>
            <w:r>
              <w:rPr>
                <w:color w:val="auto"/>
              </w:rPr>
              <w:t>项目支出</w:t>
            </w:r>
          </w:p>
        </w:tc>
        <w:tc>
          <w:tcPr>
            <w:tcW w:w="1361" w:type="dxa"/>
            <w:vMerge w:val="restart"/>
            <w:noWrap w:val="0"/>
            <w:vAlign w:val="center"/>
          </w:tcPr>
          <w:p>
            <w:pPr>
              <w:pStyle w:val="15"/>
              <w:rPr>
                <w:color w:val="auto"/>
              </w:rPr>
            </w:pPr>
            <w:r>
              <w:rPr>
                <w:color w:val="auto"/>
              </w:rPr>
              <w:t>经营支出</w:t>
            </w:r>
          </w:p>
        </w:tc>
        <w:tc>
          <w:tcPr>
            <w:tcW w:w="1361" w:type="dxa"/>
            <w:vMerge w:val="restart"/>
            <w:noWrap w:val="0"/>
            <w:vAlign w:val="center"/>
          </w:tcPr>
          <w:p>
            <w:pPr>
              <w:pStyle w:val="15"/>
              <w:rPr>
                <w:color w:val="auto"/>
              </w:rPr>
            </w:pPr>
            <w:r>
              <w:rPr>
                <w:color w:val="auto"/>
              </w:rPr>
              <w:t>上解上级     支出</w:t>
            </w:r>
          </w:p>
        </w:tc>
        <w:tc>
          <w:tcPr>
            <w:tcW w:w="1361" w:type="dxa"/>
            <w:vMerge w:val="restart"/>
            <w:noWrap w:val="0"/>
            <w:vAlign w:val="center"/>
          </w:tcPr>
          <w:p>
            <w:pPr>
              <w:pStyle w:val="15"/>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992" w:type="dxa"/>
            <w:noWrap w:val="0"/>
            <w:vAlign w:val="center"/>
          </w:tcPr>
          <w:p>
            <w:pPr>
              <w:pStyle w:val="15"/>
              <w:rPr>
                <w:color w:val="auto"/>
              </w:rPr>
            </w:pPr>
            <w:r>
              <w:rPr>
                <w:color w:val="auto"/>
              </w:rPr>
              <w:t>科目    编码</w:t>
            </w:r>
          </w:p>
        </w:tc>
        <w:tc>
          <w:tcPr>
            <w:tcW w:w="4536" w:type="dxa"/>
            <w:noWrap w:val="0"/>
            <w:vAlign w:val="center"/>
          </w:tcPr>
          <w:p>
            <w:pPr>
              <w:pStyle w:val="15"/>
              <w:rPr>
                <w:color w:val="auto"/>
              </w:rPr>
            </w:pPr>
            <w:r>
              <w:rPr>
                <w:color w:val="auto"/>
              </w:rPr>
              <w:t>科目名称</w:t>
            </w: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c>
          <w:tcPr>
            <w:tcW w:w="136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992" w:type="dxa"/>
            <w:noWrap w:val="0"/>
            <w:vAlign w:val="center"/>
          </w:tcPr>
          <w:p>
            <w:pPr>
              <w:pStyle w:val="15"/>
              <w:rPr>
                <w:color w:val="auto"/>
              </w:rPr>
            </w:pPr>
            <w:r>
              <w:rPr>
                <w:color w:val="auto"/>
              </w:rPr>
              <w:t>1</w:t>
            </w:r>
          </w:p>
        </w:tc>
        <w:tc>
          <w:tcPr>
            <w:tcW w:w="4536" w:type="dxa"/>
            <w:noWrap w:val="0"/>
            <w:vAlign w:val="center"/>
          </w:tcPr>
          <w:p>
            <w:pPr>
              <w:pStyle w:val="15"/>
              <w:rPr>
                <w:color w:val="auto"/>
              </w:rPr>
            </w:pPr>
            <w:r>
              <w:rPr>
                <w:color w:val="auto"/>
              </w:rPr>
              <w:t>2</w:t>
            </w:r>
          </w:p>
        </w:tc>
        <w:tc>
          <w:tcPr>
            <w:tcW w:w="1361" w:type="dxa"/>
            <w:noWrap w:val="0"/>
            <w:vAlign w:val="center"/>
          </w:tcPr>
          <w:p>
            <w:pPr>
              <w:pStyle w:val="15"/>
              <w:rPr>
                <w:color w:val="auto"/>
              </w:rPr>
            </w:pPr>
            <w:r>
              <w:rPr>
                <w:color w:val="auto"/>
              </w:rPr>
              <w:t>3</w:t>
            </w:r>
          </w:p>
        </w:tc>
        <w:tc>
          <w:tcPr>
            <w:tcW w:w="1361" w:type="dxa"/>
            <w:noWrap w:val="0"/>
            <w:vAlign w:val="center"/>
          </w:tcPr>
          <w:p>
            <w:pPr>
              <w:pStyle w:val="15"/>
              <w:rPr>
                <w:color w:val="auto"/>
              </w:rPr>
            </w:pPr>
            <w:r>
              <w:rPr>
                <w:color w:val="auto"/>
              </w:rPr>
              <w:t>4</w:t>
            </w:r>
          </w:p>
        </w:tc>
        <w:tc>
          <w:tcPr>
            <w:tcW w:w="1361" w:type="dxa"/>
            <w:noWrap w:val="0"/>
            <w:vAlign w:val="center"/>
          </w:tcPr>
          <w:p>
            <w:pPr>
              <w:pStyle w:val="15"/>
              <w:rPr>
                <w:color w:val="auto"/>
              </w:rPr>
            </w:pPr>
            <w:r>
              <w:rPr>
                <w:color w:val="auto"/>
              </w:rPr>
              <w:t>5</w:t>
            </w:r>
          </w:p>
        </w:tc>
        <w:tc>
          <w:tcPr>
            <w:tcW w:w="1361" w:type="dxa"/>
            <w:noWrap w:val="0"/>
            <w:vAlign w:val="center"/>
          </w:tcPr>
          <w:p>
            <w:pPr>
              <w:pStyle w:val="15"/>
              <w:rPr>
                <w:color w:val="auto"/>
              </w:rPr>
            </w:pPr>
            <w:r>
              <w:rPr>
                <w:color w:val="auto"/>
              </w:rPr>
              <w:t>6</w:t>
            </w:r>
          </w:p>
        </w:tc>
        <w:tc>
          <w:tcPr>
            <w:tcW w:w="1361" w:type="dxa"/>
            <w:noWrap w:val="0"/>
            <w:vAlign w:val="center"/>
          </w:tcPr>
          <w:p>
            <w:pPr>
              <w:pStyle w:val="15"/>
              <w:rPr>
                <w:color w:val="auto"/>
              </w:rPr>
            </w:pPr>
            <w:r>
              <w:rPr>
                <w:color w:val="auto"/>
              </w:rPr>
              <w:t>7</w:t>
            </w:r>
          </w:p>
        </w:tc>
        <w:tc>
          <w:tcPr>
            <w:tcW w:w="1361" w:type="dxa"/>
            <w:noWrap w:val="0"/>
            <w:vAlign w:val="center"/>
          </w:tcPr>
          <w:p>
            <w:pPr>
              <w:pStyle w:val="15"/>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992" w:type="dxa"/>
            <w:noWrap w:val="0"/>
            <w:vAlign w:val="center"/>
          </w:tcPr>
          <w:p>
            <w:pPr>
              <w:jc w:val="left"/>
              <w:rPr>
                <w:color w:val="auto"/>
              </w:rPr>
            </w:pP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1361"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b/>
                <w:color w:val="auto"/>
                <w:lang w:val="en-US" w:eastAsia="zh-CN"/>
              </w:rPr>
              <w:t>5000</w:t>
            </w:r>
          </w:p>
        </w:tc>
        <w:tc>
          <w:tcPr>
            <w:tcW w:w="1361"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p>
        </w:tc>
        <w:tc>
          <w:tcPr>
            <w:tcW w:w="1361"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r>
              <w:rPr>
                <w:rFonts w:hint="eastAsia" w:cs="方正书宋_GBK"/>
                <w:b/>
                <w:color w:val="auto"/>
                <w:sz w:val="21"/>
                <w:szCs w:val="24"/>
                <w:lang w:val="en-US" w:eastAsia="zh-CN" w:bidi="ar-SA"/>
              </w:rPr>
              <w:t>5000</w:t>
            </w:r>
          </w:p>
        </w:tc>
        <w:tc>
          <w:tcPr>
            <w:tcW w:w="1361" w:type="dxa"/>
            <w:noWrap w:val="0"/>
            <w:vAlign w:val="center"/>
          </w:tcPr>
          <w:p>
            <w:pPr>
              <w:pStyle w:val="20"/>
              <w:rPr>
                <w:color w:val="auto"/>
              </w:rPr>
            </w:pPr>
          </w:p>
        </w:tc>
        <w:tc>
          <w:tcPr>
            <w:tcW w:w="1361" w:type="dxa"/>
            <w:noWrap w:val="0"/>
            <w:vAlign w:val="center"/>
          </w:tcPr>
          <w:p>
            <w:pPr>
              <w:pStyle w:val="20"/>
              <w:rPr>
                <w:color w:val="auto"/>
              </w:rPr>
            </w:pPr>
          </w:p>
        </w:tc>
        <w:tc>
          <w:tcPr>
            <w:tcW w:w="1361"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eastAsia="方正书宋_GBK"/>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992"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6"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1361" w:type="dxa"/>
            <w:noWrap w:val="0"/>
            <w:vAlign w:val="center"/>
          </w:tcPr>
          <w:p>
            <w:pPr>
              <w:pStyle w:val="20"/>
              <w:rPr>
                <w:rFonts w:hint="default" w:ascii="方正书宋_GBK" w:hAnsi="方正书宋_GBK" w:eastAsia="方正书宋_GBK" w:cs="方正书宋_GBK"/>
                <w:color w:val="auto"/>
                <w:sz w:val="21"/>
                <w:szCs w:val="24"/>
                <w:lang w:val="en-US" w:eastAsia="zh-CN" w:bidi="ar-SA"/>
              </w:rPr>
            </w:pPr>
            <w:r>
              <w:rPr>
                <w:rFonts w:hint="eastAsia"/>
                <w:b/>
                <w:color w:val="auto"/>
                <w:lang w:val="en-US" w:eastAsia="zh-CN"/>
              </w:rPr>
              <w:t>5000</w:t>
            </w:r>
          </w:p>
        </w:tc>
        <w:tc>
          <w:tcPr>
            <w:tcW w:w="1361" w:type="dxa"/>
            <w:noWrap w:val="0"/>
            <w:vAlign w:val="center"/>
          </w:tcPr>
          <w:p>
            <w:pPr>
              <w:pStyle w:val="20"/>
              <w:rPr>
                <w:rFonts w:hint="default" w:eastAsia="方正书宋_GBK"/>
                <w:color w:val="auto"/>
                <w:lang w:val="en-US" w:eastAsia="zh-CN"/>
              </w:rPr>
            </w:pPr>
          </w:p>
        </w:tc>
        <w:tc>
          <w:tcPr>
            <w:tcW w:w="1361" w:type="dxa"/>
            <w:noWrap w:val="0"/>
            <w:vAlign w:val="center"/>
          </w:tcPr>
          <w:p>
            <w:pPr>
              <w:pStyle w:val="20"/>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5000</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城乡社区规划与管理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2120201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城乡社区规划与管理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城乡社区公共设施</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2120399</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征地和拆迁补偿支出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2120802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土地开发支出</w:t>
            </w: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5000</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5000</w:t>
            </w: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2121002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土地开发支出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农林水支出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农业农村</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2130135</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林业和草原</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2130205</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森林资源培育</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技术推广与转化</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2130209</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森林生态效益补偿</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2130234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林业草原防灾减灾</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1361" w:type="dxa"/>
            <w:noWrap w:val="0"/>
            <w:vAlign w:val="center"/>
          </w:tcPr>
          <w:p>
            <w:pPr>
              <w:pStyle w:val="16"/>
              <w:rPr>
                <w:rFonts w:hint="default"/>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自然资源事务</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行政运行</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一般行政管理事务</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自然资源规划及管理</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38</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自然资源利用与保护</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39</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2200113</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2200114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41</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2200150</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事业运行</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42</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住房保障支出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43</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22102</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住房改革支出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44</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2210201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住房公积金</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22406</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自然灾害防治</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47</w:t>
            </w: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2240601</w:t>
            </w: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地质灾害防治</w:t>
            </w:r>
          </w:p>
        </w:tc>
        <w:tc>
          <w:tcPr>
            <w:tcW w:w="136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jc w:val="left"/>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20"/>
              <w:rPr>
                <w:rFonts w:hint="eastAsia"/>
                <w:color w:val="auto"/>
                <w:lang w:val="en-US" w:eastAsia="zh-CN"/>
              </w:rPr>
            </w:pPr>
          </w:p>
        </w:tc>
        <w:tc>
          <w:tcPr>
            <w:tcW w:w="1361" w:type="dxa"/>
            <w:noWrap w:val="0"/>
            <w:vAlign w:val="center"/>
          </w:tcPr>
          <w:p>
            <w:pPr>
              <w:pStyle w:val="20"/>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992"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6"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rFonts w:hint="eastAsia"/>
                <w:color w:val="auto"/>
                <w:lang w:val="en-US" w:eastAsia="zh-CN"/>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c>
          <w:tcPr>
            <w:tcW w:w="1361" w:type="dxa"/>
            <w:noWrap w:val="0"/>
            <w:vAlign w:val="center"/>
          </w:tcPr>
          <w:p>
            <w:pPr>
              <w:pStyle w:val="16"/>
              <w:rPr>
                <w:color w:val="auto"/>
              </w:rPr>
            </w:pPr>
          </w:p>
        </w:tc>
      </w:tr>
    </w:tbl>
    <w:p>
      <w:pPr>
        <w:spacing w:line="300" w:lineRule="exact"/>
        <w:jc w:val="left"/>
        <w:outlineLvl w:val="1"/>
        <w:rPr>
          <w:rFonts w:eastAsia="方正仿宋_GBK"/>
          <w:color w:val="auto"/>
          <w:sz w:val="28"/>
        </w:rPr>
        <w:sectPr>
          <w:pgSz w:w="16839" w:h="11907" w:orient="landscape"/>
          <w:pgMar w:top="1020" w:right="1361" w:bottom="1020" w:left="1361" w:header="851" w:footer="992" w:gutter="0"/>
          <w:cols w:space="720" w:num="1"/>
          <w:rtlGutter w:val="0"/>
          <w:docGrid w:type="lines" w:linePitch="328" w:charSpace="0"/>
        </w:sectPr>
      </w:pPr>
    </w:p>
    <w:p>
      <w:pPr>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5"/>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spacing w:line="240" w:lineRule="auto"/>
              <w:ind w:left="1680" w:leftChars="0" w:hanging="1680" w:hangingChars="700"/>
              <w:jc w:val="left"/>
              <w:rPr>
                <w:rFonts w:hint="default" w:ascii="方正小标宋_GBK" w:hAnsi="Times New Roman" w:eastAsia="方正小标宋_GBK" w:cs="Times New Roman"/>
                <w:color w:val="auto"/>
                <w:sz w:val="24"/>
                <w:szCs w:val="24"/>
                <w:lang w:val="en-US" w:eastAsia="zh-CN" w:bidi="ar-SA"/>
              </w:rPr>
            </w:pPr>
            <w:r>
              <w:rPr>
                <w:rFonts w:ascii="方正小标宋_GBK" w:eastAsia="方正小标宋_GBK"/>
                <w:color w:val="auto"/>
                <w:sz w:val="24"/>
              </w:rPr>
              <w:t>324007</w:t>
            </w:r>
            <w:r>
              <w:rPr>
                <w:color w:val="auto"/>
              </w:rPr>
              <w:t>保定市自然资源和规划局满城区分局(</w:t>
            </w:r>
            <w:r>
              <w:rPr>
                <w:rFonts w:hint="eastAsia" w:eastAsia="宋体"/>
                <w:color w:val="auto"/>
                <w:lang w:val="en-US" w:eastAsia="zh-CN"/>
              </w:rPr>
              <w:t>国土局部门</w:t>
            </w:r>
            <w:r>
              <w:rPr>
                <w:color w:val="auto"/>
              </w:rPr>
              <w:t>)</w:t>
            </w:r>
          </w:p>
        </w:tc>
        <w:tc>
          <w:tcPr>
            <w:tcW w:w="3402"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896" w:type="dxa"/>
            <w:gridSpan w:val="4"/>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4876" w:type="dxa"/>
            <w:gridSpan w:val="2"/>
            <w:noWrap w:val="0"/>
            <w:vAlign w:val="center"/>
          </w:tcPr>
          <w:p>
            <w:pPr>
              <w:pStyle w:val="15"/>
              <w:rPr>
                <w:color w:val="auto"/>
              </w:rPr>
            </w:pPr>
            <w:r>
              <w:rPr>
                <w:color w:val="auto"/>
              </w:rPr>
              <w:t>收入</w:t>
            </w:r>
          </w:p>
        </w:tc>
        <w:tc>
          <w:tcPr>
            <w:tcW w:w="9298" w:type="dxa"/>
            <w:gridSpan w:val="5"/>
            <w:noWrap w:val="0"/>
            <w:vAlign w:val="center"/>
          </w:tcPr>
          <w:p>
            <w:pPr>
              <w:pStyle w:val="15"/>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3402" w:type="dxa"/>
            <w:noWrap w:val="0"/>
            <w:vAlign w:val="center"/>
          </w:tcPr>
          <w:p>
            <w:pPr>
              <w:pStyle w:val="15"/>
              <w:rPr>
                <w:color w:val="auto"/>
              </w:rPr>
            </w:pPr>
            <w:r>
              <w:rPr>
                <w:color w:val="auto"/>
              </w:rPr>
              <w:t>项  目</w:t>
            </w:r>
          </w:p>
        </w:tc>
        <w:tc>
          <w:tcPr>
            <w:tcW w:w="1474" w:type="dxa"/>
            <w:noWrap w:val="0"/>
            <w:vAlign w:val="center"/>
          </w:tcPr>
          <w:p>
            <w:pPr>
              <w:pStyle w:val="15"/>
              <w:rPr>
                <w:color w:val="auto"/>
              </w:rPr>
            </w:pPr>
            <w:r>
              <w:rPr>
                <w:color w:val="auto"/>
              </w:rPr>
              <w:t>金额</w:t>
            </w:r>
          </w:p>
        </w:tc>
        <w:tc>
          <w:tcPr>
            <w:tcW w:w="3402" w:type="dxa"/>
            <w:noWrap w:val="0"/>
            <w:vAlign w:val="center"/>
          </w:tcPr>
          <w:p>
            <w:pPr>
              <w:pStyle w:val="15"/>
              <w:rPr>
                <w:color w:val="auto"/>
              </w:rPr>
            </w:pPr>
            <w:r>
              <w:rPr>
                <w:color w:val="auto"/>
              </w:rPr>
              <w:t>项  目</w:t>
            </w:r>
          </w:p>
        </w:tc>
        <w:tc>
          <w:tcPr>
            <w:tcW w:w="1474" w:type="dxa"/>
            <w:noWrap w:val="0"/>
            <w:vAlign w:val="center"/>
          </w:tcPr>
          <w:p>
            <w:pPr>
              <w:pStyle w:val="15"/>
              <w:rPr>
                <w:color w:val="auto"/>
              </w:rPr>
            </w:pPr>
            <w:r>
              <w:rPr>
                <w:color w:val="auto"/>
              </w:rPr>
              <w:t>合计</w:t>
            </w:r>
          </w:p>
        </w:tc>
        <w:tc>
          <w:tcPr>
            <w:tcW w:w="1474" w:type="dxa"/>
            <w:noWrap w:val="0"/>
            <w:vAlign w:val="center"/>
          </w:tcPr>
          <w:p>
            <w:pPr>
              <w:pStyle w:val="15"/>
              <w:rPr>
                <w:color w:val="auto"/>
              </w:rPr>
            </w:pPr>
            <w:r>
              <w:rPr>
                <w:color w:val="auto"/>
              </w:rPr>
              <w:t>一般公共预算财政拨款</w:t>
            </w:r>
          </w:p>
        </w:tc>
        <w:tc>
          <w:tcPr>
            <w:tcW w:w="1474" w:type="dxa"/>
            <w:noWrap w:val="0"/>
            <w:vAlign w:val="center"/>
          </w:tcPr>
          <w:p>
            <w:pPr>
              <w:pStyle w:val="15"/>
              <w:rPr>
                <w:color w:val="auto"/>
              </w:rPr>
            </w:pPr>
            <w:r>
              <w:rPr>
                <w:color w:val="auto"/>
              </w:rPr>
              <w:t>政府性基金预算财政    拨款</w:t>
            </w:r>
          </w:p>
        </w:tc>
        <w:tc>
          <w:tcPr>
            <w:tcW w:w="1474" w:type="dxa"/>
            <w:noWrap w:val="0"/>
            <w:vAlign w:val="center"/>
          </w:tcPr>
          <w:p>
            <w:pPr>
              <w:pStyle w:val="15"/>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3402" w:type="dxa"/>
            <w:noWrap w:val="0"/>
            <w:vAlign w:val="center"/>
          </w:tcPr>
          <w:p>
            <w:pPr>
              <w:pStyle w:val="15"/>
              <w:rPr>
                <w:color w:val="auto"/>
              </w:rPr>
            </w:pPr>
            <w:r>
              <w:rPr>
                <w:color w:val="auto"/>
              </w:rPr>
              <w:t>1</w:t>
            </w:r>
          </w:p>
        </w:tc>
        <w:tc>
          <w:tcPr>
            <w:tcW w:w="1474" w:type="dxa"/>
            <w:noWrap w:val="0"/>
            <w:vAlign w:val="center"/>
          </w:tcPr>
          <w:p>
            <w:pPr>
              <w:pStyle w:val="15"/>
              <w:rPr>
                <w:color w:val="auto"/>
              </w:rPr>
            </w:pPr>
            <w:r>
              <w:rPr>
                <w:color w:val="auto"/>
              </w:rPr>
              <w:t>2</w:t>
            </w:r>
          </w:p>
        </w:tc>
        <w:tc>
          <w:tcPr>
            <w:tcW w:w="3402" w:type="dxa"/>
            <w:noWrap w:val="0"/>
            <w:vAlign w:val="center"/>
          </w:tcPr>
          <w:p>
            <w:pPr>
              <w:pStyle w:val="15"/>
              <w:rPr>
                <w:color w:val="auto"/>
              </w:rPr>
            </w:pPr>
            <w:r>
              <w:rPr>
                <w:color w:val="auto"/>
              </w:rPr>
              <w:t>3</w:t>
            </w:r>
          </w:p>
        </w:tc>
        <w:tc>
          <w:tcPr>
            <w:tcW w:w="1474" w:type="dxa"/>
            <w:noWrap w:val="0"/>
            <w:vAlign w:val="center"/>
          </w:tcPr>
          <w:p>
            <w:pPr>
              <w:pStyle w:val="15"/>
              <w:rPr>
                <w:color w:val="auto"/>
              </w:rPr>
            </w:pPr>
            <w:r>
              <w:rPr>
                <w:color w:val="auto"/>
              </w:rPr>
              <w:t>4</w:t>
            </w:r>
          </w:p>
        </w:tc>
        <w:tc>
          <w:tcPr>
            <w:tcW w:w="1474" w:type="dxa"/>
            <w:noWrap w:val="0"/>
            <w:vAlign w:val="center"/>
          </w:tcPr>
          <w:p>
            <w:pPr>
              <w:pStyle w:val="15"/>
              <w:rPr>
                <w:color w:val="auto"/>
              </w:rPr>
            </w:pPr>
            <w:r>
              <w:rPr>
                <w:color w:val="auto"/>
              </w:rPr>
              <w:t>5</w:t>
            </w:r>
          </w:p>
        </w:tc>
        <w:tc>
          <w:tcPr>
            <w:tcW w:w="1474" w:type="dxa"/>
            <w:noWrap w:val="0"/>
            <w:vAlign w:val="center"/>
          </w:tcPr>
          <w:p>
            <w:pPr>
              <w:pStyle w:val="15"/>
              <w:rPr>
                <w:color w:val="auto"/>
              </w:rPr>
            </w:pPr>
            <w:r>
              <w:rPr>
                <w:color w:val="auto"/>
              </w:rPr>
              <w:t>6</w:t>
            </w:r>
          </w:p>
        </w:tc>
        <w:tc>
          <w:tcPr>
            <w:tcW w:w="1474" w:type="dxa"/>
            <w:noWrap w:val="0"/>
            <w:vAlign w:val="center"/>
          </w:tcPr>
          <w:p>
            <w:pPr>
              <w:pStyle w:val="15"/>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w:t>
            </w:r>
          </w:p>
        </w:tc>
        <w:tc>
          <w:tcPr>
            <w:tcW w:w="3402" w:type="dxa"/>
            <w:noWrap w:val="0"/>
            <w:vAlign w:val="center"/>
          </w:tcPr>
          <w:p>
            <w:pPr>
              <w:pStyle w:val="17"/>
              <w:rPr>
                <w:color w:val="auto"/>
              </w:rPr>
            </w:pPr>
            <w:r>
              <w:rPr>
                <w:color w:val="auto"/>
              </w:rPr>
              <w:t>一、一般公共预算拨款</w:t>
            </w:r>
          </w:p>
        </w:tc>
        <w:tc>
          <w:tcPr>
            <w:tcW w:w="1474" w:type="dxa"/>
            <w:noWrap w:val="0"/>
            <w:vAlign w:val="center"/>
          </w:tcPr>
          <w:p>
            <w:pPr>
              <w:pStyle w:val="16"/>
              <w:rPr>
                <w:rFonts w:hint="default" w:eastAsia="方正书宋_GBK"/>
                <w:color w:val="auto"/>
                <w:lang w:val="en-US" w:eastAsia="zh-CN"/>
              </w:rPr>
            </w:pPr>
          </w:p>
        </w:tc>
        <w:tc>
          <w:tcPr>
            <w:tcW w:w="3402" w:type="dxa"/>
            <w:noWrap w:val="0"/>
            <w:vAlign w:val="center"/>
          </w:tcPr>
          <w:p>
            <w:pPr>
              <w:pStyle w:val="17"/>
              <w:rPr>
                <w:color w:val="auto"/>
              </w:rPr>
            </w:pPr>
            <w:r>
              <w:rPr>
                <w:color w:val="auto"/>
              </w:rPr>
              <w:t>一、一般公共服务支出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w:t>
            </w:r>
          </w:p>
        </w:tc>
        <w:tc>
          <w:tcPr>
            <w:tcW w:w="3402" w:type="dxa"/>
            <w:noWrap w:val="0"/>
            <w:vAlign w:val="center"/>
          </w:tcPr>
          <w:p>
            <w:pPr>
              <w:pStyle w:val="17"/>
              <w:rPr>
                <w:color w:val="auto"/>
              </w:rPr>
            </w:pPr>
            <w:r>
              <w:rPr>
                <w:color w:val="auto"/>
              </w:rPr>
              <w:t>二、政府性基金预算拨款</w:t>
            </w:r>
          </w:p>
        </w:tc>
        <w:tc>
          <w:tcPr>
            <w:tcW w:w="1474" w:type="dxa"/>
            <w:noWrap w:val="0"/>
            <w:vAlign w:val="center"/>
          </w:tcPr>
          <w:p>
            <w:pPr>
              <w:pStyle w:val="16"/>
              <w:rPr>
                <w:rFonts w:hint="default" w:eastAsia="方正书宋_GBK"/>
                <w:color w:val="auto"/>
                <w:lang w:val="en-US" w:eastAsia="zh-CN"/>
              </w:rPr>
            </w:pPr>
            <w:r>
              <w:rPr>
                <w:rFonts w:hint="eastAsia"/>
                <w:color w:val="auto"/>
                <w:lang w:val="en-US" w:eastAsia="zh-CN"/>
              </w:rPr>
              <w:t>5000.00</w:t>
            </w:r>
          </w:p>
        </w:tc>
        <w:tc>
          <w:tcPr>
            <w:tcW w:w="3402" w:type="dxa"/>
            <w:noWrap w:val="0"/>
            <w:vAlign w:val="center"/>
          </w:tcPr>
          <w:p>
            <w:pPr>
              <w:pStyle w:val="17"/>
              <w:rPr>
                <w:color w:val="auto"/>
              </w:rPr>
            </w:pPr>
            <w:r>
              <w:rPr>
                <w:color w:val="auto"/>
              </w:rPr>
              <w:t>二、外交支出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w:t>
            </w:r>
          </w:p>
        </w:tc>
        <w:tc>
          <w:tcPr>
            <w:tcW w:w="3402" w:type="dxa"/>
            <w:noWrap w:val="0"/>
            <w:vAlign w:val="center"/>
          </w:tcPr>
          <w:p>
            <w:pPr>
              <w:pStyle w:val="17"/>
              <w:rPr>
                <w:color w:val="auto"/>
              </w:rPr>
            </w:pPr>
            <w:r>
              <w:rPr>
                <w:color w:val="auto"/>
              </w:rPr>
              <w:t>三、国有资本经营预算拨款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三、国防支出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四、公共安全支出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五、教育支出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六、科学技术支出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七、文化旅游体育与传媒支出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八、社会保障和就业支出</w:t>
            </w:r>
          </w:p>
        </w:tc>
        <w:tc>
          <w:tcPr>
            <w:tcW w:w="1474" w:type="dxa"/>
            <w:noWrap w:val="0"/>
            <w:vAlign w:val="center"/>
          </w:tcPr>
          <w:p>
            <w:pPr>
              <w:pStyle w:val="16"/>
              <w:rPr>
                <w:color w:val="auto"/>
              </w:rPr>
            </w:pPr>
          </w:p>
        </w:tc>
        <w:tc>
          <w:tcPr>
            <w:tcW w:w="1474" w:type="dxa"/>
            <w:noWrap w:val="0"/>
            <w:vAlign w:val="center"/>
          </w:tcPr>
          <w:p>
            <w:pPr>
              <w:pStyle w:val="16"/>
              <w:rPr>
                <w:rFonts w:hint="default" w:eastAsia="方正书宋_GBK"/>
                <w:color w:val="auto"/>
                <w:lang w:val="en-US" w:eastAsia="zh-CN"/>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九、社会保险基金支出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十、卫生健康支出</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11</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十一、节能环保支出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12</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十二、城乡社区支出</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5000</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olor w:val="auto"/>
                <w:lang w:val="en-US" w:eastAsia="zh-CN"/>
              </w:rPr>
              <w:t>5000</w:t>
            </w: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13</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十三、农林水支出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十四、交通运输支出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十五、资源勘探工业信息等支出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十六、商业服务业等支出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十七、金融支出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十八、援助其他地区支出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19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十九、自然资源海洋气象等支出</w:t>
            </w: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二十、住房保障支出</w:t>
            </w:r>
          </w:p>
        </w:tc>
        <w:tc>
          <w:tcPr>
            <w:tcW w:w="1474"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21</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二十一、粮油物资储备支出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22</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二十二、国有资本经营预算支出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23</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二十三、灾害防治及应急管理支出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24</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二十四、预备费</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25</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二十五、其他支出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26</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二十六、转移性支出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27</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二十七、债务还本支出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28</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二十八、债务付息支出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29</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二十九、债务发行费用支出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30</w:t>
            </w: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三十、抗疫特别国债安排的支出</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31</w:t>
            </w:r>
          </w:p>
        </w:tc>
        <w:tc>
          <w:tcPr>
            <w:tcW w:w="3402" w:type="dxa"/>
            <w:noWrap w:val="0"/>
            <w:vAlign w:val="center"/>
          </w:tcPr>
          <w:p>
            <w:pPr>
              <w:pStyle w:val="19"/>
              <w:rPr>
                <w:color w:val="auto"/>
              </w:rPr>
            </w:pPr>
            <w:r>
              <w:rPr>
                <w:color w:val="auto"/>
              </w:rPr>
              <w:t>本年收入合计</w:t>
            </w:r>
          </w:p>
        </w:tc>
        <w:tc>
          <w:tcPr>
            <w:tcW w:w="1474" w:type="dxa"/>
            <w:noWrap w:val="0"/>
            <w:vAlign w:val="center"/>
          </w:tcPr>
          <w:p>
            <w:pPr>
              <w:pStyle w:val="20"/>
              <w:rPr>
                <w:rFonts w:hint="default" w:eastAsia="方正书宋_GBK"/>
                <w:color w:val="auto"/>
                <w:lang w:val="en-US" w:eastAsia="zh-CN"/>
              </w:rPr>
            </w:pPr>
            <w:r>
              <w:rPr>
                <w:rFonts w:hint="eastAsia"/>
                <w:b/>
                <w:color w:val="auto"/>
                <w:lang w:val="en-US" w:eastAsia="zh-CN"/>
              </w:rPr>
              <w:t>5000.00</w:t>
            </w:r>
          </w:p>
        </w:tc>
        <w:tc>
          <w:tcPr>
            <w:tcW w:w="3402" w:type="dxa"/>
            <w:noWrap w:val="0"/>
            <w:vAlign w:val="center"/>
          </w:tcPr>
          <w:p>
            <w:pPr>
              <w:pStyle w:val="19"/>
              <w:rPr>
                <w:color w:val="auto"/>
              </w:rPr>
            </w:pPr>
            <w:r>
              <w:rPr>
                <w:color w:val="auto"/>
              </w:rPr>
              <w:t>本年支出合计</w:t>
            </w:r>
          </w:p>
        </w:tc>
        <w:tc>
          <w:tcPr>
            <w:tcW w:w="1474" w:type="dxa"/>
            <w:noWrap w:val="0"/>
            <w:vAlign w:val="center"/>
          </w:tcPr>
          <w:p>
            <w:pPr>
              <w:pStyle w:val="20"/>
              <w:rPr>
                <w:rFonts w:hint="default" w:eastAsia="方正书宋_GBK"/>
                <w:color w:val="auto"/>
                <w:lang w:val="en-US" w:eastAsia="zh-CN"/>
              </w:rPr>
            </w:pPr>
            <w:r>
              <w:rPr>
                <w:rFonts w:hint="eastAsia"/>
                <w:color w:val="auto"/>
                <w:lang w:val="en-US" w:eastAsia="zh-CN"/>
              </w:rPr>
              <w:t>5000.00</w:t>
            </w:r>
          </w:p>
        </w:tc>
        <w:tc>
          <w:tcPr>
            <w:tcW w:w="1474" w:type="dxa"/>
            <w:noWrap w:val="0"/>
            <w:vAlign w:val="center"/>
          </w:tcPr>
          <w:p>
            <w:pPr>
              <w:pStyle w:val="20"/>
              <w:rPr>
                <w:rFonts w:hint="default" w:eastAsia="方正书宋_GBK"/>
                <w:color w:val="auto"/>
                <w:lang w:val="en-US" w:eastAsia="zh-CN"/>
              </w:rPr>
            </w:pPr>
          </w:p>
        </w:tc>
        <w:tc>
          <w:tcPr>
            <w:tcW w:w="1474" w:type="dxa"/>
            <w:noWrap w:val="0"/>
            <w:vAlign w:val="center"/>
          </w:tcPr>
          <w:p>
            <w:pPr>
              <w:pStyle w:val="20"/>
              <w:rPr>
                <w:rFonts w:hint="default" w:eastAsia="方正书宋_GBK"/>
                <w:color w:val="auto"/>
                <w:lang w:val="en-US" w:eastAsia="zh-CN"/>
              </w:rPr>
            </w:pPr>
            <w:r>
              <w:rPr>
                <w:rFonts w:hint="eastAsia"/>
                <w:color w:val="auto"/>
                <w:lang w:val="en-US" w:eastAsia="zh-CN"/>
              </w:rPr>
              <w:t>5000.00</w:t>
            </w:r>
          </w:p>
        </w:tc>
        <w:tc>
          <w:tcPr>
            <w:tcW w:w="1474"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32</w:t>
            </w:r>
          </w:p>
        </w:tc>
        <w:tc>
          <w:tcPr>
            <w:tcW w:w="3402" w:type="dxa"/>
            <w:noWrap w:val="0"/>
            <w:vAlign w:val="center"/>
          </w:tcPr>
          <w:p>
            <w:pPr>
              <w:pStyle w:val="17"/>
              <w:rPr>
                <w:color w:val="auto"/>
              </w:rPr>
            </w:pPr>
            <w:r>
              <w:rPr>
                <w:color w:val="auto"/>
              </w:rPr>
              <w:t>年初财政拨款结转和结余</w:t>
            </w:r>
          </w:p>
        </w:tc>
        <w:tc>
          <w:tcPr>
            <w:tcW w:w="1474" w:type="dxa"/>
            <w:noWrap w:val="0"/>
            <w:vAlign w:val="center"/>
          </w:tcPr>
          <w:p>
            <w:pPr>
              <w:pStyle w:val="16"/>
              <w:rPr>
                <w:color w:val="auto"/>
              </w:rPr>
            </w:pPr>
          </w:p>
        </w:tc>
        <w:tc>
          <w:tcPr>
            <w:tcW w:w="3402" w:type="dxa"/>
            <w:noWrap w:val="0"/>
            <w:vAlign w:val="center"/>
          </w:tcPr>
          <w:p>
            <w:pPr>
              <w:pStyle w:val="17"/>
              <w:rPr>
                <w:color w:val="auto"/>
              </w:rPr>
            </w:pPr>
            <w:r>
              <w:rPr>
                <w:color w:val="auto"/>
              </w:rPr>
              <w:t>年末财政拨款结转和结余</w:t>
            </w: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33</w:t>
            </w:r>
          </w:p>
        </w:tc>
        <w:tc>
          <w:tcPr>
            <w:tcW w:w="3402" w:type="dxa"/>
            <w:noWrap w:val="0"/>
            <w:vAlign w:val="center"/>
          </w:tcPr>
          <w:p>
            <w:pPr>
              <w:pStyle w:val="17"/>
              <w:rPr>
                <w:color w:val="auto"/>
              </w:rPr>
            </w:pPr>
            <w:r>
              <w:rPr>
                <w:color w:val="auto"/>
              </w:rPr>
              <w:t>一、一般公共预算拨款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34</w:t>
            </w:r>
          </w:p>
        </w:tc>
        <w:tc>
          <w:tcPr>
            <w:tcW w:w="3402" w:type="dxa"/>
            <w:noWrap w:val="0"/>
            <w:vAlign w:val="center"/>
          </w:tcPr>
          <w:p>
            <w:pPr>
              <w:pStyle w:val="17"/>
              <w:rPr>
                <w:color w:val="auto"/>
              </w:rPr>
            </w:pPr>
            <w:r>
              <w:rPr>
                <w:color w:val="auto"/>
              </w:rPr>
              <w:t>二、政府性基金预算拨款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35</w:t>
            </w:r>
          </w:p>
        </w:tc>
        <w:tc>
          <w:tcPr>
            <w:tcW w:w="3402" w:type="dxa"/>
            <w:noWrap w:val="0"/>
            <w:vAlign w:val="center"/>
          </w:tcPr>
          <w:p>
            <w:pPr>
              <w:pStyle w:val="17"/>
              <w:rPr>
                <w:color w:val="auto"/>
              </w:rPr>
            </w:pPr>
            <w:r>
              <w:rPr>
                <w:color w:val="auto"/>
              </w:rPr>
              <w:t>三、国有资本经营预算拨款</w:t>
            </w:r>
          </w:p>
        </w:tc>
        <w:tc>
          <w:tcPr>
            <w:tcW w:w="1474" w:type="dxa"/>
            <w:noWrap w:val="0"/>
            <w:vAlign w:val="center"/>
          </w:tcPr>
          <w:p>
            <w:pPr>
              <w:pStyle w:val="16"/>
              <w:rPr>
                <w:color w:val="auto"/>
              </w:rPr>
            </w:pPr>
          </w:p>
        </w:tc>
        <w:tc>
          <w:tcPr>
            <w:tcW w:w="3402" w:type="dxa"/>
            <w:noWrap w:val="0"/>
            <w:vAlign w:val="center"/>
          </w:tcPr>
          <w:p>
            <w:pPr>
              <w:pStyle w:val="17"/>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c>
          <w:tcPr>
            <w:tcW w:w="1474"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r>
              <w:rPr>
                <w:color w:val="auto"/>
              </w:rPr>
              <w:t>36</w:t>
            </w:r>
          </w:p>
        </w:tc>
        <w:tc>
          <w:tcPr>
            <w:tcW w:w="3402" w:type="dxa"/>
            <w:noWrap w:val="0"/>
            <w:vAlign w:val="center"/>
          </w:tcPr>
          <w:p>
            <w:pPr>
              <w:pStyle w:val="19"/>
              <w:rPr>
                <w:color w:val="auto"/>
              </w:rPr>
            </w:pPr>
            <w:r>
              <w:rPr>
                <w:color w:val="auto"/>
              </w:rPr>
              <w:t>收入总计</w:t>
            </w:r>
          </w:p>
        </w:tc>
        <w:tc>
          <w:tcPr>
            <w:tcW w:w="1474" w:type="dxa"/>
            <w:noWrap w:val="0"/>
            <w:vAlign w:val="center"/>
          </w:tcPr>
          <w:p>
            <w:pPr>
              <w:pStyle w:val="20"/>
              <w:rPr>
                <w:rFonts w:hint="default" w:eastAsia="方正书宋_GBK"/>
                <w:color w:val="auto"/>
                <w:lang w:val="en-US" w:eastAsia="zh-CN"/>
              </w:rPr>
            </w:pPr>
            <w:r>
              <w:rPr>
                <w:rFonts w:hint="eastAsia"/>
                <w:b/>
                <w:color w:val="auto"/>
                <w:lang w:val="en-US" w:eastAsia="zh-CN"/>
              </w:rPr>
              <w:t>5000.00</w:t>
            </w:r>
          </w:p>
        </w:tc>
        <w:tc>
          <w:tcPr>
            <w:tcW w:w="3402" w:type="dxa"/>
            <w:noWrap w:val="0"/>
            <w:vAlign w:val="center"/>
          </w:tcPr>
          <w:p>
            <w:pPr>
              <w:pStyle w:val="19"/>
              <w:rPr>
                <w:color w:val="auto"/>
              </w:rPr>
            </w:pPr>
            <w:r>
              <w:rPr>
                <w:color w:val="auto"/>
              </w:rPr>
              <w:t>支出总计</w:t>
            </w:r>
          </w:p>
        </w:tc>
        <w:tc>
          <w:tcPr>
            <w:tcW w:w="1474" w:type="dxa"/>
            <w:noWrap w:val="0"/>
            <w:vAlign w:val="center"/>
          </w:tcPr>
          <w:p>
            <w:pPr>
              <w:pStyle w:val="20"/>
              <w:rPr>
                <w:rFonts w:hint="default" w:eastAsia="方正书宋_GBK"/>
                <w:color w:val="auto"/>
                <w:lang w:val="en-US" w:eastAsia="zh-CN"/>
              </w:rPr>
            </w:pPr>
            <w:r>
              <w:rPr>
                <w:rFonts w:hint="eastAsia"/>
                <w:b/>
                <w:color w:val="auto"/>
                <w:lang w:val="en-US" w:eastAsia="zh-CN"/>
              </w:rPr>
              <w:t>5000.00</w:t>
            </w:r>
          </w:p>
        </w:tc>
        <w:tc>
          <w:tcPr>
            <w:tcW w:w="1474" w:type="dxa"/>
            <w:noWrap w:val="0"/>
            <w:vAlign w:val="center"/>
          </w:tcPr>
          <w:p>
            <w:pPr>
              <w:pStyle w:val="20"/>
              <w:rPr>
                <w:rFonts w:hint="default" w:eastAsia="方正书宋_GBK"/>
                <w:color w:val="auto"/>
                <w:lang w:val="en-US" w:eastAsia="zh-CN"/>
              </w:rPr>
            </w:pPr>
            <w:r>
              <w:rPr>
                <w:rFonts w:hint="eastAsia" w:cs="方正书宋_GBK"/>
                <w:color w:val="auto"/>
                <w:sz w:val="21"/>
                <w:szCs w:val="24"/>
                <w:lang w:val="en-US" w:eastAsia="zh-CN" w:bidi="ar-SA"/>
              </w:rPr>
              <w:t>5000.00</w:t>
            </w:r>
          </w:p>
        </w:tc>
        <w:tc>
          <w:tcPr>
            <w:tcW w:w="1474" w:type="dxa"/>
            <w:noWrap w:val="0"/>
            <w:vAlign w:val="center"/>
          </w:tcPr>
          <w:p>
            <w:pPr>
              <w:pStyle w:val="20"/>
              <w:rPr>
                <w:rFonts w:hint="default"/>
                <w:color w:val="auto"/>
                <w:lang w:val="en-US"/>
              </w:rPr>
            </w:pPr>
          </w:p>
        </w:tc>
        <w:tc>
          <w:tcPr>
            <w:tcW w:w="1474" w:type="dxa"/>
            <w:noWrap w:val="0"/>
            <w:vAlign w:val="center"/>
          </w:tcPr>
          <w:p>
            <w:pPr>
              <w:pStyle w:val="20"/>
              <w:rPr>
                <w:color w:val="auto"/>
              </w:rPr>
            </w:pPr>
          </w:p>
        </w:tc>
      </w:tr>
    </w:tbl>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1"/>
        <w:rPr>
          <w:rFonts w:hint="eastAsia" w:ascii="方正小标宋_GBK" w:eastAsia="方正小标宋_GBK"/>
          <w:color w:val="auto"/>
          <w:sz w:val="32"/>
          <w:lang w:val="en-US" w:eastAsia="zh-CN"/>
        </w:rPr>
      </w:pPr>
    </w:p>
    <w:p>
      <w:pPr>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240" w:lineRule="auto"/>
              <w:ind w:left="1680" w:leftChars="0" w:hanging="1680" w:hangingChars="700"/>
              <w:jc w:val="left"/>
              <w:rPr>
                <w:rFonts w:hint="default" w:ascii="方正小标宋_GBK" w:hAnsi="Times New Roman" w:eastAsia="方正小标宋_GBK" w:cs="Times New Roman"/>
                <w:color w:val="auto"/>
                <w:sz w:val="24"/>
                <w:szCs w:val="24"/>
                <w:lang w:val="en-US" w:eastAsia="zh-CN" w:bidi="ar-SA"/>
              </w:rPr>
            </w:pPr>
            <w:r>
              <w:rPr>
                <w:rFonts w:ascii="方正小标宋_GBK" w:eastAsia="方正小标宋_GBK"/>
                <w:color w:val="auto"/>
                <w:sz w:val="24"/>
              </w:rPr>
              <w:t>324007</w:t>
            </w:r>
            <w:r>
              <w:rPr>
                <w:color w:val="auto"/>
              </w:rPr>
              <w:t>保定市自然资源和规划局满城区分局(</w:t>
            </w:r>
            <w:r>
              <w:rPr>
                <w:rFonts w:hint="eastAsia" w:eastAsia="宋体"/>
                <w:color w:val="auto"/>
                <w:lang w:val="en-US" w:eastAsia="zh-CN"/>
              </w:rPr>
              <w:t>国土局部门</w:t>
            </w:r>
            <w:r>
              <w:rPr>
                <w:color w:val="auto"/>
              </w:rPr>
              <w:t>)</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color w:val="auto"/>
              </w:rPr>
            </w:pP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pStyle w:val="20"/>
              <w:rPr>
                <w:rFonts w:hint="default" w:eastAsia="方正书宋_GBK"/>
                <w:color w:val="auto"/>
                <w:lang w:val="en-US" w:eastAsia="zh-CN"/>
              </w:rPr>
            </w:pPr>
          </w:p>
        </w:tc>
        <w:tc>
          <w:tcPr>
            <w:tcW w:w="2551" w:type="dxa"/>
            <w:noWrap w:val="0"/>
            <w:vAlign w:val="center"/>
          </w:tcPr>
          <w:p>
            <w:pPr>
              <w:pStyle w:val="20"/>
              <w:rPr>
                <w:rFonts w:hint="default"/>
                <w:color w:val="auto"/>
                <w:lang w:val="en-US"/>
              </w:rPr>
            </w:pPr>
          </w:p>
        </w:tc>
        <w:tc>
          <w:tcPr>
            <w:tcW w:w="2551" w:type="dxa"/>
            <w:noWrap w:val="0"/>
            <w:vAlign w:val="center"/>
          </w:tcPr>
          <w:p>
            <w:pPr>
              <w:pStyle w:val="20"/>
              <w:rPr>
                <w:rFonts w:hint="default"/>
                <w:color w:val="auto"/>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社会保障和就业支出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行政事业单位养老支出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行政单位离退休</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事业单位离退休</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机关事业单位基本养老保险缴费支出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2080506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机关事业单位职业年金缴费支出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8</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卫生健康支出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9</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行政事业单位医疗</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10</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行政单位医疗</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11</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2101102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事业单位医疗</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节能环保支出</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天然林保护</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2110507</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停伐补助</w:t>
            </w: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2551" w:type="dxa"/>
            <w:noWrap w:val="0"/>
            <w:vAlign w:val="center"/>
          </w:tcPr>
          <w:p>
            <w:pPr>
              <w:pStyle w:val="20"/>
              <w:rPr>
                <w:color w:val="auto"/>
              </w:rPr>
            </w:pPr>
          </w:p>
        </w:tc>
        <w:tc>
          <w:tcPr>
            <w:tcW w:w="2551" w:type="dxa"/>
            <w:noWrap w:val="0"/>
            <w:vAlign w:val="center"/>
          </w:tcPr>
          <w:p>
            <w:pPr>
              <w:pStyle w:val="20"/>
              <w:rPr>
                <w:color w:val="auto"/>
              </w:rPr>
            </w:pPr>
          </w:p>
        </w:tc>
        <w:tc>
          <w:tcPr>
            <w:tcW w:w="2551"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16</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城乡社区规划与管理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17</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2120201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城乡社区规划与管理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18</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21203</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城乡社区公共设施</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19</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2120399</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其他城乡社区公共设施支出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20</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征地和拆迁补偿支出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20"/>
              <w:rPr>
                <w:rFonts w:hint="eastAsia"/>
                <w:color w:val="auto"/>
                <w:lang w:val="en-US" w:eastAsia="zh-CN"/>
              </w:rPr>
            </w:pPr>
          </w:p>
        </w:tc>
        <w:tc>
          <w:tcPr>
            <w:tcW w:w="2551" w:type="dxa"/>
            <w:noWrap w:val="0"/>
            <w:vAlign w:val="center"/>
          </w:tcPr>
          <w:p>
            <w:pPr>
              <w:pStyle w:val="20"/>
              <w:rPr>
                <w:rFonts w:hint="eastAsia"/>
                <w:color w:val="auto"/>
                <w:lang w:val="en-US" w:eastAsia="zh-CN"/>
              </w:rPr>
            </w:pPr>
          </w:p>
        </w:tc>
        <w:tc>
          <w:tcPr>
            <w:tcW w:w="2551" w:type="dxa"/>
            <w:noWrap w:val="0"/>
            <w:vAlign w:val="center"/>
          </w:tcPr>
          <w:p>
            <w:pPr>
              <w:pStyle w:val="2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23</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21210</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国有土地收益基金安排的支出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24</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2121002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25</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农林水支出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26</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农业农村</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27</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2130135</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农业资源保护修复与利用</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28</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林业和草原</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29</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2130205</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森林资源培育</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30</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2130206</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技术推广与转化</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31</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2130209</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森林生态效益补偿</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32</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2130234</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林业草原防灾减灾</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33</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220</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自然资源海洋气象等支出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34</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22001</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自然资源事务</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行政运行</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一般行政管理事务</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自然资源规划及管理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38</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自然资源利用与保护</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39</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2200113</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地质矿产资源与环境调查</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40</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2200114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地质勘查与矿产资源管理</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41</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2200150</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事业运行</w:t>
            </w:r>
          </w:p>
        </w:tc>
        <w:tc>
          <w:tcPr>
            <w:tcW w:w="255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2551" w:type="dxa"/>
            <w:noWrap w:val="0"/>
            <w:vAlign w:val="center"/>
          </w:tcPr>
          <w:p>
            <w:pPr>
              <w:pStyle w:val="16"/>
              <w:rPr>
                <w:rFonts w:hint="eastAsia" w:ascii="方正书宋_GBK" w:hAnsi="方正书宋_GBK" w:eastAsia="方正书宋_GBK" w:cs="方正书宋_GBK"/>
                <w:color w:val="auto"/>
                <w:sz w:val="21"/>
                <w:szCs w:val="24"/>
                <w:lang w:val="en-US" w:eastAsia="zh-CN" w:bidi="ar-SA"/>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住房保障支出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住房改革支出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44</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2210201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住房公积金</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45</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灾害防治及应急管理支出</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46</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自然灾害防治</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47</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2240601</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地质灾害防治</w:t>
            </w: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u w:val="none"/>
                <w:lang w:val="en-US" w:eastAsia="zh-CN" w:bidi="ar"/>
              </w:rPr>
            </w:pPr>
          </w:p>
        </w:tc>
        <w:tc>
          <w:tcPr>
            <w:tcW w:w="1191"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4535"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c>
          <w:tcPr>
            <w:tcW w:w="2551" w:type="dxa"/>
            <w:noWrap w:val="0"/>
            <w:vAlign w:val="center"/>
          </w:tcPr>
          <w:p>
            <w:pPr>
              <w:pStyle w:val="16"/>
              <w:rPr>
                <w:rFonts w:hint="eastAsia"/>
                <w:color w:val="auto"/>
                <w:lang w:val="en-US" w:eastAsia="zh-CN"/>
              </w:rPr>
            </w:pPr>
          </w:p>
        </w:tc>
      </w:tr>
    </w:tbl>
    <w:p>
      <w:pPr>
        <w:rPr>
          <w:color w:val="auto"/>
        </w:rPr>
        <w:sectPr>
          <w:pgSz w:w="16840" w:h="11900" w:orient="landscape"/>
          <w:pgMar w:top="1361" w:right="1020" w:bottom="1134" w:left="1020" w:header="720" w:footer="720" w:gutter="0"/>
          <w:cols w:space="720" w:num="1"/>
        </w:sectPr>
      </w:pPr>
    </w:p>
    <w:p>
      <w:pPr>
        <w:jc w:val="center"/>
        <w:outlineLvl w:val="4"/>
        <w:rPr>
          <w:rFonts w:ascii="方正小标宋_GBK" w:hAnsi="方正小标宋_GBK" w:eastAsia="方正小标宋_GBK" w:cs="方正小标宋_GBK"/>
          <w:color w:val="auto"/>
          <w:sz w:val="36"/>
        </w:rPr>
      </w:pPr>
      <w:r>
        <w:rPr>
          <w:rFonts w:ascii="方正小标宋_GBK" w:hAnsi="方正小标宋_GBK" w:eastAsia="方正小标宋_GBK" w:cs="方正小标宋_GBK"/>
          <w:color w:val="auto"/>
          <w:sz w:val="36"/>
        </w:rPr>
        <w:t>单位预算一般公共预算财政拨款基本支出表</w:t>
      </w:r>
    </w:p>
    <w:p>
      <w:pPr>
        <w:jc w:val="center"/>
        <w:outlineLvl w:val="4"/>
        <w:rPr>
          <w:rFonts w:ascii="方正小标宋_GBK" w:hAnsi="方正小标宋_GBK" w:eastAsia="方正小标宋_GBK" w:cs="方正小标宋_GBK"/>
          <w:color w:val="auto"/>
          <w:sz w:val="36"/>
        </w:rPr>
      </w:pPr>
    </w:p>
    <w:tbl>
      <w:tblPr>
        <w:tblStyle w:val="5"/>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spacing w:line="240" w:lineRule="auto"/>
              <w:ind w:left="1680" w:leftChars="0" w:hanging="1680" w:hangingChars="700"/>
              <w:jc w:val="left"/>
              <w:rPr>
                <w:rFonts w:hint="default" w:ascii="方正小标宋_GBK" w:hAnsi="Times New Roman" w:eastAsia="方正小标宋_GBK" w:cs="Times New Roman"/>
                <w:color w:val="auto"/>
                <w:sz w:val="24"/>
                <w:szCs w:val="24"/>
                <w:lang w:val="en-US" w:eastAsia="uk-UA" w:bidi="ar-SA"/>
              </w:rPr>
            </w:pPr>
            <w:r>
              <w:rPr>
                <w:rFonts w:ascii="方正小标宋_GBK" w:eastAsia="方正小标宋_GBK"/>
                <w:color w:val="auto"/>
                <w:sz w:val="24"/>
              </w:rPr>
              <w:t>324007</w:t>
            </w:r>
            <w:r>
              <w:rPr>
                <w:color w:val="auto"/>
              </w:rPr>
              <w:t>保定市自然资源和规划局满城区分局(</w:t>
            </w:r>
            <w:r>
              <w:rPr>
                <w:rFonts w:hint="eastAsia" w:eastAsia="宋体"/>
                <w:color w:val="auto"/>
                <w:lang w:val="en-US" w:eastAsia="zh-CN"/>
              </w:rPr>
              <w:t>国土局部门</w:t>
            </w:r>
            <w:r>
              <w:rPr>
                <w:color w:val="auto"/>
              </w:rPr>
              <w:t>)</w:t>
            </w:r>
          </w:p>
        </w:tc>
        <w:tc>
          <w:tcPr>
            <w:tcW w:w="2551" w:type="dxa"/>
            <w:tcBorders>
              <w:top w:val="single" w:color="FFFFFF" w:sz="6" w:space="0"/>
              <w:left w:val="single" w:color="FFFFFF" w:sz="6" w:space="0"/>
              <w:right w:val="single" w:color="FFFFFF" w:sz="6" w:space="0"/>
            </w:tcBorders>
            <w:noWrap w:val="0"/>
            <w:vAlign w:val="center"/>
          </w:tcPr>
          <w:p>
            <w:pPr>
              <w:pStyle w:val="13"/>
              <w:rPr>
                <w:color w:val="auto"/>
              </w:rPr>
            </w:pPr>
            <w:r>
              <w:rPr>
                <w:color w:val="auto"/>
              </w:rPr>
              <w:t>预算年度：202</w:t>
            </w:r>
            <w:r>
              <w:rPr>
                <w:rFonts w:hint="eastAsia"/>
                <w:color w:val="auto"/>
                <w:lang w:val="en-US" w:eastAsia="zh-CN"/>
              </w:rPr>
              <w:t>1</w:t>
            </w:r>
          </w:p>
        </w:tc>
        <w:tc>
          <w:tcPr>
            <w:tcW w:w="5103"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支出部门经济分类科目</w:t>
            </w:r>
          </w:p>
        </w:tc>
        <w:tc>
          <w:tcPr>
            <w:tcW w:w="7654" w:type="dxa"/>
            <w:gridSpan w:val="3"/>
            <w:noWrap w:val="0"/>
            <w:vAlign w:val="center"/>
          </w:tcPr>
          <w:p>
            <w:pPr>
              <w:pStyle w:val="15"/>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noWrap w:val="0"/>
            <w:vAlign w:val="center"/>
          </w:tcPr>
          <w:p>
            <w:pPr>
              <w:pStyle w:val="15"/>
              <w:rPr>
                <w:color w:val="auto"/>
              </w:rPr>
            </w:pPr>
            <w:r>
              <w:rPr>
                <w:color w:val="auto"/>
              </w:rPr>
              <w:t>合计</w:t>
            </w:r>
          </w:p>
        </w:tc>
        <w:tc>
          <w:tcPr>
            <w:tcW w:w="2551" w:type="dxa"/>
            <w:noWrap w:val="0"/>
            <w:vAlign w:val="center"/>
          </w:tcPr>
          <w:p>
            <w:pPr>
              <w:pStyle w:val="15"/>
              <w:rPr>
                <w:color w:val="auto"/>
              </w:rPr>
            </w:pPr>
            <w:r>
              <w:rPr>
                <w:color w:val="auto"/>
              </w:rPr>
              <w:t>人员经费</w:t>
            </w:r>
          </w:p>
        </w:tc>
        <w:tc>
          <w:tcPr>
            <w:tcW w:w="2552" w:type="dxa"/>
            <w:noWrap w:val="0"/>
            <w:vAlign w:val="center"/>
          </w:tcPr>
          <w:p>
            <w:pPr>
              <w:pStyle w:val="15"/>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2"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jc w:val="left"/>
              <w:rPr>
                <w:rFonts w:ascii="方正书宋_GBK" w:hAnsi="Times New Roman" w:eastAsia="方正书宋_GBK" w:cs="Times New Roman"/>
                <w:b/>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b/>
                <w:color w:val="auto"/>
                <w:sz w:val="24"/>
                <w:szCs w:val="24"/>
                <w:lang w:val="en-US" w:eastAsia="uk-UA" w:bidi="ar-SA"/>
              </w:rPr>
            </w:pPr>
          </w:p>
        </w:tc>
        <w:tc>
          <w:tcPr>
            <w:tcW w:w="2551" w:type="dxa"/>
            <w:noWrap w:val="0"/>
            <w:vAlign w:val="center"/>
          </w:tcPr>
          <w:p>
            <w:pPr>
              <w:pStyle w:val="20"/>
              <w:rPr>
                <w:rFonts w:hint="default" w:ascii="方正书宋_GBK" w:hAnsi="方正书宋_GBK" w:eastAsia="方正书宋_GBK" w:cs="方正书宋_GBK"/>
                <w:b/>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b/>
                <w:color w:val="auto"/>
                <w:sz w:val="24"/>
                <w:szCs w:val="24"/>
                <w:lang w:val="en-US" w:eastAsia="zh-CN" w:bidi="ar-SA"/>
              </w:rPr>
            </w:pPr>
          </w:p>
        </w:tc>
        <w:tc>
          <w:tcPr>
            <w:tcW w:w="2552" w:type="dxa"/>
            <w:noWrap w:val="0"/>
            <w:vAlign w:val="center"/>
          </w:tcPr>
          <w:p>
            <w:pPr>
              <w:pStyle w:val="20"/>
              <w:rPr>
                <w:rFonts w:hint="default"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uk-UA"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uk-UA"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uk-UA"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keepNext w:val="0"/>
              <w:keepLines w:val="0"/>
              <w:widowControl/>
              <w:suppressLineNumbers w:val="0"/>
              <w:jc w:val="left"/>
              <w:textAlignment w:val="center"/>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spacing w:line="300" w:lineRule="exact"/>
              <w:jc w:val="right"/>
              <w:rPr>
                <w:rFonts w:hint="default" w:ascii="方正书宋_GBK" w:hAnsi="Times New Roman" w:eastAsia="方正书宋_GBK" w:cs="Times New Roman"/>
                <w:color w:val="auto"/>
                <w:sz w:val="24"/>
                <w:szCs w:val="24"/>
                <w:lang w:val="en-US" w:eastAsia="zh-CN" w:bidi="ar-SA"/>
              </w:rPr>
            </w:pPr>
          </w:p>
        </w:tc>
        <w:tc>
          <w:tcPr>
            <w:tcW w:w="2552" w:type="dxa"/>
            <w:noWrap w:val="0"/>
            <w:vAlign w:val="center"/>
          </w:tcPr>
          <w:p>
            <w:pPr>
              <w:pStyle w:val="16"/>
              <w:rPr>
                <w:color w:val="auto"/>
              </w:rPr>
            </w:pPr>
          </w:p>
        </w:tc>
      </w:tr>
    </w:tbl>
    <w:p>
      <w:pPr>
        <w:jc w:val="left"/>
        <w:outlineLvl w:val="4"/>
        <w:rPr>
          <w:rFonts w:ascii="方正书宋_GBK" w:hAnsi="方正书宋_GBK" w:eastAsia="方正书宋_GBK" w:cs="方正书宋_GBK"/>
          <w:color w:val="auto"/>
          <w:sz w:val="21"/>
        </w:rPr>
      </w:pPr>
      <w:r>
        <w:rPr>
          <w:rFonts w:ascii="方正书宋_GBK" w:hAnsi="方正书宋_GBK" w:eastAsia="方正书宋_GBK" w:cs="方正书宋_GBK"/>
          <w:color w:val="auto"/>
          <w:sz w:val="21"/>
        </w:rPr>
        <w:t>注：无一般公共预算财政拨款基本支出，空表列示。</w:t>
      </w: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rFonts w:ascii="方正小标宋_GBK" w:hAnsi="方正小标宋_GBK" w:eastAsia="方正小标宋_GBK" w:cs="方正小标宋_GBK"/>
          <w:color w:val="auto"/>
          <w:sz w:val="36"/>
        </w:rPr>
      </w:pPr>
    </w:p>
    <w:p>
      <w:pPr>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rPr>
                <w:color w:val="auto"/>
              </w:rPr>
            </w:pPr>
            <w:r>
              <w:rPr>
                <w:rFonts w:ascii="方正小标宋_GBK" w:eastAsia="方正小标宋_GBK"/>
                <w:color w:val="auto"/>
                <w:sz w:val="24"/>
              </w:rPr>
              <w:t>324007</w:t>
            </w:r>
            <w:r>
              <w:rPr>
                <w:color w:val="auto"/>
              </w:rPr>
              <w:t>保定市自然资源和规划局满城区分局(</w:t>
            </w:r>
            <w:r>
              <w:rPr>
                <w:rFonts w:hint="eastAsia" w:eastAsia="宋体"/>
                <w:color w:val="auto"/>
                <w:lang w:val="en-US" w:eastAsia="zh-CN"/>
              </w:rPr>
              <w:t>国土局部门</w:t>
            </w:r>
            <w:r>
              <w:rPr>
                <w:color w:val="auto"/>
              </w:rPr>
              <w:t>)</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1</w:t>
            </w:r>
          </w:p>
        </w:tc>
        <w:tc>
          <w:tcPr>
            <w:tcW w:w="1191" w:type="dxa"/>
            <w:noWrap w:val="0"/>
            <w:vAlign w:val="center"/>
          </w:tcPr>
          <w:p>
            <w:pPr>
              <w:jc w:val="left"/>
              <w:rPr>
                <w:color w:val="auto"/>
              </w:rPr>
            </w:pP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合计</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5000</w:t>
            </w: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r>
              <w:rPr>
                <w:rFonts w:hint="eastAsia" w:cs="方正书宋_GBK"/>
                <w:color w:val="auto"/>
                <w:sz w:val="21"/>
                <w:szCs w:val="24"/>
                <w:lang w:val="en-US" w:eastAsia="zh-CN" w:bidi="ar-SA"/>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2</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城乡社区支出</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5000</w:t>
            </w: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r>
              <w:rPr>
                <w:rFonts w:hint="eastAsia" w:cs="方正书宋_GBK"/>
                <w:color w:val="auto"/>
                <w:sz w:val="21"/>
                <w:szCs w:val="24"/>
                <w:lang w:val="en-US" w:eastAsia="zh-CN" w:bidi="ar-SA"/>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r>
              <w:rPr>
                <w:rFonts w:hint="eastAsia" w:ascii="宋体" w:hAnsi="宋体" w:eastAsia="宋体" w:cs="宋体"/>
                <w:i w:val="0"/>
                <w:iCs w:val="0"/>
                <w:color w:val="auto"/>
                <w:kern w:val="0"/>
                <w:sz w:val="18"/>
                <w:szCs w:val="18"/>
                <w:u w:val="none"/>
                <w:lang w:val="en-US" w:eastAsia="zh-CN" w:bidi="ar"/>
              </w:rPr>
              <w:t>3</w:t>
            </w:r>
          </w:p>
        </w:tc>
        <w:tc>
          <w:tcPr>
            <w:tcW w:w="1191"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21208</w:t>
            </w:r>
          </w:p>
        </w:tc>
        <w:tc>
          <w:tcPr>
            <w:tcW w:w="4535" w:type="dxa"/>
            <w:noWrap w:val="0"/>
            <w:vAlign w:val="center"/>
          </w:tcPr>
          <w:p>
            <w:pPr>
              <w:keepNext w:val="0"/>
              <w:keepLines w:val="0"/>
              <w:widowControl/>
              <w:suppressLineNumbers w:val="0"/>
              <w:jc w:val="left"/>
              <w:textAlignment w:val="center"/>
              <w:rPr>
                <w:color w:val="auto"/>
              </w:rPr>
            </w:pPr>
            <w:r>
              <w:rPr>
                <w:rFonts w:hint="eastAsia" w:ascii="宋体" w:hAnsi="宋体" w:eastAsia="宋体" w:cs="宋体"/>
                <w:i w:val="0"/>
                <w:iCs w:val="0"/>
                <w:color w:val="auto"/>
                <w:kern w:val="0"/>
                <w:sz w:val="18"/>
                <w:szCs w:val="18"/>
                <w:u w:val="none"/>
                <w:lang w:val="en-US" w:eastAsia="zh-CN" w:bidi="ar"/>
              </w:rPr>
              <w:t>国有土地使用权出让收入安排的支出</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5000</w:t>
            </w:r>
          </w:p>
        </w:tc>
        <w:tc>
          <w:tcPr>
            <w:tcW w:w="2551" w:type="dxa"/>
            <w:noWrap w:val="0"/>
            <w:vAlign w:val="center"/>
          </w:tcPr>
          <w:p>
            <w:pPr>
              <w:pStyle w:val="16"/>
              <w:rPr>
                <w:color w:val="auto"/>
              </w:rPr>
            </w:pPr>
          </w:p>
        </w:tc>
        <w:tc>
          <w:tcPr>
            <w:tcW w:w="2551" w:type="dxa"/>
            <w:noWrap w:val="0"/>
            <w:vAlign w:val="center"/>
          </w:tcPr>
          <w:p>
            <w:pPr>
              <w:pStyle w:val="16"/>
              <w:rPr>
                <w:rFonts w:hint="default" w:eastAsia="方正书宋_GBK"/>
                <w:color w:val="auto"/>
                <w:lang w:val="en-US" w:eastAsia="zh-CN"/>
              </w:rPr>
            </w:pPr>
            <w:r>
              <w:rPr>
                <w:rFonts w:hint="eastAsia" w:cs="方正书宋_GBK"/>
                <w:color w:val="auto"/>
                <w:sz w:val="21"/>
                <w:szCs w:val="24"/>
                <w:lang w:val="en-US" w:eastAsia="zh-CN" w:bidi="ar-SA"/>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rFonts w:hint="eastAsia" w:eastAsia="宋体"/>
                <w:color w:val="auto"/>
                <w:lang w:val="en-US" w:eastAsia="zh-CN"/>
              </w:rPr>
            </w:pPr>
            <w:r>
              <w:rPr>
                <w:rFonts w:hint="eastAsia" w:eastAsia="宋体"/>
                <w:color w:val="auto"/>
                <w:lang w:val="en-US" w:eastAsia="zh-CN"/>
              </w:rPr>
              <w:t>4</w:t>
            </w:r>
          </w:p>
        </w:tc>
        <w:tc>
          <w:tcPr>
            <w:tcW w:w="1191"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2120802</w:t>
            </w:r>
          </w:p>
        </w:tc>
        <w:tc>
          <w:tcPr>
            <w:tcW w:w="4535" w:type="dxa"/>
            <w:noWrap w:val="0"/>
            <w:vAlign w:val="center"/>
          </w:tcPr>
          <w:p>
            <w:pPr>
              <w:keepNext w:val="0"/>
              <w:keepLines w:val="0"/>
              <w:widowControl/>
              <w:suppressLineNumbers w:val="0"/>
              <w:jc w:val="left"/>
              <w:textAlignment w:val="center"/>
              <w:rPr>
                <w:rFonts w:ascii="Times New Roman" w:hAnsi="Times New Roman" w:eastAsia="Times New Roman" w:cs="Times New Roman"/>
                <w:color w:val="auto"/>
                <w:sz w:val="24"/>
                <w:szCs w:val="24"/>
                <w:lang w:val="en-US" w:eastAsia="uk-UA" w:bidi="ar-SA"/>
              </w:rPr>
            </w:pPr>
            <w:r>
              <w:rPr>
                <w:rFonts w:hint="eastAsia" w:ascii="宋体" w:hAnsi="宋体" w:eastAsia="宋体" w:cs="宋体"/>
                <w:i w:val="0"/>
                <w:iCs w:val="0"/>
                <w:color w:val="auto"/>
                <w:kern w:val="0"/>
                <w:sz w:val="18"/>
                <w:szCs w:val="18"/>
                <w:u w:val="none"/>
                <w:lang w:val="en-US" w:eastAsia="zh-CN" w:bidi="ar"/>
              </w:rPr>
              <w:t>土地开发支出</w:t>
            </w: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5000</w:t>
            </w:r>
          </w:p>
        </w:tc>
        <w:tc>
          <w:tcPr>
            <w:tcW w:w="2551" w:type="dxa"/>
            <w:noWrap w:val="0"/>
            <w:vAlign w:val="center"/>
          </w:tcPr>
          <w:p>
            <w:pPr>
              <w:pStyle w:val="16"/>
              <w:rPr>
                <w:rFonts w:ascii="方正书宋_GBK" w:hAnsi="方正书宋_GBK" w:eastAsia="方正书宋_GBK" w:cs="方正书宋_GBK"/>
                <w:color w:val="auto"/>
                <w:sz w:val="21"/>
                <w:szCs w:val="24"/>
                <w:lang w:val="en-US" w:eastAsia="uk-UA" w:bidi="ar-SA"/>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r>
              <w:rPr>
                <w:rFonts w:hint="eastAsia" w:cs="方正书宋_GBK"/>
                <w:color w:val="auto"/>
                <w:sz w:val="21"/>
                <w:szCs w:val="24"/>
                <w:lang w:val="en-US" w:eastAsia="zh-CN" w:bidi="ar-SA"/>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keepNext w:val="0"/>
              <w:keepLines w:val="0"/>
              <w:widowControl/>
              <w:suppressLineNumbers w:val="0"/>
              <w:jc w:val="center"/>
              <w:textAlignment w:val="center"/>
              <w:rPr>
                <w:color w:val="auto"/>
              </w:rPr>
            </w:pPr>
          </w:p>
        </w:tc>
        <w:tc>
          <w:tcPr>
            <w:tcW w:w="1191" w:type="dxa"/>
            <w:noWrap w:val="0"/>
            <w:vAlign w:val="center"/>
          </w:tcPr>
          <w:p>
            <w:pPr>
              <w:keepNext w:val="0"/>
              <w:keepLines w:val="0"/>
              <w:widowControl/>
              <w:suppressLineNumbers w:val="0"/>
              <w:jc w:val="left"/>
              <w:textAlignment w:val="center"/>
              <w:rPr>
                <w:color w:val="auto"/>
              </w:rPr>
            </w:pPr>
          </w:p>
        </w:tc>
        <w:tc>
          <w:tcPr>
            <w:tcW w:w="4535" w:type="dxa"/>
            <w:noWrap w:val="0"/>
            <w:vAlign w:val="center"/>
          </w:tcPr>
          <w:p>
            <w:pPr>
              <w:keepNext w:val="0"/>
              <w:keepLines w:val="0"/>
              <w:widowControl/>
              <w:suppressLineNumbers w:val="0"/>
              <w:jc w:val="left"/>
              <w:textAlignment w:val="center"/>
              <w:rPr>
                <w:color w:val="auto"/>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c>
          <w:tcPr>
            <w:tcW w:w="2551" w:type="dxa"/>
            <w:noWrap w:val="0"/>
            <w:vAlign w:val="center"/>
          </w:tcPr>
          <w:p>
            <w:pPr>
              <w:pStyle w:val="16"/>
              <w:rPr>
                <w:color w:val="auto"/>
              </w:rPr>
            </w:pPr>
          </w:p>
        </w:tc>
        <w:tc>
          <w:tcPr>
            <w:tcW w:w="2551" w:type="dxa"/>
            <w:noWrap w:val="0"/>
            <w:vAlign w:val="center"/>
          </w:tcPr>
          <w:p>
            <w:pPr>
              <w:pStyle w:val="16"/>
              <w:rPr>
                <w:rFonts w:hint="default" w:ascii="方正书宋_GBK" w:hAnsi="方正书宋_GBK" w:eastAsia="方正书宋_GBK" w:cs="方正书宋_GBK"/>
                <w:color w:val="auto"/>
                <w:sz w:val="21"/>
                <w:szCs w:val="24"/>
                <w:lang w:val="en-US" w:eastAsia="zh-CN" w:bidi="ar-SA"/>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5"/>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4"/>
              <w:rPr>
                <w:color w:val="auto"/>
              </w:rPr>
            </w:pPr>
            <w:r>
              <w:rPr>
                <w:rFonts w:ascii="方正小标宋_GBK" w:eastAsia="方正小标宋_GBK"/>
                <w:color w:val="auto"/>
                <w:sz w:val="24"/>
              </w:rPr>
              <w:t>324007</w:t>
            </w:r>
            <w:r>
              <w:rPr>
                <w:color w:val="auto"/>
              </w:rPr>
              <w:t>保定市自然资源和规划局满城区分局(</w:t>
            </w:r>
            <w:r>
              <w:rPr>
                <w:rFonts w:hint="eastAsia" w:eastAsia="宋体"/>
                <w:color w:val="auto"/>
                <w:lang w:val="en-US" w:eastAsia="zh-CN"/>
              </w:rPr>
              <w:t>国土局部门</w:t>
            </w:r>
            <w:r>
              <w:rPr>
                <w:color w:val="auto"/>
              </w:rPr>
              <w:t>)</w:t>
            </w:r>
          </w:p>
        </w:tc>
        <w:tc>
          <w:tcPr>
            <w:tcW w:w="2551" w:type="dxa"/>
            <w:tcBorders>
              <w:top w:val="single" w:color="FFFFFF" w:sz="6" w:space="0"/>
              <w:left w:val="single" w:color="FFFFFF" w:sz="6" w:space="0"/>
              <w:right w:val="single" w:color="FFFFFF" w:sz="6" w:space="0"/>
            </w:tcBorders>
            <w:noWrap w:val="0"/>
            <w:vAlign w:val="center"/>
          </w:tcPr>
          <w:p>
            <w:pPr>
              <w:pStyle w:val="13"/>
              <w:rPr>
                <w:rFonts w:hint="eastAsia" w:eastAsia="方正小标宋_GBK"/>
                <w:color w:val="auto"/>
                <w:lang w:eastAsia="zh-CN"/>
              </w:rPr>
            </w:pPr>
            <w:r>
              <w:rPr>
                <w:color w:val="auto"/>
              </w:rPr>
              <w:t>预算年度：202</w:t>
            </w:r>
            <w:r>
              <w:rPr>
                <w:rFonts w:hint="eastAsia"/>
                <w:color w:val="auto"/>
                <w:lang w:val="en-US" w:eastAsia="zh-CN"/>
              </w:rPr>
              <w:t>1</w:t>
            </w:r>
          </w:p>
        </w:tc>
        <w:tc>
          <w:tcPr>
            <w:tcW w:w="5102"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5"/>
              <w:rPr>
                <w:color w:val="auto"/>
              </w:rPr>
            </w:pPr>
            <w:r>
              <w:rPr>
                <w:color w:val="auto"/>
              </w:rPr>
              <w:t>序号</w:t>
            </w:r>
          </w:p>
        </w:tc>
        <w:tc>
          <w:tcPr>
            <w:tcW w:w="5726" w:type="dxa"/>
            <w:gridSpan w:val="2"/>
            <w:noWrap w:val="0"/>
            <w:vAlign w:val="center"/>
          </w:tcPr>
          <w:p>
            <w:pPr>
              <w:pStyle w:val="15"/>
              <w:rPr>
                <w:color w:val="auto"/>
              </w:rPr>
            </w:pPr>
            <w:r>
              <w:rPr>
                <w:color w:val="auto"/>
              </w:rPr>
              <w:t>功能分类科目</w:t>
            </w:r>
          </w:p>
        </w:tc>
        <w:tc>
          <w:tcPr>
            <w:tcW w:w="2551" w:type="dxa"/>
            <w:vMerge w:val="restart"/>
            <w:noWrap w:val="0"/>
            <w:vAlign w:val="center"/>
          </w:tcPr>
          <w:p>
            <w:pPr>
              <w:pStyle w:val="15"/>
              <w:rPr>
                <w:color w:val="auto"/>
              </w:rPr>
            </w:pPr>
            <w:r>
              <w:rPr>
                <w:color w:val="auto"/>
              </w:rPr>
              <w:t>合计</w:t>
            </w:r>
          </w:p>
        </w:tc>
        <w:tc>
          <w:tcPr>
            <w:tcW w:w="2551" w:type="dxa"/>
            <w:vMerge w:val="restart"/>
            <w:noWrap w:val="0"/>
            <w:vAlign w:val="center"/>
          </w:tcPr>
          <w:p>
            <w:pPr>
              <w:pStyle w:val="15"/>
              <w:rPr>
                <w:color w:val="auto"/>
              </w:rPr>
            </w:pPr>
            <w:r>
              <w:rPr>
                <w:color w:val="auto"/>
              </w:rPr>
              <w:t>基本支出</w:t>
            </w:r>
          </w:p>
        </w:tc>
        <w:tc>
          <w:tcPr>
            <w:tcW w:w="2551" w:type="dxa"/>
            <w:vMerge w:val="restart"/>
            <w:noWrap w:val="0"/>
            <w:vAlign w:val="center"/>
          </w:tcPr>
          <w:p>
            <w:pPr>
              <w:pStyle w:val="15"/>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pPr>
              <w:rPr>
                <w:color w:val="auto"/>
              </w:rPr>
            </w:pPr>
          </w:p>
        </w:tc>
        <w:tc>
          <w:tcPr>
            <w:tcW w:w="1191" w:type="dxa"/>
            <w:noWrap w:val="0"/>
            <w:vAlign w:val="center"/>
          </w:tcPr>
          <w:p>
            <w:pPr>
              <w:pStyle w:val="15"/>
              <w:rPr>
                <w:color w:val="auto"/>
              </w:rPr>
            </w:pPr>
            <w:r>
              <w:rPr>
                <w:color w:val="auto"/>
              </w:rPr>
              <w:t>科目编码</w:t>
            </w:r>
          </w:p>
        </w:tc>
        <w:tc>
          <w:tcPr>
            <w:tcW w:w="4535" w:type="dxa"/>
            <w:noWrap w:val="0"/>
            <w:vAlign w:val="center"/>
          </w:tcPr>
          <w:p>
            <w:pPr>
              <w:pStyle w:val="15"/>
              <w:rPr>
                <w:color w:val="auto"/>
              </w:rPr>
            </w:pPr>
            <w:r>
              <w:rPr>
                <w:color w:val="auto"/>
              </w:rPr>
              <w:t>科目名称</w:t>
            </w:r>
          </w:p>
        </w:tc>
        <w:tc>
          <w:tcPr>
            <w:tcW w:w="2551" w:type="dxa"/>
            <w:vMerge w:val="continue"/>
            <w:noWrap w:val="0"/>
            <w:vAlign w:val="top"/>
          </w:tcPr>
          <w:p>
            <w:pPr>
              <w:rPr>
                <w:color w:val="auto"/>
              </w:rPr>
            </w:pPr>
          </w:p>
        </w:tc>
        <w:tc>
          <w:tcPr>
            <w:tcW w:w="2551" w:type="dxa"/>
            <w:vMerge w:val="continue"/>
            <w:noWrap w:val="0"/>
            <w:vAlign w:val="top"/>
          </w:tcPr>
          <w:p>
            <w:pPr>
              <w:rPr>
                <w:color w:val="auto"/>
              </w:rPr>
            </w:pPr>
          </w:p>
        </w:tc>
        <w:tc>
          <w:tcPr>
            <w:tcW w:w="2551"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5"/>
              <w:rPr>
                <w:color w:val="auto"/>
              </w:rPr>
            </w:pPr>
            <w:r>
              <w:rPr>
                <w:color w:val="auto"/>
              </w:rPr>
              <w:t>栏次</w:t>
            </w:r>
          </w:p>
        </w:tc>
        <w:tc>
          <w:tcPr>
            <w:tcW w:w="1191" w:type="dxa"/>
            <w:noWrap w:val="0"/>
            <w:vAlign w:val="center"/>
          </w:tcPr>
          <w:p>
            <w:pPr>
              <w:pStyle w:val="15"/>
              <w:rPr>
                <w:color w:val="auto"/>
              </w:rPr>
            </w:pPr>
            <w:r>
              <w:rPr>
                <w:color w:val="auto"/>
              </w:rPr>
              <w:t>1</w:t>
            </w:r>
          </w:p>
        </w:tc>
        <w:tc>
          <w:tcPr>
            <w:tcW w:w="4535" w:type="dxa"/>
            <w:noWrap w:val="0"/>
            <w:vAlign w:val="center"/>
          </w:tcPr>
          <w:p>
            <w:pPr>
              <w:pStyle w:val="15"/>
              <w:rPr>
                <w:color w:val="auto"/>
              </w:rPr>
            </w:pPr>
            <w:r>
              <w:rPr>
                <w:color w:val="auto"/>
              </w:rPr>
              <w:t>2</w:t>
            </w:r>
          </w:p>
        </w:tc>
        <w:tc>
          <w:tcPr>
            <w:tcW w:w="2551" w:type="dxa"/>
            <w:noWrap w:val="0"/>
            <w:vAlign w:val="center"/>
          </w:tcPr>
          <w:p>
            <w:pPr>
              <w:pStyle w:val="15"/>
              <w:rPr>
                <w:color w:val="auto"/>
              </w:rPr>
            </w:pPr>
            <w:r>
              <w:rPr>
                <w:color w:val="auto"/>
              </w:rPr>
              <w:t>3</w:t>
            </w:r>
          </w:p>
        </w:tc>
        <w:tc>
          <w:tcPr>
            <w:tcW w:w="2551" w:type="dxa"/>
            <w:noWrap w:val="0"/>
            <w:vAlign w:val="center"/>
          </w:tcPr>
          <w:p>
            <w:pPr>
              <w:pStyle w:val="15"/>
              <w:rPr>
                <w:color w:val="auto"/>
              </w:rPr>
            </w:pPr>
            <w:r>
              <w:rPr>
                <w:color w:val="auto"/>
              </w:rPr>
              <w:t>4</w:t>
            </w:r>
          </w:p>
        </w:tc>
        <w:tc>
          <w:tcPr>
            <w:tcW w:w="2551" w:type="dxa"/>
            <w:noWrap w:val="0"/>
            <w:vAlign w:val="center"/>
          </w:tcPr>
          <w:p>
            <w:pPr>
              <w:pStyle w:val="15"/>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pStyle w:val="17"/>
              <w:rPr>
                <w:color w:val="auto"/>
              </w:rPr>
            </w:pPr>
          </w:p>
        </w:tc>
        <w:tc>
          <w:tcPr>
            <w:tcW w:w="4535" w:type="dxa"/>
            <w:noWrap w:val="0"/>
            <w:vAlign w:val="center"/>
          </w:tcPr>
          <w:p>
            <w:pPr>
              <w:pStyle w:val="17"/>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c>
          <w:tcPr>
            <w:tcW w:w="2551" w:type="dxa"/>
            <w:noWrap w:val="0"/>
            <w:vAlign w:val="center"/>
          </w:tcPr>
          <w:p>
            <w:pPr>
              <w:pStyle w:val="16"/>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pStyle w:val="16"/>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8"/>
              <w:rPr>
                <w:color w:val="auto"/>
              </w:rPr>
            </w:pPr>
          </w:p>
        </w:tc>
        <w:tc>
          <w:tcPr>
            <w:tcW w:w="1191" w:type="dxa"/>
            <w:noWrap w:val="0"/>
            <w:vAlign w:val="center"/>
          </w:tcPr>
          <w:p>
            <w:pPr>
              <w:spacing w:line="300" w:lineRule="exact"/>
              <w:jc w:val="center"/>
              <w:rPr>
                <w:rFonts w:ascii="方正书宋_GBK" w:hAnsi="Times New Roman" w:eastAsia="方正书宋_GBK" w:cs="Times New Roman"/>
                <w:color w:val="auto"/>
                <w:sz w:val="24"/>
                <w:szCs w:val="24"/>
                <w:lang w:val="en-US" w:eastAsia="uk-UA" w:bidi="ar-SA"/>
              </w:rPr>
            </w:pPr>
          </w:p>
        </w:tc>
        <w:tc>
          <w:tcPr>
            <w:tcW w:w="4535" w:type="dxa"/>
            <w:noWrap w:val="0"/>
            <w:vAlign w:val="center"/>
          </w:tcPr>
          <w:p>
            <w:pPr>
              <w:spacing w:line="300" w:lineRule="exact"/>
              <w:jc w:val="left"/>
              <w:rPr>
                <w:rFonts w:hint="eastAsia"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hAnsi="Times New Roman" w:eastAsia="方正书宋_GBK" w:cs="Times New Roman"/>
                <w:color w:val="auto"/>
                <w:sz w:val="24"/>
                <w:szCs w:val="24"/>
                <w:lang w:val="en-US" w:eastAsia="uk-UA" w:bidi="ar-SA"/>
              </w:rPr>
            </w:pPr>
          </w:p>
        </w:tc>
        <w:tc>
          <w:tcPr>
            <w:tcW w:w="2551" w:type="dxa"/>
            <w:noWrap w:val="0"/>
            <w:vAlign w:val="center"/>
          </w:tcPr>
          <w:p>
            <w:pPr>
              <w:spacing w:line="300" w:lineRule="exact"/>
              <w:jc w:val="right"/>
              <w:rPr>
                <w:rFonts w:ascii="方正书宋_GBK" w:eastAsia="方正书宋_GBK"/>
                <w:color w:val="auto"/>
              </w:rPr>
            </w:pPr>
          </w:p>
        </w:tc>
        <w:tc>
          <w:tcPr>
            <w:tcW w:w="2551" w:type="dxa"/>
            <w:noWrap w:val="0"/>
            <w:vAlign w:val="center"/>
          </w:tcPr>
          <w:p>
            <w:pPr>
              <w:pStyle w:val="16"/>
              <w:rPr>
                <w:rFonts w:ascii="方正书宋_GBK" w:eastAsia="方正书宋_GBK"/>
                <w:color w:val="auto"/>
              </w:rPr>
            </w:pPr>
          </w:p>
        </w:tc>
      </w:tr>
    </w:tbl>
    <w:p>
      <w:pPr>
        <w:ind w:firstLine="420"/>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jc w:val="center"/>
        <w:outlineLvl w:val="1"/>
        <w:rPr>
          <w:rFonts w:hint="eastAsia" w:hAnsi="宋体"/>
          <w:color w:val="auto"/>
          <w:sz w:val="32"/>
        </w:rPr>
      </w:pPr>
      <w:r>
        <w:rPr>
          <w:rFonts w:hint="eastAsia" w:ascii="方正小标宋_GBK" w:eastAsia="方正小标宋_GBK"/>
          <w:color w:val="auto"/>
          <w:sz w:val="32"/>
          <w:lang w:val="en-US" w:eastAsia="zh-CN"/>
        </w:rPr>
        <w:t>单位</w:t>
      </w:r>
      <w:r>
        <w:rPr>
          <w:rFonts w:hint="cs" w:ascii="方正小标宋_GBK" w:eastAsia="方正小标宋_GBK"/>
          <w:color w:val="auto"/>
          <w:sz w:val="32"/>
          <w:cs/>
        </w:rPr>
        <w:t>“</w:t>
      </w:r>
      <w:r>
        <w:rPr>
          <w:rFonts w:hint="eastAsia" w:ascii="方正小标宋_GBK" w:eastAsia="方正小标宋_GBK"/>
          <w:color w:val="auto"/>
          <w:sz w:val="32"/>
        </w:rPr>
        <w:t>三公</w:t>
      </w:r>
      <w:r>
        <w:rPr>
          <w:rFonts w:hint="cs" w:ascii="方正小标宋_GBK" w:eastAsia="方正小标宋_GBK"/>
          <w:color w:val="auto"/>
          <w:sz w:val="32"/>
          <w:cs/>
        </w:rPr>
        <w:t>”</w:t>
      </w:r>
      <w:r>
        <w:rPr>
          <w:rFonts w:hint="eastAsia" w:ascii="方正小标宋_GBK" w:eastAsia="方正小标宋_GBK"/>
          <w:color w:val="auto"/>
          <w:sz w:val="32"/>
        </w:rPr>
        <w:t>及会议培训经费预算</w:t>
      </w:r>
    </w:p>
    <w:tbl>
      <w:tblPr>
        <w:tblStyle w:val="5"/>
        <w:tblW w:w="143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02"/>
        <w:gridCol w:w="1843"/>
        <w:gridCol w:w="1814"/>
        <w:gridCol w:w="1814"/>
        <w:gridCol w:w="1814"/>
        <w:gridCol w:w="1814"/>
        <w:gridCol w:w="18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8873" w:type="dxa"/>
            <w:gridSpan w:val="4"/>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color w:val="auto"/>
                <w:sz w:val="24"/>
              </w:rPr>
            </w:pPr>
            <w:r>
              <w:rPr>
                <w:rFonts w:ascii="方正小标宋_GBK" w:eastAsia="方正小标宋_GBK"/>
                <w:color w:val="auto"/>
                <w:sz w:val="24"/>
              </w:rPr>
              <w:t>324007</w:t>
            </w:r>
            <w:r>
              <w:rPr>
                <w:color w:val="auto"/>
              </w:rPr>
              <w:t>保定市自然资源和规划局满城区分局(</w:t>
            </w:r>
            <w:r>
              <w:rPr>
                <w:rFonts w:hint="eastAsia" w:eastAsia="宋体"/>
                <w:color w:val="auto"/>
                <w:lang w:val="en-US" w:eastAsia="zh-CN"/>
              </w:rPr>
              <w:t>国土局部门</w:t>
            </w:r>
            <w:r>
              <w:rPr>
                <w:color w:val="auto"/>
              </w:rPr>
              <w:t>)</w:t>
            </w:r>
            <w:r>
              <w:rPr>
                <w:rFonts w:hint="eastAsia" w:ascii="方正小标宋_GBK" w:eastAsia="方正小标宋_GBK"/>
                <w:color w:val="auto"/>
                <w:sz w:val="24"/>
                <w:lang w:val="en-US" w:eastAsia="zh-CN"/>
              </w:rPr>
              <w:t xml:space="preserve">        </w:t>
            </w:r>
            <w:r>
              <w:rPr>
                <w:color w:val="auto"/>
              </w:rPr>
              <w:t>预算年度：202</w:t>
            </w:r>
            <w:r>
              <w:rPr>
                <w:rFonts w:hint="eastAsia"/>
                <w:color w:val="auto"/>
                <w:lang w:val="en-US" w:eastAsia="zh-CN"/>
              </w:rPr>
              <w:t>1</w:t>
            </w:r>
          </w:p>
        </w:tc>
        <w:tc>
          <w:tcPr>
            <w:tcW w:w="5442" w:type="dxa"/>
            <w:gridSpan w:val="3"/>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color w:val="auto"/>
                <w:sz w:val="24"/>
              </w:rPr>
            </w:pPr>
            <w:r>
              <w:rPr>
                <w:rFonts w:hint="eastAsia" w:ascii="方正书宋_GBK" w:eastAsia="方正书宋_GBK"/>
                <w:color w:val="auto"/>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3402" w:type="dxa"/>
            <w:vMerge w:val="restart"/>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支出内容</w:t>
            </w:r>
          </w:p>
        </w:tc>
        <w:tc>
          <w:tcPr>
            <w:tcW w:w="10913" w:type="dxa"/>
            <w:gridSpan w:val="6"/>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资</w:t>
            </w:r>
            <w:r>
              <w:rPr>
                <w:rFonts w:ascii="方正书宋_GBK" w:eastAsia="方正书宋_GBK"/>
                <w:b/>
                <w:color w:val="auto"/>
              </w:rPr>
              <w:t xml:space="preserve"> </w:t>
            </w:r>
            <w:r>
              <w:rPr>
                <w:rFonts w:hint="eastAsia" w:ascii="方正书宋_GBK" w:eastAsia="方正书宋_GBK"/>
                <w:b/>
                <w:color w:val="auto"/>
              </w:rPr>
              <w:t>金</w:t>
            </w:r>
            <w:r>
              <w:rPr>
                <w:rFonts w:ascii="方正书宋_GBK" w:eastAsia="方正书宋_GBK"/>
                <w:b/>
                <w:color w:val="auto"/>
              </w:rPr>
              <w:t xml:space="preserve"> </w:t>
            </w:r>
            <w:r>
              <w:rPr>
                <w:rFonts w:hint="eastAsia" w:ascii="方正书宋_GBK" w:eastAsia="方正书宋_GBK"/>
                <w:b/>
                <w:color w:val="auto"/>
              </w:rPr>
              <w:t>来</w:t>
            </w:r>
            <w:r>
              <w:rPr>
                <w:rFonts w:ascii="方正书宋_GBK" w:eastAsia="方正书宋_GBK"/>
                <w:b/>
                <w:color w:val="auto"/>
              </w:rPr>
              <w:t xml:space="preserve"> </w:t>
            </w:r>
            <w:r>
              <w:rPr>
                <w:rFonts w:hint="eastAsia" w:ascii="方正书宋_GBK" w:eastAsia="方正书宋_GBK"/>
                <w:b/>
                <w:color w:val="auto"/>
              </w:rPr>
              <w:t>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3402" w:type="dxa"/>
            <w:vMerge w:val="continue"/>
            <w:noWrap w:val="0"/>
            <w:vAlign w:val="center"/>
          </w:tcPr>
          <w:p>
            <w:pPr>
              <w:spacing w:line="300" w:lineRule="exact"/>
              <w:jc w:val="left"/>
              <w:outlineLvl w:val="1"/>
              <w:rPr>
                <w:rFonts w:eastAsia="方正仿宋_GBK"/>
                <w:color w:val="auto"/>
                <w:sz w:val="28"/>
              </w:rPr>
            </w:pPr>
          </w:p>
        </w:tc>
        <w:tc>
          <w:tcPr>
            <w:tcW w:w="1843"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合计</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一般公共预算</w:t>
            </w:r>
            <w:r>
              <w:rPr>
                <w:rFonts w:ascii="方正书宋_GBK" w:eastAsia="方正书宋_GBK"/>
                <w:b/>
                <w:color w:val="auto"/>
              </w:rPr>
              <w:t xml:space="preserve">  </w:t>
            </w:r>
            <w:r>
              <w:rPr>
                <w:rFonts w:hint="eastAsia" w:ascii="方正书宋_GBK" w:eastAsia="方正书宋_GBK"/>
                <w:b/>
                <w:color w:val="auto"/>
              </w:rPr>
              <w:t>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基金预算拨款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国有资本经营</w:t>
            </w:r>
            <w:r>
              <w:rPr>
                <w:rFonts w:ascii="方正书宋_GBK" w:eastAsia="方正书宋_GBK"/>
                <w:b/>
                <w:color w:val="auto"/>
              </w:rPr>
              <w:t xml:space="preserve">  </w:t>
            </w:r>
            <w:r>
              <w:rPr>
                <w:rFonts w:hint="eastAsia" w:ascii="方正书宋_GBK" w:eastAsia="方正书宋_GBK"/>
                <w:b/>
                <w:color w:val="auto"/>
              </w:rPr>
              <w:t>预算拨款</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财政专户核拨</w:t>
            </w:r>
          </w:p>
        </w:tc>
        <w:tc>
          <w:tcPr>
            <w:tcW w:w="1814"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center"/>
              <w:rPr>
                <w:rFonts w:ascii="方正书宋_GBK" w:eastAsia="方正书宋_GBK"/>
                <w:b/>
                <w:color w:val="auto"/>
              </w:rPr>
            </w:pPr>
            <w:r>
              <w:rPr>
                <w:rFonts w:hint="eastAsia" w:ascii="方正书宋_GBK" w:eastAsia="方正书宋_GBK"/>
                <w:b/>
                <w:color w:val="auto"/>
              </w:rPr>
              <w:t>合计</w:t>
            </w:r>
          </w:p>
        </w:tc>
        <w:tc>
          <w:tcPr>
            <w:tcW w:w="1843"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center"/>
              <w:rPr>
                <w:rFonts w:hint="eastAsia" w:ascii="方正书宋_GBK" w:eastAsia="方正书宋_GBK"/>
                <w:b/>
                <w:color w:val="auto"/>
              </w:rPr>
            </w:pPr>
            <w:r>
              <w:rPr>
                <w:rFonts w:hint="cs" w:ascii="方正书宋_GBK" w:eastAsia="方正书宋_GBK"/>
                <w:b/>
                <w:color w:val="auto"/>
                <w:cs/>
              </w:rPr>
              <w:t>“</w:t>
            </w:r>
            <w:r>
              <w:rPr>
                <w:rFonts w:hint="eastAsia" w:ascii="方正书宋_GBK" w:eastAsia="方正书宋_GBK"/>
                <w:b/>
                <w:color w:val="auto"/>
              </w:rPr>
              <w:t>三公</w:t>
            </w:r>
            <w:r>
              <w:rPr>
                <w:rFonts w:hint="cs" w:ascii="方正书宋_GBK" w:eastAsia="方正书宋_GBK"/>
                <w:b/>
                <w:color w:val="auto"/>
                <w:cs/>
              </w:rPr>
              <w:t>”</w:t>
            </w:r>
            <w:r>
              <w:rPr>
                <w:rFonts w:hint="eastAsia" w:ascii="方正书宋_GBK" w:eastAsia="方正书宋_GBK"/>
                <w:b/>
                <w:color w:val="auto"/>
              </w:rPr>
              <w:t>经费小计</w:t>
            </w:r>
          </w:p>
        </w:tc>
        <w:tc>
          <w:tcPr>
            <w:tcW w:w="1843" w:type="dxa"/>
            <w:noWrap w:val="0"/>
            <w:vAlign w:val="center"/>
          </w:tcPr>
          <w:p>
            <w:pPr>
              <w:spacing w:line="300" w:lineRule="exact"/>
              <w:jc w:val="right"/>
              <w:rPr>
                <w:rFonts w:hint="default" w:ascii="方正书宋_GBK" w:eastAsia="方正书宋_GBK"/>
                <w:b/>
                <w:color w:val="auto"/>
                <w:lang w:val="en-US" w:eastAsia="zh-CN"/>
              </w:rPr>
            </w:pPr>
          </w:p>
        </w:tc>
        <w:tc>
          <w:tcPr>
            <w:tcW w:w="1814" w:type="dxa"/>
            <w:noWrap w:val="0"/>
            <w:vAlign w:val="center"/>
          </w:tcPr>
          <w:p>
            <w:pPr>
              <w:spacing w:line="300" w:lineRule="exact"/>
              <w:jc w:val="right"/>
              <w:rPr>
                <w:rFonts w:hint="default" w:ascii="方正书宋_GBK" w:eastAsia="方正书宋_GBK"/>
                <w:b/>
                <w:color w:val="auto"/>
                <w:lang w:val="en-US" w:eastAsia="zh-CN"/>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c>
          <w:tcPr>
            <w:tcW w:w="1814" w:type="dxa"/>
            <w:noWrap w:val="0"/>
            <w:vAlign w:val="center"/>
          </w:tcPr>
          <w:p>
            <w:pPr>
              <w:spacing w:line="300" w:lineRule="exact"/>
              <w:jc w:val="right"/>
              <w:rPr>
                <w:rFonts w:ascii="方正书宋_GBK" w:eastAsia="方正书宋_GBK"/>
                <w:b/>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cs" w:ascii="方正书宋_GBK" w:eastAsia="方正书宋_GBK"/>
                <w:color w:val="auto"/>
                <w:cs/>
              </w:rPr>
            </w:pPr>
            <w:r>
              <w:rPr>
                <w:rFonts w:hint="eastAsia" w:ascii="方正书宋_GBK" w:eastAsia="方正书宋_GBK"/>
                <w:color w:val="auto"/>
              </w:rPr>
              <w:t>一、因公出国（境）费</w:t>
            </w:r>
          </w:p>
        </w:tc>
        <w:tc>
          <w:tcPr>
            <w:tcW w:w="1843" w:type="dxa"/>
            <w:noWrap w:val="0"/>
            <w:vAlign w:val="center"/>
          </w:tcPr>
          <w:p>
            <w:pPr>
              <w:spacing w:line="300" w:lineRule="exact"/>
              <w:jc w:val="right"/>
              <w:rPr>
                <w:rFonts w:hint="eastAsia" w:ascii="方正书宋_GBK" w:eastAsia="方正书宋_GBK"/>
                <w:color w:val="auto"/>
                <w:lang w:val="en-US" w:eastAsia="zh-CN"/>
              </w:rPr>
            </w:pPr>
          </w:p>
        </w:tc>
        <w:tc>
          <w:tcPr>
            <w:tcW w:w="1814" w:type="dxa"/>
            <w:noWrap w:val="0"/>
            <w:vAlign w:val="center"/>
          </w:tcPr>
          <w:p>
            <w:pPr>
              <w:spacing w:line="300" w:lineRule="exact"/>
              <w:jc w:val="right"/>
              <w:rPr>
                <w:rFonts w:hint="eastAsia" w:ascii="方正书宋_GBK" w:eastAsia="方正书宋_GBK"/>
                <w:color w:val="auto"/>
                <w:lang w:val="en-US" w:eastAsia="zh-CN"/>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二、公务用车购置及运维费</w:t>
            </w:r>
          </w:p>
        </w:tc>
        <w:tc>
          <w:tcPr>
            <w:tcW w:w="1843" w:type="dxa"/>
            <w:noWrap w:val="0"/>
            <w:vAlign w:val="center"/>
          </w:tcPr>
          <w:p>
            <w:pPr>
              <w:spacing w:line="300" w:lineRule="exact"/>
              <w:jc w:val="right"/>
              <w:rPr>
                <w:rFonts w:hint="default" w:ascii="方正书宋_GBK" w:eastAsia="方正书宋_GBK"/>
                <w:color w:val="auto"/>
                <w:lang w:val="en-US" w:eastAsia="zh-CN"/>
              </w:rPr>
            </w:pPr>
          </w:p>
        </w:tc>
        <w:tc>
          <w:tcPr>
            <w:tcW w:w="1814" w:type="dxa"/>
            <w:noWrap w:val="0"/>
            <w:vAlign w:val="center"/>
          </w:tcPr>
          <w:p>
            <w:pPr>
              <w:spacing w:line="300" w:lineRule="exact"/>
              <w:jc w:val="right"/>
              <w:rPr>
                <w:rFonts w:hint="default" w:ascii="方正书宋_GBK" w:eastAsia="方正书宋_GBK"/>
                <w:color w:val="auto"/>
                <w:lang w:val="en-US" w:eastAsia="zh-CN"/>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ascii="方正书宋_GBK" w:eastAsia="方正书宋_GBK"/>
                <w:color w:val="auto"/>
              </w:rPr>
              <w:t xml:space="preserve">    </w:t>
            </w:r>
            <w:r>
              <w:rPr>
                <w:rFonts w:hint="eastAsia" w:ascii="方正书宋_GBK" w:eastAsia="方正书宋_GBK"/>
                <w:color w:val="auto"/>
              </w:rPr>
              <w:t>其中：公务用车购置费</w:t>
            </w:r>
          </w:p>
        </w:tc>
        <w:tc>
          <w:tcPr>
            <w:tcW w:w="1843" w:type="dxa"/>
            <w:noWrap w:val="0"/>
            <w:vAlign w:val="center"/>
          </w:tcPr>
          <w:p>
            <w:pPr>
              <w:spacing w:line="300" w:lineRule="exact"/>
              <w:jc w:val="right"/>
              <w:rPr>
                <w:rFonts w:hint="eastAsia" w:ascii="方正书宋_GBK" w:eastAsia="方正书宋_GBK"/>
                <w:color w:val="auto"/>
                <w:lang w:val="en-US" w:eastAsia="zh-CN"/>
              </w:rPr>
            </w:pPr>
          </w:p>
        </w:tc>
        <w:tc>
          <w:tcPr>
            <w:tcW w:w="1814" w:type="dxa"/>
            <w:noWrap w:val="0"/>
            <w:vAlign w:val="center"/>
          </w:tcPr>
          <w:p>
            <w:pPr>
              <w:spacing w:line="300" w:lineRule="exact"/>
              <w:jc w:val="right"/>
              <w:rPr>
                <w:rFonts w:hint="eastAsia" w:ascii="方正书宋_GBK" w:eastAsia="方正书宋_GBK"/>
                <w:color w:val="auto"/>
                <w:lang w:val="en-US" w:eastAsia="zh-CN"/>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ascii="方正书宋_GBK" w:eastAsia="方正书宋_GBK"/>
                <w:color w:val="auto"/>
              </w:rPr>
            </w:pPr>
            <w:r>
              <w:rPr>
                <w:rFonts w:ascii="方正书宋_GBK" w:eastAsia="方正书宋_GBK"/>
                <w:color w:val="auto"/>
              </w:rPr>
              <w:t xml:space="preserve">        </w:t>
            </w:r>
            <w:r>
              <w:rPr>
                <w:rFonts w:hint="eastAsia" w:ascii="方正书宋_GBK" w:eastAsia="方正书宋_GBK"/>
                <w:color w:val="auto"/>
              </w:rPr>
              <w:t>公务用车运行维护费</w:t>
            </w:r>
          </w:p>
        </w:tc>
        <w:tc>
          <w:tcPr>
            <w:tcW w:w="1843" w:type="dxa"/>
            <w:noWrap w:val="0"/>
            <w:vAlign w:val="center"/>
          </w:tcPr>
          <w:p>
            <w:pPr>
              <w:spacing w:line="300" w:lineRule="exact"/>
              <w:jc w:val="right"/>
              <w:rPr>
                <w:rFonts w:hint="default" w:ascii="方正书宋_GBK" w:eastAsia="方正书宋_GBK"/>
                <w:color w:val="auto"/>
                <w:lang w:val="en-US" w:eastAsia="zh-CN"/>
              </w:rPr>
            </w:pPr>
          </w:p>
        </w:tc>
        <w:tc>
          <w:tcPr>
            <w:tcW w:w="1814" w:type="dxa"/>
            <w:noWrap w:val="0"/>
            <w:vAlign w:val="center"/>
          </w:tcPr>
          <w:p>
            <w:pPr>
              <w:spacing w:line="300" w:lineRule="exact"/>
              <w:jc w:val="right"/>
              <w:rPr>
                <w:rFonts w:hint="default" w:ascii="方正书宋_GBK" w:eastAsia="方正书宋_GBK"/>
                <w:color w:val="auto"/>
                <w:lang w:val="en-US" w:eastAsia="zh-CN"/>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ascii="方正书宋_GBK" w:eastAsia="方正书宋_GBK"/>
                <w:color w:val="auto"/>
              </w:rPr>
            </w:pPr>
            <w:r>
              <w:rPr>
                <w:rFonts w:hint="eastAsia" w:ascii="方正书宋_GBK" w:eastAsia="方正书宋_GBK"/>
                <w:color w:val="auto"/>
              </w:rPr>
              <w:t>三、公务接待费</w:t>
            </w:r>
          </w:p>
        </w:tc>
        <w:tc>
          <w:tcPr>
            <w:tcW w:w="1843" w:type="dxa"/>
            <w:noWrap w:val="0"/>
            <w:vAlign w:val="center"/>
          </w:tcPr>
          <w:p>
            <w:pPr>
              <w:spacing w:line="300" w:lineRule="exact"/>
              <w:jc w:val="right"/>
              <w:rPr>
                <w:rFonts w:hint="default" w:ascii="方正书宋_GBK" w:eastAsia="方正书宋_GBK"/>
                <w:color w:val="auto"/>
                <w:lang w:val="en-US" w:eastAsia="zh-CN"/>
              </w:rPr>
            </w:pPr>
          </w:p>
        </w:tc>
        <w:tc>
          <w:tcPr>
            <w:tcW w:w="1814" w:type="dxa"/>
            <w:noWrap w:val="0"/>
            <w:vAlign w:val="center"/>
          </w:tcPr>
          <w:p>
            <w:pPr>
              <w:spacing w:line="300" w:lineRule="exact"/>
              <w:jc w:val="right"/>
              <w:rPr>
                <w:rFonts w:hint="default" w:ascii="方正书宋_GBK" w:eastAsia="方正书宋_GBK"/>
                <w:color w:val="auto"/>
                <w:lang w:val="en-US" w:eastAsia="zh-CN"/>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四、会议费</w:t>
            </w:r>
          </w:p>
        </w:tc>
        <w:tc>
          <w:tcPr>
            <w:tcW w:w="1843"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3402" w:type="dxa"/>
            <w:noWrap w:val="0"/>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五、培训费</w:t>
            </w:r>
          </w:p>
        </w:tc>
        <w:tc>
          <w:tcPr>
            <w:tcW w:w="1843"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c>
          <w:tcPr>
            <w:tcW w:w="1814" w:type="dxa"/>
            <w:noWrap w:val="0"/>
            <w:vAlign w:val="center"/>
          </w:tcPr>
          <w:p>
            <w:pPr>
              <w:spacing w:line="300" w:lineRule="exact"/>
              <w:jc w:val="right"/>
              <w:rPr>
                <w:rFonts w:ascii="方正书宋_GBK" w:eastAsia="方正书宋_GBK"/>
                <w:color w:val="auto"/>
              </w:rPr>
            </w:pPr>
          </w:p>
        </w:tc>
      </w:tr>
    </w:tbl>
    <w:p>
      <w:pPr>
        <w:jc w:val="left"/>
        <w:outlineLvl w:val="4"/>
        <w:rPr>
          <w:rFonts w:ascii="方正小标宋_GBK" w:hAnsi="方正小标宋_GBK" w:eastAsia="方正小标宋_GBK" w:cs="方正小标宋_GBK"/>
          <w:color w:val="auto"/>
          <w:sz w:val="36"/>
        </w:rPr>
      </w:pPr>
      <w:r>
        <w:rPr>
          <w:rFonts w:ascii="方正书宋_GBK" w:hAnsi="方正书宋_GBK" w:eastAsia="方正书宋_GBK" w:cs="方正书宋_GBK"/>
          <w:color w:val="auto"/>
          <w:sz w:val="21"/>
        </w:rPr>
        <w:t>注：无</w:t>
      </w:r>
      <w:r>
        <w:rPr>
          <w:rFonts w:hint="cs" w:ascii="方正书宋_GBK" w:hAnsi="方正书宋_GBK" w:eastAsia="方正书宋_GBK" w:cs="方正书宋_GBK"/>
          <w:color w:val="auto"/>
          <w:sz w:val="21"/>
          <w:cs/>
        </w:rPr>
        <w:t>“</w:t>
      </w:r>
      <w:r>
        <w:rPr>
          <w:rFonts w:hint="eastAsia" w:ascii="方正书宋_GBK" w:hAnsi="方正书宋_GBK" w:eastAsia="方正书宋_GBK" w:cs="方正书宋_GBK"/>
          <w:color w:val="auto"/>
          <w:sz w:val="21"/>
        </w:rPr>
        <w:t>三公</w:t>
      </w:r>
      <w:r>
        <w:rPr>
          <w:rFonts w:hint="cs" w:ascii="方正书宋_GBK" w:hAnsi="方正书宋_GBK" w:eastAsia="方正书宋_GBK" w:cs="方正书宋_GBK"/>
          <w:color w:val="auto"/>
          <w:sz w:val="21"/>
          <w:cs/>
        </w:rPr>
        <w:t>”</w:t>
      </w:r>
      <w:r>
        <w:rPr>
          <w:rFonts w:hint="eastAsia" w:ascii="方正书宋_GBK" w:hAnsi="方正书宋_GBK" w:eastAsia="方正书宋_GBK" w:cs="方正书宋_GBK"/>
          <w:color w:val="auto"/>
          <w:sz w:val="21"/>
        </w:rPr>
        <w:t>及会议培训经费预算</w:t>
      </w:r>
      <w:r>
        <w:rPr>
          <w:rFonts w:ascii="方正书宋_GBK" w:hAnsi="方正书宋_GBK" w:eastAsia="方正书宋_GBK" w:cs="方正书宋_GBK"/>
          <w:color w:val="auto"/>
          <w:sz w:val="21"/>
        </w:rPr>
        <w:t>，空表列示。</w:t>
      </w:r>
    </w:p>
    <w:p>
      <w:pPr>
        <w:jc w:val="center"/>
        <w:outlineLvl w:val="4"/>
        <w:rPr>
          <w:rFonts w:ascii="方正小标宋_GBK" w:hAnsi="方正小标宋_GBK" w:eastAsia="方正小标宋_GBK" w:cs="方正小标宋_GBK"/>
          <w:color w:val="auto"/>
          <w:sz w:val="36"/>
        </w:rPr>
      </w:pPr>
    </w:p>
    <w:p>
      <w:pPr>
        <w:rPr>
          <w:color w:val="auto"/>
        </w:rPr>
        <w:sectPr>
          <w:pgSz w:w="16838" w:h="11905" w:orient="landscape"/>
          <w:pgMar w:top="1304" w:right="1984" w:bottom="1304" w:left="1134" w:header="850" w:footer="992" w:gutter="0"/>
          <w:cols w:space="720" w:num="1"/>
          <w:rtlGutter w:val="0"/>
          <w:docGrid w:type="lines" w:linePitch="332" w:charSpace="0"/>
        </w:sectPr>
      </w:pPr>
    </w:p>
    <w:p>
      <w:pPr>
        <w:jc w:val="center"/>
        <w:outlineLvl w:val="4"/>
        <w:rPr>
          <w:color w:val="auto"/>
        </w:rPr>
      </w:pPr>
      <w:r>
        <w:rPr>
          <w:rFonts w:ascii="方正小标宋_GBK" w:hAnsi="方正小标宋_GBK" w:eastAsia="方正小标宋_GBK" w:cs="方正小标宋_GBK"/>
          <w:color w:val="auto"/>
          <w:sz w:val="44"/>
        </w:rPr>
        <w:t>保定市自然资源和规划局满城区分局(</w:t>
      </w:r>
      <w:r>
        <w:rPr>
          <w:rFonts w:hint="eastAsia" w:ascii="方正小标宋_GBK" w:hAnsi="方正小标宋_GBK" w:eastAsia="方正小标宋_GBK" w:cs="方正小标宋_GBK"/>
          <w:color w:val="auto"/>
          <w:sz w:val="44"/>
          <w:lang w:val="en-US" w:eastAsia="zh-CN"/>
        </w:rPr>
        <w:t>国土局部门</w:t>
      </w:r>
      <w:r>
        <w:rPr>
          <w:rFonts w:ascii="方正小标宋_GBK" w:hAnsi="方正小标宋_GBK" w:eastAsia="方正小标宋_GBK" w:cs="方正小标宋_GBK"/>
          <w:color w:val="auto"/>
          <w:sz w:val="44"/>
        </w:rPr>
        <w:t>)202</w:t>
      </w:r>
      <w:r>
        <w:rPr>
          <w:rFonts w:hint="eastAsia" w:ascii="方正小标宋_GBK" w:hAnsi="方正小标宋_GBK" w:eastAsia="方正小标宋_GBK" w:cs="方正小标宋_GBK"/>
          <w:color w:val="auto"/>
          <w:sz w:val="44"/>
          <w:lang w:val="en-US" w:eastAsia="zh-CN"/>
        </w:rPr>
        <w:t>1</w:t>
      </w:r>
      <w:r>
        <w:rPr>
          <w:rFonts w:ascii="方正小标宋_GBK" w:hAnsi="方正小标宋_GBK" w:eastAsia="方正小标宋_GBK" w:cs="方正小标宋_GBK"/>
          <w:color w:val="auto"/>
          <w:sz w:val="44"/>
        </w:rPr>
        <w:t>年单位预算信息公开情况说明</w:t>
      </w:r>
    </w:p>
    <w:p>
      <w:pPr>
        <w:spacing w:line="500" w:lineRule="exact"/>
        <w:ind w:firstLine="560"/>
        <w:rPr>
          <w:color w:val="auto"/>
        </w:rPr>
      </w:pPr>
      <w:r>
        <w:rPr>
          <w:rFonts w:eastAsia="方正仿宋_GBK"/>
          <w:color w:val="auto"/>
          <w:sz w:val="28"/>
        </w:rPr>
        <w:t>按照《</w:t>
      </w:r>
      <w:r>
        <w:rPr>
          <w:rFonts w:hint="eastAsia" w:eastAsia="方正仿宋_GBK"/>
          <w:color w:val="auto"/>
          <w:sz w:val="28"/>
          <w:lang w:eastAsia="zh-CN"/>
        </w:rPr>
        <w:t>中华人民共和国预算法</w:t>
      </w:r>
      <w:r>
        <w:rPr>
          <w:rFonts w:eastAsia="方正仿宋_GBK"/>
          <w:color w:val="auto"/>
          <w:sz w:val="28"/>
        </w:rPr>
        <w:t>》、《地方预决算公开操作规程》和《关于进一步推进预算公开工作的实施意见》规定，现将保定市自然资源和规划局满城区分局(自收自支)202</w:t>
      </w:r>
      <w:r>
        <w:rPr>
          <w:rFonts w:hint="eastAsia" w:eastAsia="方正仿宋_GBK"/>
          <w:color w:val="auto"/>
          <w:sz w:val="28"/>
          <w:lang w:val="en-US" w:eastAsia="zh-CN"/>
        </w:rPr>
        <w:t>1</w:t>
      </w:r>
      <w:r>
        <w:rPr>
          <w:rFonts w:eastAsia="方正仿宋_GBK"/>
          <w:color w:val="auto"/>
          <w:sz w:val="28"/>
        </w:rPr>
        <w:t>年单位预算公开如下：</w:t>
      </w:r>
    </w:p>
    <w:p>
      <w:pPr>
        <w:spacing w:before="10" w:after="10"/>
        <w:ind w:firstLine="640"/>
        <w:outlineLvl w:val="5"/>
        <w:rPr>
          <w:color w:val="auto"/>
        </w:rPr>
      </w:pPr>
      <w:r>
        <w:rPr>
          <w:rFonts w:ascii="黑体" w:hAnsi="黑体" w:eastAsia="黑体" w:cs="黑体"/>
          <w:color w:val="auto"/>
          <w:sz w:val="32"/>
        </w:rPr>
        <w:t>一、单位职责及机构设置情况</w:t>
      </w:r>
    </w:p>
    <w:p>
      <w:pPr>
        <w:pStyle w:val="22"/>
        <w:keepNext w:val="0"/>
        <w:keepLines w:val="0"/>
        <w:pageBreakBefore w:val="0"/>
        <w:widowControl/>
        <w:kinsoku/>
        <w:wordWrap/>
        <w:overflowPunct/>
        <w:topLinePunct w:val="0"/>
        <w:autoSpaceDE/>
        <w:autoSpaceDN/>
        <w:bidi w:val="0"/>
        <w:adjustRightInd/>
        <w:snapToGrid/>
        <w:ind w:firstLine="561"/>
        <w:jc w:val="both"/>
        <w:textAlignment w:val="auto"/>
        <w:rPr>
          <w:color w:val="auto"/>
        </w:rPr>
      </w:pPr>
      <w:r>
        <w:rPr>
          <w:rFonts w:ascii="方正楷体_GBK" w:hAnsi="方正楷体_GBK" w:eastAsia="方正楷体_GBK" w:cs="方正楷体_GBK"/>
          <w:b/>
          <w:color w:val="auto"/>
          <w:sz w:val="32"/>
        </w:rPr>
        <w:t>单位职责：</w:t>
      </w:r>
      <w:r>
        <w:rPr>
          <w:color w:val="auto"/>
        </w:rPr>
        <w:t>组织矿产资源的调查评价，编制全</w:t>
      </w:r>
      <w:r>
        <w:rPr>
          <w:rFonts w:hint="eastAsia"/>
          <w:color w:val="auto"/>
          <w:lang w:eastAsia="zh-CN"/>
        </w:rPr>
        <w:t>区</w:t>
      </w:r>
      <w:r>
        <w:rPr>
          <w:color w:val="auto"/>
        </w:rPr>
        <w:t>矿产资源的保护与合理利用规划、地质勘查规划、地质灾害防治和地质遗迹保护规划。监督检查全</w:t>
      </w:r>
      <w:r>
        <w:rPr>
          <w:rFonts w:hint="eastAsia"/>
          <w:color w:val="auto"/>
          <w:lang w:eastAsia="zh-CN"/>
        </w:rPr>
        <w:t>区</w:t>
      </w:r>
      <w:r>
        <w:rPr>
          <w:color w:val="auto"/>
        </w:rPr>
        <w:t>土地资源和矿产资源规划执行情况；依法保护土地、矿产资源所有者和使用者的合法权益，承办并组织调处本县的权属纠纷，查处违法案件；拟订并实施全</w:t>
      </w:r>
      <w:r>
        <w:rPr>
          <w:rFonts w:hint="eastAsia"/>
          <w:color w:val="auto"/>
          <w:lang w:eastAsia="zh-CN"/>
        </w:rPr>
        <w:t>区</w:t>
      </w:r>
      <w:r>
        <w:rPr>
          <w:color w:val="auto"/>
        </w:rPr>
        <w:t>耕地特殊保护和鼓励耕地开发政策；实施农用地用途管制，组织基本农田保护，指导未利用土地开发、土地整理、土地复垦和开发耕地监督工作，确保耕地面积只能增加、不能减少</w:t>
      </w:r>
      <w:r>
        <w:rPr>
          <w:rFonts w:hint="eastAsia"/>
          <w:color w:val="auto"/>
          <w:lang w:eastAsia="zh-CN"/>
        </w:rPr>
        <w:t>。</w:t>
      </w:r>
    </w:p>
    <w:p>
      <w:pPr>
        <w:ind w:firstLine="640"/>
        <w:rPr>
          <w:rFonts w:hint="eastAsia" w:eastAsia="方正楷体_GBK"/>
          <w:color w:val="auto"/>
          <w:lang w:eastAsia="zh-CN"/>
        </w:rPr>
      </w:pPr>
    </w:p>
    <w:p>
      <w:pPr>
        <w:pStyle w:val="30"/>
        <w:rPr>
          <w:color w:val="auto"/>
        </w:rPr>
      </w:pPr>
    </w:p>
    <w:p>
      <w:pPr>
        <w:ind w:firstLine="640"/>
        <w:rPr>
          <w:color w:val="auto"/>
        </w:rPr>
      </w:pPr>
      <w:r>
        <w:rPr>
          <w:rFonts w:ascii="方正楷体_GBK" w:hAnsi="方正楷体_GBK" w:eastAsia="方正楷体_GBK" w:cs="方正楷体_GBK"/>
          <w:b/>
          <w:color w:val="auto"/>
          <w:sz w:val="32"/>
        </w:rPr>
        <w:t>机构设置：</w:t>
      </w:r>
    </w:p>
    <w:p>
      <w:pPr>
        <w:jc w:val="center"/>
        <w:rPr>
          <w:color w:val="auto"/>
        </w:rPr>
      </w:pPr>
      <w:r>
        <w:rPr>
          <w:rFonts w:ascii="方正小标宋_GBK" w:hAnsi="方正小标宋_GBK" w:eastAsia="方正小标宋_GBK" w:cs="方正小标宋_GBK"/>
          <w:color w:val="auto"/>
          <w:sz w:val="32"/>
        </w:rPr>
        <w:t>单位机构设置情况</w:t>
      </w:r>
    </w:p>
    <w:tbl>
      <w:tblPr>
        <w:tblStyle w:val="5"/>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5"/>
              <w:rPr>
                <w:color w:val="auto"/>
              </w:rPr>
            </w:pPr>
            <w:r>
              <w:rPr>
                <w:color w:val="auto"/>
              </w:rPr>
              <w:t>单位名称</w:t>
            </w:r>
          </w:p>
        </w:tc>
        <w:tc>
          <w:tcPr>
            <w:tcW w:w="1843" w:type="dxa"/>
            <w:noWrap w:val="0"/>
            <w:vAlign w:val="center"/>
          </w:tcPr>
          <w:p>
            <w:pPr>
              <w:pStyle w:val="15"/>
              <w:rPr>
                <w:color w:val="auto"/>
              </w:rPr>
            </w:pPr>
            <w:r>
              <w:rPr>
                <w:color w:val="auto"/>
              </w:rPr>
              <w:t>单位性质</w:t>
            </w:r>
          </w:p>
        </w:tc>
        <w:tc>
          <w:tcPr>
            <w:tcW w:w="2126" w:type="dxa"/>
            <w:noWrap w:val="0"/>
            <w:vAlign w:val="center"/>
          </w:tcPr>
          <w:p>
            <w:pPr>
              <w:pStyle w:val="15"/>
              <w:rPr>
                <w:color w:val="auto"/>
              </w:rPr>
            </w:pPr>
            <w:r>
              <w:rPr>
                <w:color w:val="auto"/>
              </w:rPr>
              <w:t>单位规格</w:t>
            </w:r>
          </w:p>
        </w:tc>
        <w:tc>
          <w:tcPr>
            <w:tcW w:w="3827" w:type="dxa"/>
            <w:noWrap w:val="0"/>
            <w:vAlign w:val="center"/>
          </w:tcPr>
          <w:p>
            <w:pPr>
              <w:pStyle w:val="15"/>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7"/>
              <w:rPr>
                <w:color w:val="auto"/>
              </w:rPr>
            </w:pPr>
            <w:r>
              <w:rPr>
                <w:color w:val="auto"/>
              </w:rPr>
              <w:t>保定市自然资源和规划局满城区分局(</w:t>
            </w:r>
            <w:r>
              <w:rPr>
                <w:rFonts w:hint="eastAsia"/>
                <w:color w:val="auto"/>
                <w:lang w:val="en-US" w:eastAsia="zh-CN"/>
              </w:rPr>
              <w:t>国土局部门</w:t>
            </w:r>
            <w:r>
              <w:rPr>
                <w:color w:val="auto"/>
              </w:rPr>
              <w:t>)</w:t>
            </w:r>
          </w:p>
        </w:tc>
        <w:tc>
          <w:tcPr>
            <w:tcW w:w="1843" w:type="dxa"/>
            <w:noWrap w:val="0"/>
            <w:vAlign w:val="center"/>
          </w:tcPr>
          <w:p>
            <w:pPr>
              <w:pStyle w:val="18"/>
              <w:rPr>
                <w:color w:val="auto"/>
              </w:rPr>
            </w:pPr>
            <w:r>
              <w:rPr>
                <w:color w:val="auto"/>
              </w:rPr>
              <w:t>事业</w:t>
            </w:r>
          </w:p>
        </w:tc>
        <w:tc>
          <w:tcPr>
            <w:tcW w:w="2126" w:type="dxa"/>
            <w:noWrap w:val="0"/>
            <w:vAlign w:val="center"/>
          </w:tcPr>
          <w:p>
            <w:pPr>
              <w:pStyle w:val="18"/>
              <w:rPr>
                <w:rFonts w:hint="default" w:eastAsia="方正书宋_GBK"/>
                <w:color w:val="auto"/>
                <w:lang w:val="en-US" w:eastAsia="zh-CN"/>
              </w:rPr>
            </w:pPr>
            <w:r>
              <w:rPr>
                <w:rFonts w:hint="eastAsia"/>
                <w:color w:val="auto"/>
                <w:lang w:val="en-US" w:eastAsia="zh-CN"/>
              </w:rPr>
              <w:t>股级</w:t>
            </w:r>
          </w:p>
        </w:tc>
        <w:tc>
          <w:tcPr>
            <w:tcW w:w="3827" w:type="dxa"/>
            <w:noWrap w:val="0"/>
            <w:vAlign w:val="center"/>
          </w:tcPr>
          <w:p>
            <w:pPr>
              <w:pStyle w:val="18"/>
              <w:rPr>
                <w:rFonts w:hint="eastAsia" w:eastAsia="方正书宋_GBK"/>
                <w:color w:val="auto"/>
                <w:lang w:eastAsia="zh-CN"/>
              </w:rPr>
            </w:pPr>
            <w:r>
              <w:rPr>
                <w:rFonts w:hint="eastAsia"/>
                <w:color w:val="auto"/>
                <w:lang w:val="en-US" w:eastAsia="zh-CN"/>
              </w:rPr>
              <w:t>其它</w:t>
            </w:r>
          </w:p>
        </w:tc>
      </w:tr>
    </w:tbl>
    <w:p>
      <w:pPr>
        <w:spacing w:before="10" w:after="10"/>
        <w:ind w:firstLine="640"/>
        <w:outlineLvl w:val="5"/>
        <w:rPr>
          <w:color w:val="auto"/>
        </w:rPr>
      </w:pPr>
      <w:r>
        <w:rPr>
          <w:rFonts w:ascii="黑体" w:hAnsi="黑体" w:eastAsia="黑体" w:cs="黑体"/>
          <w:color w:val="auto"/>
          <w:sz w:val="32"/>
        </w:rPr>
        <w:t>二、单位预算安排的总体情况</w:t>
      </w:r>
    </w:p>
    <w:p>
      <w:pPr>
        <w:spacing w:line="500" w:lineRule="exact"/>
        <w:ind w:firstLine="560"/>
        <w:rPr>
          <w:color w:val="auto"/>
        </w:rPr>
      </w:pPr>
      <w:r>
        <w:rPr>
          <w:rFonts w:eastAsia="方正仿宋_GBK"/>
          <w:color w:val="auto"/>
          <w:sz w:val="28"/>
        </w:rPr>
        <w:t>按照预算管理有关规定，目前我单位预算的编制实行综合预算管理，即全部收入和支出都反映在预算中。</w:t>
      </w:r>
    </w:p>
    <w:p>
      <w:pPr>
        <w:pStyle w:val="2"/>
        <w:spacing w:before="6"/>
        <w:ind w:firstLine="640" w:firstLineChars="200"/>
        <w:rPr>
          <w:color w:val="auto"/>
        </w:rPr>
      </w:pPr>
      <w:r>
        <w:rPr>
          <w:color w:val="auto"/>
        </w:rPr>
        <w:t>1、收入说明</w:t>
      </w:r>
    </w:p>
    <w:p>
      <w:pPr>
        <w:pStyle w:val="2"/>
        <w:spacing w:before="149"/>
        <w:ind w:firstLine="608" w:firstLineChars="200"/>
        <w:rPr>
          <w:color w:val="auto"/>
        </w:rPr>
      </w:pPr>
      <w:r>
        <w:rPr>
          <w:color w:val="auto"/>
          <w:w w:val="95"/>
        </w:rPr>
        <w:t>反映本</w:t>
      </w:r>
      <w:r>
        <w:rPr>
          <w:rFonts w:hint="eastAsia"/>
          <w:color w:val="auto"/>
          <w:w w:val="95"/>
          <w:lang w:eastAsia="zh-CN"/>
        </w:rPr>
        <w:t>单位</w:t>
      </w:r>
      <w:r>
        <w:rPr>
          <w:color w:val="auto"/>
          <w:w w:val="95"/>
        </w:rPr>
        <w:t>当年全部收入。202</w:t>
      </w:r>
      <w:r>
        <w:rPr>
          <w:rFonts w:hint="eastAsia"/>
          <w:color w:val="auto"/>
          <w:w w:val="95"/>
          <w:lang w:val="en-US" w:eastAsia="zh-CN"/>
        </w:rPr>
        <w:t>1</w:t>
      </w:r>
      <w:r>
        <w:rPr>
          <w:color w:val="auto"/>
          <w:spacing w:val="10"/>
          <w:w w:val="95"/>
        </w:rPr>
        <w:t>年预算收入</w:t>
      </w:r>
      <w:r>
        <w:rPr>
          <w:rFonts w:hint="eastAsia" w:ascii="方正书宋_GBK" w:eastAsia="方正书宋_GBK"/>
          <w:b w:val="0"/>
          <w:bCs/>
          <w:color w:val="auto"/>
          <w:lang w:val="en-US" w:eastAsia="zh-CN"/>
        </w:rPr>
        <w:t>5000</w:t>
      </w:r>
      <w:r>
        <w:rPr>
          <w:color w:val="auto"/>
          <w:spacing w:val="2"/>
          <w:w w:val="95"/>
        </w:rPr>
        <w:t>万元，</w:t>
      </w:r>
      <w:r>
        <w:rPr>
          <w:rFonts w:hint="eastAsia"/>
          <w:color w:val="auto"/>
          <w:spacing w:val="2"/>
          <w:w w:val="95"/>
          <w:lang w:eastAsia="zh-CN"/>
        </w:rPr>
        <w:t>其中：</w:t>
      </w:r>
      <w:r>
        <w:rPr>
          <w:color w:val="auto"/>
          <w:spacing w:val="2"/>
          <w:w w:val="95"/>
        </w:rPr>
        <w:t>一般公共预算收入</w:t>
      </w:r>
      <w:r>
        <w:rPr>
          <w:rFonts w:hint="eastAsia" w:ascii="方正书宋_GBK" w:eastAsia="方正书宋_GBK"/>
          <w:color w:val="auto"/>
          <w:lang w:val="en-US" w:eastAsia="zh-CN"/>
        </w:rPr>
        <w:t>0</w:t>
      </w:r>
      <w:r>
        <w:rPr>
          <w:rFonts w:hint="eastAsia"/>
          <w:color w:val="auto"/>
          <w:spacing w:val="2"/>
          <w:w w:val="95"/>
          <w:lang w:val="en-US" w:eastAsia="zh-CN"/>
        </w:rPr>
        <w:t>万元，</w:t>
      </w:r>
      <w:r>
        <w:rPr>
          <w:color w:val="auto"/>
        </w:rPr>
        <w:t>政府性基金预算拨款收入</w:t>
      </w:r>
      <w:r>
        <w:rPr>
          <w:rFonts w:hint="eastAsia" w:ascii="方正书宋_GBK" w:eastAsia="方正书宋_GBK"/>
          <w:color w:val="auto"/>
          <w:lang w:val="en-US" w:eastAsia="zh-CN"/>
        </w:rPr>
        <w:t>5000</w:t>
      </w:r>
      <w:r>
        <w:rPr>
          <w:rFonts w:hint="eastAsia"/>
          <w:color w:val="auto"/>
          <w:lang w:val="en-US" w:eastAsia="zh-CN"/>
        </w:rPr>
        <w:t>万元</w:t>
      </w:r>
      <w:r>
        <w:rPr>
          <w:rFonts w:hint="eastAsia"/>
          <w:color w:val="auto"/>
          <w:spacing w:val="2"/>
          <w:w w:val="95"/>
          <w:lang w:eastAsia="zh-CN"/>
        </w:rPr>
        <w:t>。</w:t>
      </w:r>
    </w:p>
    <w:p>
      <w:pPr>
        <w:pStyle w:val="2"/>
        <w:spacing w:before="149"/>
        <w:ind w:firstLine="640" w:firstLineChars="200"/>
        <w:rPr>
          <w:color w:val="auto"/>
        </w:rPr>
      </w:pPr>
      <w:r>
        <w:rPr>
          <w:color w:val="auto"/>
        </w:rPr>
        <w:t>2、支出说明</w:t>
      </w:r>
    </w:p>
    <w:p>
      <w:pPr>
        <w:pStyle w:val="2"/>
        <w:spacing w:before="3" w:line="328" w:lineRule="auto"/>
        <w:ind w:right="739" w:firstLine="640" w:firstLineChars="200"/>
        <w:jc w:val="both"/>
        <w:rPr>
          <w:color w:val="auto"/>
        </w:rPr>
      </w:pPr>
      <w:r>
        <w:rPr>
          <w:color w:val="auto"/>
        </w:rPr>
        <w:t>收支预算总表支出栏、基本支出表、项目支出表按经济分类和支出功能分类科目编制，反映保定市</w:t>
      </w:r>
      <w:r>
        <w:rPr>
          <w:rFonts w:hint="eastAsia"/>
          <w:color w:val="auto"/>
        </w:rPr>
        <w:t>自然资源和规划局满城区分局</w:t>
      </w:r>
      <w:r>
        <w:rPr>
          <w:rFonts w:hint="eastAsia"/>
          <w:color w:val="auto"/>
          <w:lang w:eastAsia="zh-CN"/>
        </w:rPr>
        <w:t>（国土局部门）</w:t>
      </w:r>
      <w:r>
        <w:rPr>
          <w:color w:val="auto"/>
          <w:w w:val="95"/>
        </w:rPr>
        <w:t>年度</w:t>
      </w:r>
      <w:r>
        <w:rPr>
          <w:rFonts w:hint="eastAsia"/>
          <w:color w:val="auto"/>
          <w:w w:val="95"/>
          <w:lang w:eastAsia="zh-CN"/>
        </w:rPr>
        <w:t>单位</w:t>
      </w:r>
      <w:r>
        <w:rPr>
          <w:color w:val="auto"/>
          <w:w w:val="95"/>
        </w:rPr>
        <w:t>预算中支出预算的总体情况。202</w:t>
      </w:r>
      <w:r>
        <w:rPr>
          <w:rFonts w:hint="eastAsia"/>
          <w:color w:val="auto"/>
          <w:w w:val="95"/>
          <w:lang w:val="en-US" w:eastAsia="zh-CN"/>
        </w:rPr>
        <w:t>1</w:t>
      </w:r>
      <w:r>
        <w:rPr>
          <w:color w:val="auto"/>
          <w:spacing w:val="40"/>
          <w:w w:val="95"/>
        </w:rPr>
        <w:t>年支出预算</w:t>
      </w:r>
      <w:r>
        <w:rPr>
          <w:rFonts w:hint="eastAsia" w:ascii="方正书宋_GBK" w:eastAsia="方正书宋_GBK"/>
          <w:b/>
          <w:color w:val="auto"/>
          <w:lang w:val="en-US" w:eastAsia="zh-CN"/>
        </w:rPr>
        <w:t>5000</w:t>
      </w:r>
      <w:r>
        <w:rPr>
          <w:color w:val="auto"/>
          <w:spacing w:val="14"/>
          <w:w w:val="95"/>
        </w:rPr>
        <w:t>万元，</w:t>
      </w:r>
      <w:r>
        <w:rPr>
          <w:rFonts w:hint="eastAsia"/>
          <w:color w:val="auto"/>
          <w:spacing w:val="14"/>
          <w:w w:val="95"/>
          <w:lang w:eastAsia="zh-CN"/>
        </w:rPr>
        <w:t>其中：</w:t>
      </w:r>
      <w:r>
        <w:rPr>
          <w:color w:val="auto"/>
          <w:spacing w:val="14"/>
          <w:w w:val="95"/>
        </w:rPr>
        <w:t>基本支</w:t>
      </w:r>
      <w:r>
        <w:rPr>
          <w:color w:val="auto"/>
          <w:spacing w:val="1"/>
          <w:w w:val="95"/>
        </w:rPr>
        <w:t>出</w:t>
      </w:r>
      <w:r>
        <w:rPr>
          <w:rFonts w:hint="eastAsia" w:ascii="方正书宋_GBK" w:eastAsia="方正书宋_GBK"/>
          <w:color w:val="auto"/>
          <w:lang w:val="en-US" w:eastAsia="zh-CN"/>
        </w:rPr>
        <w:t>0</w:t>
      </w:r>
      <w:r>
        <w:rPr>
          <w:rFonts w:hint="eastAsia"/>
          <w:color w:val="auto"/>
          <w:spacing w:val="1"/>
          <w:w w:val="95"/>
          <w:lang w:val="en-US" w:eastAsia="zh-CN"/>
        </w:rPr>
        <w:t>万元，项目支出</w:t>
      </w:r>
      <w:r>
        <w:rPr>
          <w:rFonts w:hint="eastAsia" w:ascii="方正书宋_GBK" w:eastAsia="方正书宋_GBK"/>
          <w:color w:val="auto"/>
          <w:lang w:val="en-US" w:eastAsia="zh-CN"/>
        </w:rPr>
        <w:t>5000</w:t>
      </w:r>
      <w:r>
        <w:rPr>
          <w:rFonts w:hint="eastAsia"/>
          <w:color w:val="auto"/>
          <w:spacing w:val="1"/>
          <w:w w:val="95"/>
          <w:lang w:val="en-US" w:eastAsia="zh-CN"/>
        </w:rPr>
        <w:t>万元，包括一般公共预算项目支出为0万元和政府基金预算项目支出为5000万元</w:t>
      </w:r>
      <w:r>
        <w:rPr>
          <w:rFonts w:hint="eastAsia"/>
          <w:color w:val="auto"/>
          <w:w w:val="95"/>
        </w:rPr>
        <w:t>。</w:t>
      </w:r>
    </w:p>
    <w:p>
      <w:pPr>
        <w:pStyle w:val="2"/>
        <w:spacing w:line="405" w:lineRule="exact"/>
        <w:ind w:firstLine="640" w:firstLineChars="200"/>
        <w:rPr>
          <w:color w:val="auto"/>
        </w:rPr>
      </w:pPr>
      <w:r>
        <w:rPr>
          <w:color w:val="auto"/>
        </w:rPr>
        <w:t>3、比上年增减情况</w:t>
      </w:r>
    </w:p>
    <w:p>
      <w:pPr>
        <w:pStyle w:val="31"/>
        <w:rPr>
          <w:color w:val="auto"/>
        </w:rPr>
      </w:pPr>
      <w:r>
        <w:rPr>
          <w:rFonts w:ascii="Times New Roman" w:hAnsi="Times New Roman" w:eastAsia="方正仿宋_GBK" w:cs="Times New Roman"/>
          <w:color w:val="auto"/>
          <w:sz w:val="28"/>
          <w:szCs w:val="24"/>
          <w:lang w:val="en-US" w:eastAsia="uk-UA" w:bidi="ar-SA"/>
        </w:rPr>
        <w:t>202</w:t>
      </w:r>
      <w:r>
        <w:rPr>
          <w:rFonts w:hint="eastAsia" w:cs="Times New Roman"/>
          <w:color w:val="auto"/>
          <w:sz w:val="28"/>
          <w:szCs w:val="24"/>
          <w:lang w:val="en-US" w:eastAsia="zh-CN" w:bidi="ar-SA"/>
        </w:rPr>
        <w:t>1</w:t>
      </w:r>
      <w:r>
        <w:rPr>
          <w:rFonts w:ascii="Times New Roman" w:hAnsi="Times New Roman" w:eastAsia="方正仿宋_GBK" w:cs="Times New Roman"/>
          <w:color w:val="auto"/>
          <w:sz w:val="28"/>
          <w:szCs w:val="24"/>
          <w:lang w:val="en-US" w:eastAsia="uk-UA" w:bidi="ar-SA"/>
        </w:rPr>
        <w:t xml:space="preserve"> 年预算收支安排 </w:t>
      </w:r>
      <w:r>
        <w:rPr>
          <w:rFonts w:hint="eastAsia" w:ascii="方正书宋_GBK" w:eastAsia="方正书宋_GBK"/>
          <w:b/>
          <w:color w:val="auto"/>
          <w:lang w:val="en-US" w:eastAsia="zh-CN"/>
        </w:rPr>
        <w:t>5000</w:t>
      </w:r>
      <w:r>
        <w:rPr>
          <w:rFonts w:ascii="Times New Roman" w:hAnsi="Times New Roman" w:eastAsia="方正仿宋_GBK" w:cs="Times New Roman"/>
          <w:color w:val="auto"/>
          <w:sz w:val="28"/>
          <w:szCs w:val="24"/>
          <w:lang w:val="en-US" w:eastAsia="uk-UA" w:bidi="ar-SA"/>
        </w:rPr>
        <w:t>万元，</w:t>
      </w:r>
      <w:r>
        <w:rPr>
          <w:rFonts w:hint="eastAsia" w:ascii="Times New Roman" w:hAnsi="Times New Roman" w:eastAsia="方正仿宋_GBK" w:cs="Times New Roman"/>
          <w:color w:val="auto"/>
          <w:sz w:val="28"/>
          <w:szCs w:val="24"/>
          <w:lang w:val="en-US" w:eastAsia="zh-CN" w:bidi="ar-SA"/>
        </w:rPr>
        <w:t>全部为新增</w:t>
      </w:r>
      <w:r>
        <w:rPr>
          <w:rFonts w:hint="eastAsia" w:cs="Times New Roman"/>
          <w:color w:val="auto"/>
          <w:sz w:val="28"/>
          <w:szCs w:val="24"/>
          <w:lang w:val="en-US" w:eastAsia="zh-CN" w:bidi="ar-SA"/>
        </w:rPr>
        <w:t>。</w:t>
      </w:r>
    </w:p>
    <w:p>
      <w:pPr>
        <w:pStyle w:val="2"/>
        <w:spacing w:before="162"/>
        <w:ind w:firstLine="534" w:firstLineChars="200"/>
        <w:rPr>
          <w:b/>
          <w:color w:val="auto"/>
          <w:sz w:val="28"/>
          <w:szCs w:val="28"/>
        </w:rPr>
      </w:pPr>
      <w:r>
        <w:rPr>
          <w:b/>
          <w:color w:val="auto"/>
          <w:w w:val="95"/>
          <w:sz w:val="28"/>
          <w:szCs w:val="28"/>
        </w:rPr>
        <w:t>三、机关运行经费安排情况</w:t>
      </w: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560" w:firstLineChars="200"/>
        <w:jc w:val="both"/>
        <w:textAlignment w:val="auto"/>
        <w:rPr>
          <w:rFonts w:ascii="Times New Roman" w:hAnsi="Times New Roman" w:eastAsia="方正仿宋_GBK" w:cs="Times New Roman"/>
          <w:color w:val="auto"/>
          <w:sz w:val="28"/>
          <w:szCs w:val="24"/>
          <w:lang w:val="en-US" w:eastAsia="uk-UA" w:bidi="ar-SA"/>
        </w:rPr>
      </w:pPr>
      <w:r>
        <w:rPr>
          <w:rFonts w:ascii="Times New Roman" w:hAnsi="Times New Roman" w:eastAsia="方正仿宋_GBK" w:cs="Times New Roman"/>
          <w:color w:val="auto"/>
          <w:sz w:val="28"/>
          <w:szCs w:val="24"/>
          <w:lang w:val="en-US" w:eastAsia="uk-UA" w:bidi="ar-SA"/>
        </w:rPr>
        <w:t>202</w:t>
      </w:r>
      <w:r>
        <w:rPr>
          <w:rFonts w:hint="eastAsia" w:ascii="Times New Roman" w:hAnsi="Times New Roman" w:eastAsia="方正仿宋_GBK" w:cs="Times New Roman"/>
          <w:color w:val="auto"/>
          <w:sz w:val="28"/>
          <w:szCs w:val="24"/>
          <w:lang w:val="en-US" w:eastAsia="zh-CN" w:bidi="ar-SA"/>
        </w:rPr>
        <w:t>1</w:t>
      </w:r>
      <w:r>
        <w:rPr>
          <w:rFonts w:ascii="Times New Roman" w:hAnsi="Times New Roman" w:eastAsia="方正仿宋_GBK" w:cs="Times New Roman"/>
          <w:color w:val="auto"/>
          <w:sz w:val="28"/>
          <w:szCs w:val="24"/>
          <w:lang w:val="en-US" w:eastAsia="uk-UA" w:bidi="ar-SA"/>
        </w:rPr>
        <w:t>年，我</w:t>
      </w:r>
      <w:r>
        <w:rPr>
          <w:rFonts w:hint="eastAsia" w:ascii="Times New Roman" w:hAnsi="Times New Roman" w:eastAsia="方正仿宋_GBK" w:cs="Times New Roman"/>
          <w:color w:val="auto"/>
          <w:sz w:val="28"/>
          <w:szCs w:val="24"/>
          <w:lang w:val="en-US" w:eastAsia="zh-CN" w:bidi="ar-SA"/>
        </w:rPr>
        <w:t>单位</w:t>
      </w:r>
      <w:r>
        <w:rPr>
          <w:rFonts w:ascii="Times New Roman" w:hAnsi="Times New Roman" w:eastAsia="方正仿宋_GBK" w:cs="Times New Roman"/>
          <w:color w:val="auto"/>
          <w:sz w:val="28"/>
          <w:szCs w:val="24"/>
          <w:lang w:val="en-US" w:eastAsia="uk-UA" w:bidi="ar-SA"/>
        </w:rPr>
        <w:t>运行经费共计安排</w:t>
      </w:r>
      <w:r>
        <w:rPr>
          <w:rFonts w:hint="eastAsia" w:eastAsia="方正仿宋_GBK"/>
          <w:color w:val="auto"/>
          <w:lang w:val="en-US" w:eastAsia="zh-CN"/>
        </w:rPr>
        <w:t>0</w:t>
      </w:r>
      <w:r>
        <w:rPr>
          <w:rFonts w:ascii="Times New Roman" w:hAnsi="Times New Roman" w:eastAsia="方正仿宋_GBK" w:cs="Times New Roman"/>
          <w:color w:val="auto"/>
          <w:sz w:val="28"/>
          <w:szCs w:val="24"/>
          <w:lang w:val="en-US" w:eastAsia="uk-UA" w:bidi="ar-SA"/>
        </w:rPr>
        <w:t>万元。</w:t>
      </w:r>
    </w:p>
    <w:p>
      <w:pPr>
        <w:pStyle w:val="2"/>
        <w:spacing w:before="58"/>
        <w:ind w:firstLine="534" w:firstLineChars="200"/>
        <w:rPr>
          <w:b/>
          <w:color w:val="auto"/>
          <w:sz w:val="28"/>
          <w:szCs w:val="28"/>
        </w:rPr>
      </w:pPr>
      <w:r>
        <w:rPr>
          <w:b/>
          <w:color w:val="auto"/>
          <w:w w:val="95"/>
          <w:sz w:val="28"/>
          <w:szCs w:val="28"/>
        </w:rPr>
        <w:t>四、财政拨款“三公”经费预算情况及增减变化原因</w:t>
      </w:r>
    </w:p>
    <w:p>
      <w:pPr>
        <w:spacing w:before="10" w:after="10"/>
        <w:ind w:firstLine="640"/>
        <w:outlineLvl w:val="5"/>
        <w:rPr>
          <w:rFonts w:ascii="Times New Roman" w:hAnsi="Times New Roman" w:eastAsia="方正仿宋_GBK" w:cs="Times New Roman"/>
          <w:color w:val="auto"/>
          <w:sz w:val="28"/>
          <w:szCs w:val="24"/>
          <w:lang w:val="en-US" w:eastAsia="uk-UA" w:bidi="ar-SA"/>
        </w:rPr>
      </w:pPr>
    </w:p>
    <w:p>
      <w:pPr>
        <w:pStyle w:val="2"/>
        <w:keepNext w:val="0"/>
        <w:keepLines w:val="0"/>
        <w:pageBreakBefore w:val="0"/>
        <w:widowControl w:val="0"/>
        <w:kinsoku/>
        <w:wordWrap/>
        <w:overflowPunct/>
        <w:topLinePunct w:val="0"/>
        <w:autoSpaceDE w:val="0"/>
        <w:autoSpaceDN w:val="0"/>
        <w:bidi w:val="0"/>
        <w:adjustRightInd/>
        <w:snapToGrid/>
        <w:spacing w:before="6" w:line="540" w:lineRule="exact"/>
        <w:ind w:firstLine="560" w:firstLineChars="200"/>
        <w:jc w:val="both"/>
        <w:textAlignment w:val="auto"/>
        <w:rPr>
          <w:rFonts w:ascii="Times New Roman" w:hAnsi="Times New Roman" w:eastAsia="方正仿宋_GBK" w:cs="Times New Roman"/>
          <w:color w:val="auto"/>
          <w:sz w:val="28"/>
          <w:szCs w:val="24"/>
          <w:lang w:val="en-US" w:eastAsia="uk-UA" w:bidi="ar-SA"/>
        </w:rPr>
      </w:pPr>
      <w:r>
        <w:rPr>
          <w:rFonts w:ascii="Times New Roman" w:hAnsi="Times New Roman" w:eastAsia="方正仿宋_GBK" w:cs="Times New Roman"/>
          <w:color w:val="auto"/>
          <w:sz w:val="28"/>
          <w:szCs w:val="24"/>
          <w:lang w:val="en-US" w:eastAsia="uk-UA" w:bidi="ar-SA"/>
        </w:rPr>
        <w:t>202</w:t>
      </w:r>
      <w:r>
        <w:rPr>
          <w:rFonts w:hint="eastAsia" w:ascii="Times New Roman" w:hAnsi="Times New Roman" w:eastAsia="方正仿宋_GBK" w:cs="Times New Roman"/>
          <w:color w:val="auto"/>
          <w:sz w:val="28"/>
          <w:szCs w:val="24"/>
          <w:lang w:val="en-US" w:eastAsia="zh-CN" w:bidi="ar-SA"/>
        </w:rPr>
        <w:t>1</w:t>
      </w:r>
      <w:r>
        <w:rPr>
          <w:rFonts w:ascii="Times New Roman" w:hAnsi="Times New Roman" w:eastAsia="方正仿宋_GBK" w:cs="Times New Roman"/>
          <w:color w:val="auto"/>
          <w:sz w:val="28"/>
          <w:szCs w:val="24"/>
          <w:lang w:val="en-US" w:eastAsia="uk-UA" w:bidi="ar-SA"/>
        </w:rPr>
        <w:t xml:space="preserve"> 年</w:t>
      </w:r>
      <w:r>
        <w:rPr>
          <w:rFonts w:hint="eastAsia" w:ascii="Times New Roman" w:hAnsi="Times New Roman" w:eastAsia="方正仿宋_GBK" w:cs="Times New Roman"/>
          <w:color w:val="auto"/>
          <w:sz w:val="28"/>
          <w:szCs w:val="24"/>
          <w:lang w:val="en-US" w:eastAsia="zh-CN" w:bidi="ar-SA"/>
        </w:rPr>
        <w:t>，</w:t>
      </w:r>
      <w:r>
        <w:rPr>
          <w:rFonts w:ascii="Times New Roman" w:hAnsi="Times New Roman" w:eastAsia="方正仿宋_GBK" w:cs="Times New Roman"/>
          <w:color w:val="auto"/>
          <w:sz w:val="28"/>
          <w:szCs w:val="24"/>
          <w:lang w:val="en-US" w:eastAsia="uk-UA" w:bidi="ar-SA"/>
        </w:rPr>
        <w:t>我</w:t>
      </w:r>
      <w:r>
        <w:rPr>
          <w:rFonts w:hint="eastAsia" w:ascii="Times New Roman" w:hAnsi="Times New Roman" w:eastAsia="方正仿宋_GBK" w:cs="Times New Roman"/>
          <w:color w:val="auto"/>
          <w:sz w:val="28"/>
          <w:szCs w:val="24"/>
          <w:lang w:val="en-US" w:eastAsia="zh-CN" w:bidi="ar-SA"/>
        </w:rPr>
        <w:t>单位</w:t>
      </w:r>
      <w:r>
        <w:rPr>
          <w:rFonts w:ascii="Times New Roman" w:hAnsi="Times New Roman" w:eastAsia="方正仿宋_GBK" w:cs="Times New Roman"/>
          <w:color w:val="auto"/>
          <w:sz w:val="28"/>
          <w:szCs w:val="24"/>
          <w:lang w:val="en-US" w:eastAsia="uk-UA" w:bidi="ar-SA"/>
        </w:rPr>
        <w:t>财政拨款“三公”经费预算安排</w:t>
      </w:r>
      <w:r>
        <w:rPr>
          <w:rFonts w:hint="eastAsia" w:ascii="Times New Roman" w:hAnsi="Times New Roman" w:eastAsia="方正仿宋_GBK" w:cs="Times New Roman"/>
          <w:color w:val="auto"/>
          <w:sz w:val="28"/>
          <w:szCs w:val="24"/>
          <w:lang w:val="en-US" w:eastAsia="zh-CN" w:bidi="ar-SA"/>
        </w:rPr>
        <w:t>0</w:t>
      </w:r>
      <w:r>
        <w:rPr>
          <w:rFonts w:ascii="Times New Roman" w:hAnsi="Times New Roman" w:eastAsia="方正仿宋_GBK" w:cs="Times New Roman"/>
          <w:color w:val="auto"/>
          <w:sz w:val="28"/>
          <w:szCs w:val="24"/>
          <w:lang w:val="en-US" w:eastAsia="uk-UA" w:bidi="ar-SA"/>
        </w:rPr>
        <w:t>万元，</w:t>
      </w:r>
      <w:r>
        <w:rPr>
          <w:rFonts w:hint="eastAsia" w:ascii="Times New Roman" w:hAnsi="Times New Roman" w:eastAsia="方正仿宋_GBK" w:cs="Times New Roman"/>
          <w:color w:val="auto"/>
          <w:sz w:val="28"/>
          <w:szCs w:val="24"/>
          <w:lang w:val="en-US" w:eastAsia="zh-CN" w:bidi="ar-SA"/>
        </w:rPr>
        <w:t>其中因公出国（境）费0万元；公务用车购置及运行维护费0万元（其中：公务用车购置费0万元，公务用车运行维护费0万元）；公务接待费0万元。</w:t>
      </w:r>
    </w:p>
    <w:p>
      <w:pPr>
        <w:ind w:firstLine="640"/>
        <w:rPr>
          <w:color w:val="auto"/>
          <w:sz w:val="28"/>
          <w:szCs w:val="28"/>
        </w:rPr>
      </w:pPr>
      <w:r>
        <w:rPr>
          <w:rFonts w:ascii="黑体" w:hAnsi="黑体" w:eastAsia="黑体" w:cs="黑体"/>
          <w:color w:val="auto"/>
          <w:sz w:val="32"/>
        </w:rPr>
        <w:t>五、预算绩效信息</w:t>
      </w:r>
      <w:r>
        <w:rPr>
          <w:rFonts w:ascii="方正楷体_GBK" w:hAnsi="方正楷体_GBK" w:eastAsia="方正楷体_GBK" w:cs="方正楷体_GBK"/>
          <w:b/>
          <w:color w:val="auto"/>
          <w:sz w:val="28"/>
          <w:szCs w:val="28"/>
        </w:rPr>
        <w:t>第一部分</w:t>
      </w:r>
      <w:r>
        <w:rPr>
          <w:rFonts w:hint="eastAsia" w:ascii="方正楷体_GBK" w:hAnsi="方正楷体_GBK" w:eastAsia="方正楷体_GBK" w:cs="方正楷体_GBK"/>
          <w:b/>
          <w:color w:val="auto"/>
          <w:sz w:val="28"/>
          <w:szCs w:val="28"/>
          <w:lang w:eastAsia="zh-CN"/>
        </w:rPr>
        <w:t>单位</w:t>
      </w:r>
      <w:r>
        <w:rPr>
          <w:rFonts w:ascii="方正楷体_GBK" w:hAnsi="方正楷体_GBK" w:eastAsia="方正楷体_GBK" w:cs="方正楷体_GBK"/>
          <w:b/>
          <w:color w:val="auto"/>
          <w:sz w:val="28"/>
          <w:szCs w:val="28"/>
        </w:rPr>
        <w:t>整体绩效目标</w:t>
      </w:r>
    </w:p>
    <w:p>
      <w:pPr>
        <w:spacing w:line="500" w:lineRule="exact"/>
        <w:ind w:firstLine="560"/>
        <w:rPr>
          <w:color w:val="auto"/>
        </w:rPr>
      </w:pPr>
      <w:r>
        <w:rPr>
          <w:rFonts w:eastAsia="方正仿宋_GBK"/>
          <w:color w:val="auto"/>
          <w:sz w:val="28"/>
        </w:rPr>
        <w:t>（一）总体绩效目标</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202</w:t>
      </w:r>
      <w:r>
        <w:rPr>
          <w:rFonts w:hint="eastAsia"/>
          <w:color w:val="auto"/>
          <w:lang w:val="en-US" w:eastAsia="zh-CN"/>
        </w:rPr>
        <w:t>1</w:t>
      </w:r>
      <w:r>
        <w:rPr>
          <w:color w:val="auto"/>
        </w:rPr>
        <w:t>年是落实</w:t>
      </w:r>
      <w:r>
        <w:rPr>
          <w:rFonts w:hint="eastAsia"/>
          <w:color w:val="auto"/>
          <w:lang w:eastAsia="zh-CN"/>
        </w:rPr>
        <w:t>党的</w:t>
      </w:r>
      <w:r>
        <w:rPr>
          <w:color w:val="auto"/>
        </w:rPr>
        <w:t>十九大精神的重要一年，也是京津冀协同发展全面推进的关键之年，也是打造保定西花园、建设京南保西魅力新区的夯基固本之年。我们要围绕区委区政府中心工作和省厅的部署要求，牢固树立和贯彻落实新发展理念，适应把握引领经济发展新常态，坚持尽职尽责保护国土资源、节约集约利用国土资源、尽心尽力维护群众权益，加强管理，深化改革，扎实开展作风整顿，为“把保定建设成为创新驱动经济强市、实现保定崛起和复兴”</w:t>
      </w:r>
      <w:r>
        <w:rPr>
          <w:rFonts w:hint="eastAsia"/>
          <w:color w:val="auto"/>
          <w:lang w:val="en-US" w:eastAsia="zh-CN"/>
        </w:rPr>
        <w:t>作</w:t>
      </w:r>
      <w:r>
        <w:rPr>
          <w:color w:val="auto"/>
        </w:rPr>
        <w:t>出更大贡献。</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（一）关于土地整治工作。</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1、认真贯彻落实《中共中央国务院关于加强耕地保护和改进占补平衡的意见》，坚持补充耕地数量与提高质量并重的原则，严格落实耕地占补平衡主体责任，强化补充耕地任务，对没立项的抓紧立项，已立项的占补项目要确保质量、抓紧实施，拓展补充耕地渠道，统筹实施土地整治，新增耕地经核定后可用于落实补充耕地任务。</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2、要做好基本农田保护工作。全面落实永久基本农田划定“落地块、明责任、设标志、建表册、入图库”五项任务，及时做好数据库审核备案。</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3、</w:t>
      </w:r>
      <w:r>
        <w:rPr>
          <w:color w:val="auto"/>
        </w:rPr>
        <w:t>关于露天矿山污染深度整治工作。在去年工作的基础上，做好已完工项目的后期监管与维护，加强矿山地质环境恢复治理日常监管，督促生产矿山企业严格落实矿产资源开发利用方案、矿山土质环境保护与土地复垦方案，实现边开采、边治理、边恢复、边复垦。</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4、</w:t>
      </w:r>
      <w:r>
        <w:rPr>
          <w:color w:val="auto"/>
        </w:rPr>
        <w:t>关于执法监察工作。一是对202</w:t>
      </w:r>
      <w:r>
        <w:rPr>
          <w:rFonts w:hint="eastAsia"/>
          <w:color w:val="auto"/>
          <w:lang w:val="en-US" w:eastAsia="zh-CN"/>
        </w:rPr>
        <w:t>1</w:t>
      </w:r>
      <w:r>
        <w:rPr>
          <w:color w:val="auto"/>
        </w:rPr>
        <w:t>年度以前的违法用地继续完成“清零”任务，能拆则拆，能补则补，对符合规划的要抓紧完善用地手续，确保202</w:t>
      </w:r>
      <w:r>
        <w:rPr>
          <w:rFonts w:hint="eastAsia"/>
          <w:color w:val="auto"/>
          <w:lang w:val="en-US" w:eastAsia="zh-CN"/>
        </w:rPr>
        <w:t>1</w:t>
      </w:r>
      <w:r>
        <w:rPr>
          <w:color w:val="auto"/>
        </w:rPr>
        <w:t>年全年占用耕地“零”违法。二是严厉打击新增违法用地、非法采矿、盗采砂石行为，建立“网格化”监管机制，重拳出击，以雷霆之力迅速拆除违法建筑及设施，将违法占地行为消除在萌芽状态。</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5、</w:t>
      </w:r>
      <w:r>
        <w:rPr>
          <w:color w:val="auto"/>
        </w:rPr>
        <w:t>关于土地节约集约利用工作。积极开展开发区内土地集约利用评价工作和耕地质量更新评价工作；积极跑部进厅，争取新增建设用地指标；深入挖潜盘活建设用地存量，全力推进新民居建设的拆旧工作，破解增减挂钩政策；加大对闲置土地的处置力度，提高低效土地利用率，多渠道保障项目用地。对批而未供土地进行逐宗梳理，根据每个地块的情况制定供地方案，对有条件的地块加快供地进度，确保供地率。</w:t>
      </w:r>
    </w:p>
    <w:p>
      <w:pPr>
        <w:pStyle w:val="26"/>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6、</w:t>
      </w:r>
      <w:r>
        <w:rPr>
          <w:color w:val="auto"/>
        </w:rPr>
        <w:t>关于露天矿山企业主动退出工作。严格落实《中共保定市满城区委保定市满城区人民政府关于鼓励露天矿山主动关闭退出工作的实施意见》（满字[2016]12号）文件，加快推进露天矿山企业有序退出。探索矿山企业“去产能”工程，构建交易平台，通过矿山整合集中和矿山减量化管理，大力消减矿山企业数量，缓解矿山退出政府资金压力。</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eastAsia="方正仿宋_GBK"/>
          <w:color w:val="auto"/>
          <w:sz w:val="28"/>
        </w:rPr>
        <w:t>（二）分项绩效目标</w:t>
      </w:r>
    </w:p>
    <w:p>
      <w:pPr>
        <w:pStyle w:val="27"/>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1、</w:t>
      </w:r>
      <w:r>
        <w:rPr>
          <w:color w:val="auto"/>
        </w:rPr>
        <w:t>贯彻执行国家、省、市有关法律、行政法规和政策保证其在本行政区域内的有效实施;拟订土地资源、矿产资源等自然资源规范性文件和政策性规定,并负责实施和监督检查;负责有关行政复议工作。</w:t>
      </w:r>
    </w:p>
    <w:p>
      <w:pPr>
        <w:pStyle w:val="27"/>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2、</w:t>
      </w:r>
      <w:r>
        <w:rPr>
          <w:color w:val="auto"/>
        </w:rPr>
        <w:t>监督检查全区土地资源和矿产资源规划执行情况;依法保护土地、矿产资源所有者和使用者的合法权益,承办并组织调处本区的权属纠纷,查处违法案件。</w:t>
      </w:r>
    </w:p>
    <w:p>
      <w:pPr>
        <w:pStyle w:val="27"/>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3、</w:t>
      </w:r>
      <w:r>
        <w:rPr>
          <w:color w:val="auto"/>
        </w:rPr>
        <w:t>拟订并实施全县耕地特殊保护和鼓励耕地开发政策实施农用地用途管制,组织基本农田保护,指导未利用土地开发、土地整理、土地复垦和开发耕地监督工作,确保耕地面积只能增加、不能减少。</w:t>
      </w:r>
    </w:p>
    <w:p>
      <w:pPr>
        <w:pStyle w:val="27"/>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hint="eastAsia"/>
          <w:color w:val="auto"/>
          <w:lang w:val="en-US" w:eastAsia="zh-CN"/>
        </w:rPr>
        <w:t>4、</w:t>
      </w:r>
      <w:r>
        <w:rPr>
          <w:color w:val="auto"/>
        </w:rPr>
        <w:t>组织协调本行政区域内地质灾害防治;保护地质环境；按权限认定并管理具有重要价值的地质遗迹保护区。</w:t>
      </w:r>
    </w:p>
    <w:p>
      <w:pPr>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rFonts w:eastAsia="方正仿宋_GBK"/>
          <w:color w:val="auto"/>
          <w:sz w:val="28"/>
        </w:rPr>
        <w:t>（三）工作保障措施</w:t>
      </w:r>
    </w:p>
    <w:p>
      <w:pPr>
        <w:pStyle w:val="28"/>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1、完善自然资源法制化建设</w:t>
      </w:r>
    </w:p>
    <w:p>
      <w:pPr>
        <w:pStyle w:val="28"/>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全面深入贯彻党的依法治国的基本方略，建立内容协调、程序严谨、衔接有序、高效实用的自然资源和规划法制化体系。建立权责明晰、行为规范、监督有力的执法体制机制，明确职权法定工作机制，严守权力边界，依照法定权限行使权力。建立健全权力清单、责任清单制度。运用法治思维推动自然资源和规划事业发展，结合本地实际，加强法制建设。实行法律顾问制度，加强普法教育，树立法治思维、依法行政，精准执法。</w:t>
      </w:r>
    </w:p>
    <w:p>
      <w:pPr>
        <w:pStyle w:val="28"/>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2、加强预算绩效管理</w:t>
      </w:r>
    </w:p>
    <w:p>
      <w:pPr>
        <w:pStyle w:val="28"/>
        <w:keepNext w:val="0"/>
        <w:keepLines w:val="0"/>
        <w:pageBreakBefore w:val="0"/>
        <w:widowControl/>
        <w:kinsoku/>
        <w:wordWrap/>
        <w:overflowPunct/>
        <w:topLinePunct w:val="0"/>
        <w:autoSpaceDE/>
        <w:autoSpaceDN/>
        <w:bidi w:val="0"/>
        <w:adjustRightInd/>
        <w:snapToGrid/>
        <w:spacing w:line="540" w:lineRule="exact"/>
        <w:ind w:firstLine="561"/>
        <w:textAlignment w:val="auto"/>
        <w:rPr>
          <w:color w:val="auto"/>
        </w:rPr>
      </w:pPr>
      <w:r>
        <w:rPr>
          <w:color w:val="auto"/>
        </w:rPr>
        <w:t>落实全面预算绩效管理要求，将事前绩效评估、绩效目标设定、绩效跟踪、绩效评价及结果运用纳入预算编制、执行、监督全过程。围绕部门职责、发展规划设定绩效目标，按要求开展部门预算绩效评价工作，对评价中发现的问题及时整改，推动提高部门整体绩效管理水平。</w:t>
      </w:r>
    </w:p>
    <w:p>
      <w:pPr>
        <w:pStyle w:val="28"/>
        <w:keepNext w:val="0"/>
        <w:keepLines w:val="0"/>
        <w:pageBreakBefore w:val="0"/>
        <w:widowControl/>
        <w:kinsoku/>
        <w:wordWrap/>
        <w:overflowPunct/>
        <w:topLinePunct w:val="0"/>
        <w:autoSpaceDE/>
        <w:autoSpaceDN/>
        <w:bidi w:val="0"/>
        <w:adjustRightInd/>
        <w:snapToGrid/>
        <w:spacing w:line="540" w:lineRule="exact"/>
        <w:ind w:left="0" w:leftChars="0" w:firstLine="560" w:firstLineChars="200"/>
        <w:textAlignment w:val="auto"/>
        <w:rPr>
          <w:color w:val="auto"/>
        </w:rPr>
      </w:pPr>
      <w:r>
        <w:rPr>
          <w:rFonts w:hint="eastAsia"/>
          <w:color w:val="auto"/>
          <w:lang w:val="en-US" w:eastAsia="zh-CN"/>
        </w:rPr>
        <w:t>3</w:t>
      </w:r>
      <w:r>
        <w:rPr>
          <w:color w:val="auto"/>
        </w:rPr>
        <w:t>、加强内控、规范财务资产管理</w:t>
      </w:r>
    </w:p>
    <w:p>
      <w:pPr>
        <w:spacing w:line="500" w:lineRule="exact"/>
        <w:ind w:firstLine="560"/>
        <w:rPr>
          <w:color w:val="auto"/>
        </w:rPr>
      </w:pPr>
      <w:r>
        <w:rPr>
          <w:color w:val="auto"/>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和报废处置管理，做到支出合理，物尽其用。</w:t>
      </w:r>
    </w:p>
    <w:p>
      <w:pPr>
        <w:spacing w:before="10" w:after="10"/>
        <w:ind w:firstLine="640"/>
        <w:outlineLvl w:val="5"/>
        <w:rPr>
          <w:color w:val="auto"/>
        </w:rPr>
      </w:pPr>
      <w:r>
        <w:rPr>
          <w:rFonts w:ascii="黑体" w:hAnsi="黑体" w:eastAsia="黑体" w:cs="黑体"/>
          <w:color w:val="auto"/>
          <w:sz w:val="32"/>
        </w:rPr>
        <w:t>六、政府采购预算情况</w:t>
      </w:r>
    </w:p>
    <w:p>
      <w:pPr>
        <w:spacing w:line="500" w:lineRule="exact"/>
        <w:ind w:firstLine="560"/>
        <w:rPr>
          <w:color w:val="auto"/>
        </w:rPr>
      </w:pPr>
      <w:r>
        <w:rPr>
          <w:rFonts w:eastAsia="方正仿宋_GBK"/>
          <w:color w:val="auto"/>
          <w:sz w:val="28"/>
        </w:rPr>
        <w:t>202</w:t>
      </w:r>
      <w:r>
        <w:rPr>
          <w:rFonts w:hint="eastAsia" w:eastAsia="方正仿宋_GBK"/>
          <w:color w:val="auto"/>
          <w:sz w:val="28"/>
          <w:lang w:val="en-US" w:eastAsia="zh-CN"/>
        </w:rPr>
        <w:t>1</w:t>
      </w:r>
      <w:r>
        <w:rPr>
          <w:rFonts w:eastAsia="方正仿宋_GBK"/>
          <w:color w:val="auto"/>
          <w:sz w:val="28"/>
        </w:rPr>
        <w:t>年，保定市自然资源和规划局满城区分局(</w:t>
      </w:r>
      <w:r>
        <w:rPr>
          <w:rFonts w:hint="eastAsia" w:eastAsia="方正仿宋_GBK"/>
          <w:color w:val="auto"/>
          <w:sz w:val="28"/>
          <w:lang w:val="en-US" w:eastAsia="zh-CN"/>
        </w:rPr>
        <w:t>国土局部门</w:t>
      </w:r>
      <w:r>
        <w:rPr>
          <w:rFonts w:eastAsia="方正仿宋_GBK"/>
          <w:color w:val="auto"/>
          <w:sz w:val="28"/>
        </w:rPr>
        <w:t>)</w:t>
      </w:r>
      <w:r>
        <w:rPr>
          <w:rFonts w:hint="eastAsia" w:eastAsia="方正仿宋_GBK"/>
          <w:color w:val="auto"/>
          <w:sz w:val="28"/>
          <w:lang w:eastAsia="zh-CN"/>
        </w:rPr>
        <w:t>无政府采购预算，空表列示</w:t>
      </w:r>
      <w:r>
        <w:rPr>
          <w:rFonts w:eastAsia="方正仿宋_GBK"/>
          <w:color w:val="auto"/>
          <w:sz w:val="28"/>
        </w:rPr>
        <w:t>。</w:t>
      </w:r>
    </w:p>
    <w:p>
      <w:pPr>
        <w:jc w:val="center"/>
        <w:rPr>
          <w:color w:val="auto"/>
        </w:rPr>
      </w:pPr>
      <w:r>
        <w:rPr>
          <w:rFonts w:ascii="方正小标宋_GBK" w:hAnsi="方正小标宋_GBK" w:eastAsia="方正小标宋_GBK" w:cs="方正小标宋_GBK"/>
          <w:color w:val="auto"/>
          <w:sz w:val="36"/>
        </w:rPr>
        <w:t>单位政府采购预算</w:t>
      </w:r>
    </w:p>
    <w:tbl>
      <w:tblPr>
        <w:tblStyle w:val="5"/>
        <w:tblW w:w="155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6"/>
        <w:gridCol w:w="939"/>
        <w:gridCol w:w="1104"/>
        <w:gridCol w:w="1104"/>
        <w:gridCol w:w="690"/>
        <w:gridCol w:w="827"/>
        <w:gridCol w:w="830"/>
        <w:gridCol w:w="938"/>
        <w:gridCol w:w="938"/>
        <w:gridCol w:w="938"/>
        <w:gridCol w:w="938"/>
        <w:gridCol w:w="938"/>
        <w:gridCol w:w="938"/>
        <w:gridCol w:w="938"/>
        <w:gridCol w:w="944"/>
        <w:gridCol w:w="9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1" w:hRule="atLeast"/>
          <w:tblHeader/>
          <w:jc w:val="center"/>
        </w:trPr>
        <w:tc>
          <w:tcPr>
            <w:tcW w:w="7150" w:type="dxa"/>
            <w:gridSpan w:val="7"/>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324006保定市自然资源和规划局满城区分局(自收自支)</w:t>
            </w:r>
          </w:p>
        </w:tc>
        <w:tc>
          <w:tcPr>
            <w:tcW w:w="8449" w:type="dxa"/>
            <w:gridSpan w:val="9"/>
            <w:tcBorders>
              <w:top w:val="single" w:color="FFFFFF" w:sz="6" w:space="0"/>
              <w:left w:val="single" w:color="FFFFFF" w:sz="6" w:space="0"/>
              <w:right w:val="single" w:color="FFFFFF" w:sz="6" w:space="0"/>
            </w:tcBorders>
            <w:noWrap w:val="0"/>
            <w:vAlign w:val="center"/>
          </w:tcPr>
          <w:p>
            <w:pPr>
              <w:pStyle w:val="2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1" w:hRule="atLeast"/>
          <w:tblHeader/>
          <w:jc w:val="center"/>
        </w:trPr>
        <w:tc>
          <w:tcPr>
            <w:tcW w:w="2595" w:type="dxa"/>
            <w:gridSpan w:val="2"/>
            <w:noWrap w:val="0"/>
            <w:vAlign w:val="center"/>
          </w:tcPr>
          <w:p>
            <w:pPr>
              <w:pStyle w:val="15"/>
              <w:rPr>
                <w:color w:val="auto"/>
              </w:rPr>
            </w:pPr>
            <w:r>
              <w:rPr>
                <w:color w:val="auto"/>
              </w:rPr>
              <w:t>政府采购项目来源</w:t>
            </w:r>
          </w:p>
        </w:tc>
        <w:tc>
          <w:tcPr>
            <w:tcW w:w="1104" w:type="dxa"/>
            <w:vMerge w:val="restart"/>
            <w:noWrap w:val="0"/>
            <w:vAlign w:val="center"/>
          </w:tcPr>
          <w:p>
            <w:pPr>
              <w:pStyle w:val="15"/>
              <w:rPr>
                <w:color w:val="auto"/>
              </w:rPr>
            </w:pPr>
            <w:r>
              <w:rPr>
                <w:color w:val="auto"/>
              </w:rPr>
              <w:t>采购物品名称</w:t>
            </w:r>
          </w:p>
        </w:tc>
        <w:tc>
          <w:tcPr>
            <w:tcW w:w="1104" w:type="dxa"/>
            <w:vMerge w:val="restart"/>
            <w:noWrap w:val="0"/>
            <w:vAlign w:val="center"/>
          </w:tcPr>
          <w:p>
            <w:pPr>
              <w:pStyle w:val="15"/>
              <w:rPr>
                <w:color w:val="auto"/>
              </w:rPr>
            </w:pPr>
            <w:r>
              <w:rPr>
                <w:color w:val="auto"/>
              </w:rPr>
              <w:t>政府采购目录序号</w:t>
            </w:r>
          </w:p>
        </w:tc>
        <w:tc>
          <w:tcPr>
            <w:tcW w:w="690" w:type="dxa"/>
            <w:vMerge w:val="restart"/>
            <w:noWrap w:val="0"/>
            <w:vAlign w:val="center"/>
          </w:tcPr>
          <w:p>
            <w:pPr>
              <w:pStyle w:val="15"/>
              <w:rPr>
                <w:color w:val="auto"/>
              </w:rPr>
            </w:pPr>
            <w:r>
              <w:rPr>
                <w:color w:val="auto"/>
              </w:rPr>
              <w:t>计量  单位</w:t>
            </w:r>
          </w:p>
        </w:tc>
        <w:tc>
          <w:tcPr>
            <w:tcW w:w="827" w:type="dxa"/>
            <w:vMerge w:val="restart"/>
            <w:noWrap w:val="0"/>
            <w:vAlign w:val="center"/>
          </w:tcPr>
          <w:p>
            <w:pPr>
              <w:pStyle w:val="15"/>
              <w:rPr>
                <w:color w:val="auto"/>
              </w:rPr>
            </w:pPr>
            <w:r>
              <w:rPr>
                <w:color w:val="auto"/>
              </w:rPr>
              <w:t>数量</w:t>
            </w:r>
          </w:p>
        </w:tc>
        <w:tc>
          <w:tcPr>
            <w:tcW w:w="830" w:type="dxa"/>
            <w:vMerge w:val="restart"/>
            <w:noWrap w:val="0"/>
            <w:vAlign w:val="center"/>
          </w:tcPr>
          <w:p>
            <w:pPr>
              <w:pStyle w:val="15"/>
              <w:rPr>
                <w:color w:val="auto"/>
              </w:rPr>
            </w:pPr>
            <w:r>
              <w:rPr>
                <w:color w:val="auto"/>
              </w:rPr>
              <w:t>单价</w:t>
            </w:r>
          </w:p>
        </w:tc>
        <w:tc>
          <w:tcPr>
            <w:tcW w:w="7510" w:type="dxa"/>
            <w:gridSpan w:val="8"/>
            <w:noWrap w:val="0"/>
            <w:vAlign w:val="center"/>
          </w:tcPr>
          <w:p>
            <w:pPr>
              <w:pStyle w:val="15"/>
              <w:rPr>
                <w:color w:val="auto"/>
              </w:rPr>
            </w:pPr>
            <w:r>
              <w:rPr>
                <w:color w:val="auto"/>
              </w:rPr>
              <w:t>政府采购金额（当年部门预算安排资金）</w:t>
            </w:r>
          </w:p>
        </w:tc>
        <w:tc>
          <w:tcPr>
            <w:tcW w:w="939" w:type="dxa"/>
            <w:vMerge w:val="restart"/>
            <w:noWrap w:val="0"/>
            <w:vAlign w:val="center"/>
          </w:tcPr>
          <w:p>
            <w:pPr>
              <w:pStyle w:val="15"/>
              <w:rPr>
                <w:color w:val="auto"/>
              </w:rPr>
            </w:pPr>
            <w:r>
              <w:rPr>
                <w:color w:val="auto"/>
              </w:rPr>
              <w:t>202</w:t>
            </w:r>
            <w:r>
              <w:rPr>
                <w:rFonts w:hint="eastAsia"/>
                <w:color w:val="auto"/>
                <w:lang w:val="en-US" w:eastAsia="zh-CN"/>
              </w:rPr>
              <w:t>1</w:t>
            </w:r>
            <w:r>
              <w:rPr>
                <w:color w:val="auto"/>
              </w:rP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18" w:hRule="atLeast"/>
          <w:tblHeader/>
          <w:jc w:val="center"/>
        </w:trPr>
        <w:tc>
          <w:tcPr>
            <w:tcW w:w="1656" w:type="dxa"/>
            <w:noWrap w:val="0"/>
            <w:vAlign w:val="center"/>
          </w:tcPr>
          <w:p>
            <w:pPr>
              <w:pStyle w:val="15"/>
              <w:rPr>
                <w:color w:val="auto"/>
              </w:rPr>
            </w:pPr>
            <w:r>
              <w:rPr>
                <w:color w:val="auto"/>
              </w:rPr>
              <w:t>项目名称</w:t>
            </w:r>
          </w:p>
        </w:tc>
        <w:tc>
          <w:tcPr>
            <w:tcW w:w="939" w:type="dxa"/>
            <w:noWrap w:val="0"/>
            <w:vAlign w:val="center"/>
          </w:tcPr>
          <w:p>
            <w:pPr>
              <w:pStyle w:val="15"/>
              <w:rPr>
                <w:color w:val="auto"/>
              </w:rPr>
            </w:pPr>
            <w:r>
              <w:rPr>
                <w:color w:val="auto"/>
              </w:rPr>
              <w:t>预算    资金</w:t>
            </w:r>
          </w:p>
        </w:tc>
        <w:tc>
          <w:tcPr>
            <w:tcW w:w="1104" w:type="dxa"/>
            <w:vMerge w:val="continue"/>
            <w:noWrap w:val="0"/>
            <w:vAlign w:val="top"/>
          </w:tcPr>
          <w:p>
            <w:pPr>
              <w:rPr>
                <w:color w:val="auto"/>
              </w:rPr>
            </w:pPr>
          </w:p>
        </w:tc>
        <w:tc>
          <w:tcPr>
            <w:tcW w:w="1104" w:type="dxa"/>
            <w:vMerge w:val="continue"/>
            <w:noWrap w:val="0"/>
            <w:vAlign w:val="top"/>
          </w:tcPr>
          <w:p>
            <w:pPr>
              <w:rPr>
                <w:color w:val="auto"/>
              </w:rPr>
            </w:pPr>
          </w:p>
        </w:tc>
        <w:tc>
          <w:tcPr>
            <w:tcW w:w="690" w:type="dxa"/>
            <w:vMerge w:val="continue"/>
            <w:noWrap w:val="0"/>
            <w:vAlign w:val="top"/>
          </w:tcPr>
          <w:p>
            <w:pPr>
              <w:rPr>
                <w:color w:val="auto"/>
              </w:rPr>
            </w:pPr>
          </w:p>
        </w:tc>
        <w:tc>
          <w:tcPr>
            <w:tcW w:w="827" w:type="dxa"/>
            <w:vMerge w:val="continue"/>
            <w:noWrap w:val="0"/>
            <w:vAlign w:val="top"/>
          </w:tcPr>
          <w:p>
            <w:pPr>
              <w:rPr>
                <w:color w:val="auto"/>
              </w:rPr>
            </w:pPr>
          </w:p>
        </w:tc>
        <w:tc>
          <w:tcPr>
            <w:tcW w:w="830" w:type="dxa"/>
            <w:vMerge w:val="continue"/>
            <w:noWrap w:val="0"/>
            <w:vAlign w:val="top"/>
          </w:tcPr>
          <w:p>
            <w:pPr>
              <w:rPr>
                <w:color w:val="auto"/>
              </w:rPr>
            </w:pPr>
          </w:p>
        </w:tc>
        <w:tc>
          <w:tcPr>
            <w:tcW w:w="938" w:type="dxa"/>
            <w:noWrap w:val="0"/>
            <w:vAlign w:val="center"/>
          </w:tcPr>
          <w:p>
            <w:pPr>
              <w:pStyle w:val="15"/>
              <w:rPr>
                <w:color w:val="auto"/>
              </w:rPr>
            </w:pPr>
            <w:r>
              <w:rPr>
                <w:color w:val="auto"/>
              </w:rPr>
              <w:t>合计</w:t>
            </w:r>
          </w:p>
        </w:tc>
        <w:tc>
          <w:tcPr>
            <w:tcW w:w="938" w:type="dxa"/>
            <w:noWrap w:val="0"/>
            <w:vAlign w:val="center"/>
          </w:tcPr>
          <w:p>
            <w:pPr>
              <w:pStyle w:val="15"/>
              <w:rPr>
                <w:color w:val="auto"/>
              </w:rPr>
            </w:pPr>
            <w:r>
              <w:rPr>
                <w:color w:val="auto"/>
              </w:rPr>
              <w:t>一般公共预算拨款</w:t>
            </w:r>
          </w:p>
        </w:tc>
        <w:tc>
          <w:tcPr>
            <w:tcW w:w="938" w:type="dxa"/>
            <w:noWrap w:val="0"/>
            <w:vAlign w:val="center"/>
          </w:tcPr>
          <w:p>
            <w:pPr>
              <w:pStyle w:val="15"/>
              <w:rPr>
                <w:color w:val="auto"/>
              </w:rPr>
            </w:pPr>
            <w:r>
              <w:rPr>
                <w:color w:val="auto"/>
              </w:rPr>
              <w:t>基金预算拨款</w:t>
            </w:r>
          </w:p>
        </w:tc>
        <w:tc>
          <w:tcPr>
            <w:tcW w:w="938" w:type="dxa"/>
            <w:noWrap w:val="0"/>
            <w:vAlign w:val="center"/>
          </w:tcPr>
          <w:p>
            <w:pPr>
              <w:pStyle w:val="15"/>
              <w:rPr>
                <w:color w:val="auto"/>
              </w:rPr>
            </w:pPr>
            <w:r>
              <w:rPr>
                <w:color w:val="auto"/>
              </w:rPr>
              <w:t>国有资本经营预算拨款</w:t>
            </w:r>
          </w:p>
        </w:tc>
        <w:tc>
          <w:tcPr>
            <w:tcW w:w="938" w:type="dxa"/>
            <w:noWrap w:val="0"/>
            <w:vAlign w:val="center"/>
          </w:tcPr>
          <w:p>
            <w:pPr>
              <w:pStyle w:val="15"/>
              <w:rPr>
                <w:color w:val="auto"/>
              </w:rPr>
            </w:pPr>
            <w:r>
              <w:rPr>
                <w:color w:val="auto"/>
              </w:rPr>
              <w:t>财政专户核拨</w:t>
            </w:r>
          </w:p>
        </w:tc>
        <w:tc>
          <w:tcPr>
            <w:tcW w:w="938" w:type="dxa"/>
            <w:noWrap w:val="0"/>
            <w:vAlign w:val="center"/>
          </w:tcPr>
          <w:p>
            <w:pPr>
              <w:pStyle w:val="15"/>
              <w:rPr>
                <w:color w:val="auto"/>
              </w:rPr>
            </w:pPr>
            <w:r>
              <w:rPr>
                <w:color w:val="auto"/>
              </w:rPr>
              <w:t>单位    资金</w:t>
            </w:r>
          </w:p>
        </w:tc>
        <w:tc>
          <w:tcPr>
            <w:tcW w:w="938" w:type="dxa"/>
            <w:noWrap w:val="0"/>
            <w:vAlign w:val="center"/>
          </w:tcPr>
          <w:p>
            <w:pPr>
              <w:pStyle w:val="15"/>
              <w:rPr>
                <w:color w:val="auto"/>
              </w:rPr>
            </w:pPr>
            <w:r>
              <w:rPr>
                <w:color w:val="auto"/>
              </w:rPr>
              <w:t>财政拨    款结转</w:t>
            </w:r>
          </w:p>
        </w:tc>
        <w:tc>
          <w:tcPr>
            <w:tcW w:w="944" w:type="dxa"/>
            <w:noWrap w:val="0"/>
            <w:vAlign w:val="center"/>
          </w:tcPr>
          <w:p>
            <w:pPr>
              <w:pStyle w:val="15"/>
              <w:rPr>
                <w:color w:val="auto"/>
              </w:rPr>
            </w:pPr>
            <w:r>
              <w:rPr>
                <w:color w:val="auto"/>
              </w:rPr>
              <w:t>非财政    拨款结    转结余</w:t>
            </w:r>
          </w:p>
        </w:tc>
        <w:tc>
          <w:tcPr>
            <w:tcW w:w="939" w:type="dxa"/>
            <w:vMerge w:val="continue"/>
            <w:noWrap w:val="0"/>
            <w:vAlign w:val="top"/>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6" w:hRule="atLeast"/>
          <w:jc w:val="center"/>
        </w:trPr>
        <w:tc>
          <w:tcPr>
            <w:tcW w:w="1656" w:type="dxa"/>
            <w:noWrap w:val="0"/>
            <w:vAlign w:val="center"/>
          </w:tcPr>
          <w:p>
            <w:pPr>
              <w:pStyle w:val="17"/>
              <w:rPr>
                <w:color w:val="auto"/>
              </w:rPr>
            </w:pPr>
          </w:p>
        </w:tc>
        <w:tc>
          <w:tcPr>
            <w:tcW w:w="939" w:type="dxa"/>
            <w:noWrap w:val="0"/>
            <w:vAlign w:val="center"/>
          </w:tcPr>
          <w:p>
            <w:pPr>
              <w:pStyle w:val="16"/>
              <w:rPr>
                <w:color w:val="auto"/>
              </w:rPr>
            </w:pPr>
          </w:p>
        </w:tc>
        <w:tc>
          <w:tcPr>
            <w:tcW w:w="1104" w:type="dxa"/>
            <w:noWrap w:val="0"/>
            <w:vAlign w:val="center"/>
          </w:tcPr>
          <w:p>
            <w:pPr>
              <w:pStyle w:val="17"/>
              <w:rPr>
                <w:color w:val="auto"/>
              </w:rPr>
            </w:pPr>
          </w:p>
        </w:tc>
        <w:tc>
          <w:tcPr>
            <w:tcW w:w="1104" w:type="dxa"/>
            <w:noWrap w:val="0"/>
            <w:vAlign w:val="center"/>
          </w:tcPr>
          <w:p>
            <w:pPr>
              <w:pStyle w:val="17"/>
              <w:rPr>
                <w:color w:val="auto"/>
              </w:rPr>
            </w:pPr>
          </w:p>
        </w:tc>
        <w:tc>
          <w:tcPr>
            <w:tcW w:w="690" w:type="dxa"/>
            <w:noWrap w:val="0"/>
            <w:vAlign w:val="center"/>
          </w:tcPr>
          <w:p>
            <w:pPr>
              <w:pStyle w:val="18"/>
              <w:rPr>
                <w:color w:val="auto"/>
              </w:rPr>
            </w:pPr>
          </w:p>
        </w:tc>
        <w:tc>
          <w:tcPr>
            <w:tcW w:w="827" w:type="dxa"/>
            <w:noWrap w:val="0"/>
            <w:vAlign w:val="center"/>
          </w:tcPr>
          <w:p>
            <w:pPr>
              <w:pStyle w:val="16"/>
              <w:rPr>
                <w:color w:val="auto"/>
              </w:rPr>
            </w:pPr>
          </w:p>
        </w:tc>
        <w:tc>
          <w:tcPr>
            <w:tcW w:w="830" w:type="dxa"/>
            <w:noWrap w:val="0"/>
            <w:vAlign w:val="center"/>
          </w:tcPr>
          <w:p>
            <w:pPr>
              <w:pStyle w:val="16"/>
              <w:rPr>
                <w:color w:val="auto"/>
              </w:rPr>
            </w:pPr>
          </w:p>
        </w:tc>
        <w:tc>
          <w:tcPr>
            <w:tcW w:w="938" w:type="dxa"/>
            <w:noWrap w:val="0"/>
            <w:vAlign w:val="center"/>
          </w:tcPr>
          <w:p>
            <w:pPr>
              <w:pStyle w:val="16"/>
              <w:rPr>
                <w:color w:val="auto"/>
              </w:rPr>
            </w:pPr>
          </w:p>
        </w:tc>
        <w:tc>
          <w:tcPr>
            <w:tcW w:w="938" w:type="dxa"/>
            <w:noWrap w:val="0"/>
            <w:vAlign w:val="center"/>
          </w:tcPr>
          <w:p>
            <w:pPr>
              <w:pStyle w:val="16"/>
              <w:rPr>
                <w:color w:val="auto"/>
              </w:rPr>
            </w:pPr>
          </w:p>
        </w:tc>
        <w:tc>
          <w:tcPr>
            <w:tcW w:w="938" w:type="dxa"/>
            <w:noWrap w:val="0"/>
            <w:vAlign w:val="center"/>
          </w:tcPr>
          <w:p>
            <w:pPr>
              <w:pStyle w:val="16"/>
              <w:rPr>
                <w:color w:val="auto"/>
              </w:rPr>
            </w:pPr>
          </w:p>
        </w:tc>
        <w:tc>
          <w:tcPr>
            <w:tcW w:w="938" w:type="dxa"/>
            <w:noWrap w:val="0"/>
            <w:vAlign w:val="center"/>
          </w:tcPr>
          <w:p>
            <w:pPr>
              <w:pStyle w:val="16"/>
              <w:rPr>
                <w:color w:val="auto"/>
              </w:rPr>
            </w:pPr>
          </w:p>
        </w:tc>
        <w:tc>
          <w:tcPr>
            <w:tcW w:w="938" w:type="dxa"/>
            <w:noWrap w:val="0"/>
            <w:vAlign w:val="center"/>
          </w:tcPr>
          <w:p>
            <w:pPr>
              <w:pStyle w:val="16"/>
              <w:rPr>
                <w:color w:val="auto"/>
              </w:rPr>
            </w:pPr>
          </w:p>
        </w:tc>
        <w:tc>
          <w:tcPr>
            <w:tcW w:w="938" w:type="dxa"/>
            <w:noWrap w:val="0"/>
            <w:vAlign w:val="center"/>
          </w:tcPr>
          <w:p>
            <w:pPr>
              <w:pStyle w:val="16"/>
              <w:rPr>
                <w:color w:val="auto"/>
              </w:rPr>
            </w:pPr>
          </w:p>
        </w:tc>
        <w:tc>
          <w:tcPr>
            <w:tcW w:w="938" w:type="dxa"/>
            <w:noWrap w:val="0"/>
            <w:vAlign w:val="center"/>
          </w:tcPr>
          <w:p>
            <w:pPr>
              <w:pStyle w:val="16"/>
              <w:rPr>
                <w:color w:val="auto"/>
              </w:rPr>
            </w:pPr>
          </w:p>
        </w:tc>
        <w:tc>
          <w:tcPr>
            <w:tcW w:w="944" w:type="dxa"/>
            <w:noWrap w:val="0"/>
            <w:vAlign w:val="center"/>
          </w:tcPr>
          <w:p>
            <w:pPr>
              <w:pStyle w:val="16"/>
              <w:rPr>
                <w:color w:val="auto"/>
              </w:rPr>
            </w:pPr>
          </w:p>
        </w:tc>
        <w:tc>
          <w:tcPr>
            <w:tcW w:w="939" w:type="dxa"/>
            <w:noWrap w:val="0"/>
            <w:vAlign w:val="center"/>
          </w:tcPr>
          <w:p>
            <w:pPr>
              <w:pStyle w:val="16"/>
              <w:rPr>
                <w:color w:val="auto"/>
              </w:rPr>
            </w:pPr>
          </w:p>
        </w:tc>
      </w:tr>
    </w:tbl>
    <w:p>
      <w:pPr>
        <w:spacing w:line="500" w:lineRule="exact"/>
        <w:ind w:firstLine="420"/>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ind w:firstLine="640"/>
        <w:rPr>
          <w:color w:val="auto"/>
        </w:rPr>
      </w:pPr>
      <w:r>
        <w:rPr>
          <w:rFonts w:eastAsia="方正仿宋_GBK"/>
          <w:color w:val="auto"/>
          <w:sz w:val="32"/>
        </w:rPr>
        <w:t xml:space="preserve"> </w:t>
      </w:r>
    </w:p>
    <w:p>
      <w:pPr>
        <w:spacing w:before="10" w:after="10"/>
        <w:ind w:firstLine="640"/>
        <w:outlineLvl w:val="5"/>
        <w:rPr>
          <w:color w:val="auto"/>
        </w:rPr>
      </w:pPr>
      <w:r>
        <w:rPr>
          <w:rFonts w:ascii="黑体" w:hAnsi="黑体" w:eastAsia="黑体" w:cs="黑体"/>
          <w:color w:val="auto"/>
          <w:sz w:val="32"/>
        </w:rPr>
        <w:t>七、国有资产信息</w:t>
      </w:r>
    </w:p>
    <w:p>
      <w:pPr>
        <w:spacing w:line="500" w:lineRule="exact"/>
        <w:ind w:firstLine="560"/>
        <w:rPr>
          <w:rFonts w:hint="eastAsia" w:eastAsia="方正仿宋_GBK"/>
          <w:color w:val="auto"/>
          <w:lang w:eastAsia="zh-CN"/>
        </w:rPr>
      </w:pPr>
      <w:r>
        <w:rPr>
          <w:rFonts w:eastAsia="方正仿宋_GBK"/>
          <w:color w:val="auto"/>
          <w:sz w:val="28"/>
        </w:rPr>
        <w:t>保定市自然资源和规划局满城区分局(自收自支)上年末固定资产金额为0.00万元（详见下表）。本年度</w:t>
      </w:r>
      <w:r>
        <w:rPr>
          <w:rFonts w:hint="eastAsia" w:eastAsia="方正仿宋_GBK"/>
          <w:color w:val="auto"/>
          <w:sz w:val="28"/>
          <w:lang w:eastAsia="zh-CN"/>
        </w:rPr>
        <w:t>无</w:t>
      </w:r>
      <w:r>
        <w:rPr>
          <w:rFonts w:eastAsia="方正仿宋_GBK"/>
          <w:color w:val="auto"/>
          <w:sz w:val="28"/>
        </w:rPr>
        <w:t>拟购置固定资产</w:t>
      </w:r>
      <w:r>
        <w:rPr>
          <w:rFonts w:hint="eastAsia" w:eastAsia="方正仿宋_GBK"/>
          <w:color w:val="auto"/>
          <w:sz w:val="28"/>
          <w:lang w:eastAsia="zh-CN"/>
        </w:rPr>
        <w:t>计划。</w:t>
      </w:r>
    </w:p>
    <w:p>
      <w:pPr>
        <w:jc w:val="center"/>
        <w:rPr>
          <w:color w:val="auto"/>
        </w:rPr>
      </w:pPr>
      <w:r>
        <w:rPr>
          <w:rFonts w:ascii="方正小标宋_GBK" w:hAnsi="方正小标宋_GBK" w:eastAsia="方正小标宋_GBK" w:cs="方正小标宋_GBK"/>
          <w:color w:val="auto"/>
          <w:sz w:val="36"/>
        </w:rPr>
        <w:t>单位固定资产占用情况表</w:t>
      </w:r>
    </w:p>
    <w:tbl>
      <w:tblPr>
        <w:tblStyle w:val="5"/>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14"/>
              <w:rPr>
                <w:color w:val="auto"/>
              </w:rPr>
            </w:pPr>
            <w:r>
              <w:rPr>
                <w:color w:val="auto"/>
              </w:rPr>
              <w:t>32400</w:t>
            </w:r>
            <w:r>
              <w:rPr>
                <w:rFonts w:hint="eastAsia"/>
                <w:color w:val="auto"/>
                <w:lang w:val="en-US" w:eastAsia="zh-CN"/>
              </w:rPr>
              <w:t>7</w:t>
            </w:r>
            <w:r>
              <w:rPr>
                <w:color w:val="auto"/>
              </w:rPr>
              <w:t>保定市自然资源和规划局满城区分局(</w:t>
            </w:r>
            <w:r>
              <w:rPr>
                <w:rFonts w:hint="eastAsia"/>
                <w:color w:val="auto"/>
                <w:lang w:val="en-US" w:eastAsia="zh-CN"/>
              </w:rPr>
              <w:t>国土局部门</w:t>
            </w:r>
            <w:r>
              <w:rPr>
                <w:color w:val="auto"/>
              </w:rPr>
              <w:t>)</w:t>
            </w:r>
          </w:p>
        </w:tc>
        <w:tc>
          <w:tcPr>
            <w:tcW w:w="5670" w:type="dxa"/>
            <w:gridSpan w:val="2"/>
            <w:tcBorders>
              <w:top w:val="single" w:color="FFFFFF" w:sz="6" w:space="0"/>
              <w:left w:val="single" w:color="FFFFFF" w:sz="6" w:space="0"/>
              <w:right w:val="single" w:color="FFFFFF" w:sz="6" w:space="0"/>
            </w:tcBorders>
            <w:noWrap w:val="0"/>
            <w:vAlign w:val="center"/>
          </w:tcPr>
          <w:p>
            <w:pPr>
              <w:pStyle w:val="12"/>
              <w:rPr>
                <w:color w:val="auto"/>
              </w:rPr>
            </w:pPr>
            <w:r>
              <w:rPr>
                <w:color w:val="auto"/>
              </w:rPr>
              <w:t>截止时间：202</w:t>
            </w:r>
            <w:r>
              <w:rPr>
                <w:rFonts w:hint="eastAsia"/>
                <w:color w:val="auto"/>
                <w:lang w:val="en-US" w:eastAsia="zh-CN"/>
              </w:rPr>
              <w:t>0</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5"/>
              <w:rPr>
                <w:color w:val="auto"/>
              </w:rPr>
            </w:pPr>
            <w:r>
              <w:rPr>
                <w:color w:val="auto"/>
              </w:rPr>
              <w:t>项   目</w:t>
            </w:r>
          </w:p>
        </w:tc>
        <w:tc>
          <w:tcPr>
            <w:tcW w:w="2835" w:type="dxa"/>
            <w:noWrap w:val="0"/>
            <w:vAlign w:val="center"/>
          </w:tcPr>
          <w:p>
            <w:pPr>
              <w:pStyle w:val="15"/>
              <w:rPr>
                <w:color w:val="auto"/>
              </w:rPr>
            </w:pPr>
            <w:r>
              <w:rPr>
                <w:color w:val="auto"/>
              </w:rPr>
              <w:t>数量</w:t>
            </w:r>
          </w:p>
        </w:tc>
        <w:tc>
          <w:tcPr>
            <w:tcW w:w="2835" w:type="dxa"/>
            <w:noWrap w:val="0"/>
            <w:vAlign w:val="center"/>
          </w:tcPr>
          <w:p>
            <w:pPr>
              <w:pStyle w:val="15"/>
              <w:rPr>
                <w:color w:val="auto"/>
              </w:rPr>
            </w:pPr>
            <w:r>
              <w:rPr>
                <w:color w:val="auto"/>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7"/>
              <w:rPr>
                <w:color w:val="auto"/>
              </w:rPr>
            </w:pPr>
          </w:p>
        </w:tc>
        <w:tc>
          <w:tcPr>
            <w:tcW w:w="2835" w:type="dxa"/>
            <w:noWrap w:val="0"/>
            <w:vAlign w:val="center"/>
          </w:tcPr>
          <w:p>
            <w:pPr>
              <w:pStyle w:val="18"/>
              <w:rPr>
                <w:color w:val="auto"/>
              </w:rPr>
            </w:pPr>
          </w:p>
        </w:tc>
        <w:tc>
          <w:tcPr>
            <w:tcW w:w="2835" w:type="dxa"/>
            <w:noWrap w:val="0"/>
            <w:vAlign w:val="center"/>
          </w:tcPr>
          <w:p>
            <w:pPr>
              <w:pStyle w:val="16"/>
              <w:rPr>
                <w:color w:val="auto"/>
              </w:rPr>
            </w:pPr>
          </w:p>
        </w:tc>
      </w:tr>
    </w:tbl>
    <w:p>
      <w:pPr>
        <w:ind w:firstLine="420"/>
        <w:rPr>
          <w:color w:val="auto"/>
        </w:rPr>
      </w:pPr>
      <w:r>
        <w:rPr>
          <w:rFonts w:ascii="方正书宋_GBK" w:hAnsi="方正书宋_GBK" w:eastAsia="方正书宋_GBK" w:cs="方正书宋_GBK"/>
          <w:color w:val="auto"/>
          <w:sz w:val="21"/>
        </w:rPr>
        <w:t>注：无固定资产占用情况，空表列示。</w:t>
      </w:r>
    </w:p>
    <w:p>
      <w:pPr>
        <w:ind w:firstLine="640"/>
        <w:rPr>
          <w:color w:val="auto"/>
        </w:rPr>
      </w:pPr>
      <w:r>
        <w:rPr>
          <w:rFonts w:eastAsia="方正仿宋_GBK"/>
          <w:color w:val="auto"/>
          <w:sz w:val="32"/>
        </w:rPr>
        <w:t xml:space="preserve"> </w:t>
      </w:r>
    </w:p>
    <w:p>
      <w:pPr>
        <w:spacing w:before="10" w:after="10"/>
        <w:ind w:firstLine="640"/>
        <w:outlineLvl w:val="5"/>
        <w:rPr>
          <w:color w:val="auto"/>
        </w:rPr>
      </w:pPr>
      <w:r>
        <w:rPr>
          <w:rFonts w:ascii="黑体" w:hAnsi="黑体" w:eastAsia="黑体" w:cs="黑体"/>
          <w:color w:val="auto"/>
          <w:sz w:val="32"/>
        </w:rPr>
        <w:t>八、名词解释</w:t>
      </w:r>
    </w:p>
    <w:p>
      <w:pPr>
        <w:spacing w:line="500" w:lineRule="exact"/>
        <w:ind w:firstLine="560"/>
        <w:rPr>
          <w:color w:val="auto"/>
        </w:rPr>
      </w:pPr>
      <w:r>
        <w:rPr>
          <w:rFonts w:eastAsia="方正仿宋_GBK"/>
          <w:color w:val="auto"/>
          <w:sz w:val="28"/>
        </w:rPr>
        <w:t>1、</w:t>
      </w:r>
      <w:r>
        <w:rPr>
          <w:rFonts w:eastAsia="方正仿宋_GBK"/>
          <w:b/>
          <w:color w:val="auto"/>
          <w:sz w:val="28"/>
        </w:rPr>
        <w:t>一般公共预算拨款收入：</w:t>
      </w:r>
      <w:r>
        <w:rPr>
          <w:rFonts w:eastAsia="方正仿宋_GBK"/>
          <w:color w:val="auto"/>
          <w:sz w:val="28"/>
        </w:rPr>
        <w:t>指</w:t>
      </w:r>
      <w:r>
        <w:rPr>
          <w:rFonts w:hint="eastAsia" w:eastAsia="方正仿宋_GBK"/>
          <w:color w:val="auto"/>
          <w:sz w:val="28"/>
          <w:lang w:eastAsia="zh-CN"/>
        </w:rPr>
        <w:t>区</w:t>
      </w:r>
      <w:r>
        <w:rPr>
          <w:rFonts w:eastAsia="方正仿宋_GBK"/>
          <w:color w:val="auto"/>
          <w:sz w:val="28"/>
        </w:rPr>
        <w:t>级财政当年拨付的资金。</w:t>
      </w:r>
    </w:p>
    <w:p>
      <w:pPr>
        <w:spacing w:line="500" w:lineRule="exact"/>
        <w:ind w:firstLine="560"/>
        <w:rPr>
          <w:color w:val="auto"/>
        </w:rPr>
      </w:pPr>
      <w:r>
        <w:rPr>
          <w:rFonts w:eastAsia="方正仿宋_GBK"/>
          <w:color w:val="auto"/>
          <w:sz w:val="28"/>
        </w:rPr>
        <w:t>2、</w:t>
      </w:r>
      <w:r>
        <w:rPr>
          <w:rFonts w:eastAsia="方正仿宋_GBK"/>
          <w:b/>
          <w:color w:val="auto"/>
          <w:sz w:val="28"/>
        </w:rPr>
        <w:t>事业收入：</w:t>
      </w:r>
      <w:r>
        <w:rPr>
          <w:rFonts w:eastAsia="方正仿宋_GBK"/>
          <w:color w:val="auto"/>
          <w:sz w:val="28"/>
        </w:rPr>
        <w:t>指事业单位开展专业业务活动及辅助活动所取得的收入。</w:t>
      </w:r>
    </w:p>
    <w:p>
      <w:pPr>
        <w:spacing w:line="500" w:lineRule="exact"/>
        <w:ind w:firstLine="560"/>
        <w:rPr>
          <w:color w:val="auto"/>
        </w:rPr>
      </w:pPr>
      <w:r>
        <w:rPr>
          <w:rFonts w:eastAsia="方正仿宋_GBK"/>
          <w:color w:val="auto"/>
          <w:sz w:val="28"/>
        </w:rPr>
        <w:t>3、</w:t>
      </w:r>
      <w:r>
        <w:rPr>
          <w:rFonts w:eastAsia="方正仿宋_GBK"/>
          <w:b/>
          <w:color w:val="auto"/>
          <w:sz w:val="28"/>
        </w:rPr>
        <w:t>其他收入：</w:t>
      </w:r>
      <w:r>
        <w:rPr>
          <w:rFonts w:eastAsia="方正仿宋_GBK"/>
          <w:color w:val="auto"/>
          <w:sz w:val="28"/>
        </w:rPr>
        <w:t>指除“一般公共预算拨款收入”、“事业收入”等以外的收入。主要是按规定动用的租房收入、存款利息收入等。</w:t>
      </w:r>
    </w:p>
    <w:p>
      <w:pPr>
        <w:spacing w:line="500" w:lineRule="exact"/>
        <w:ind w:firstLine="560"/>
        <w:rPr>
          <w:color w:val="auto"/>
        </w:rPr>
      </w:pPr>
      <w:r>
        <w:rPr>
          <w:rFonts w:eastAsia="方正仿宋_GBK"/>
          <w:color w:val="auto"/>
          <w:sz w:val="28"/>
        </w:rPr>
        <w:t>4、</w:t>
      </w:r>
      <w:r>
        <w:rPr>
          <w:rFonts w:eastAsia="方正仿宋_GBK"/>
          <w:b/>
          <w:color w:val="auto"/>
          <w:sz w:val="28"/>
        </w:rPr>
        <w:t>基本支出：</w:t>
      </w:r>
      <w:r>
        <w:rPr>
          <w:rFonts w:eastAsia="方正仿宋_GBK"/>
          <w:color w:val="auto"/>
          <w:sz w:val="28"/>
        </w:rPr>
        <w:t>指为保障机构正常运转、完成日常工作任务而发生的人员支出和公用支出。</w:t>
      </w:r>
    </w:p>
    <w:p>
      <w:pPr>
        <w:spacing w:line="500" w:lineRule="exact"/>
        <w:ind w:firstLine="560"/>
        <w:rPr>
          <w:color w:val="auto"/>
        </w:rPr>
      </w:pPr>
      <w:r>
        <w:rPr>
          <w:rFonts w:eastAsia="方正仿宋_GBK"/>
          <w:color w:val="auto"/>
          <w:sz w:val="28"/>
        </w:rPr>
        <w:t>5、</w:t>
      </w:r>
      <w:r>
        <w:rPr>
          <w:rFonts w:eastAsia="方正仿宋_GBK"/>
          <w:b/>
          <w:color w:val="auto"/>
          <w:sz w:val="28"/>
        </w:rPr>
        <w:t>项目支出：</w:t>
      </w:r>
      <w:r>
        <w:rPr>
          <w:rFonts w:eastAsia="方正仿宋_GBK"/>
          <w:color w:val="auto"/>
          <w:sz w:val="28"/>
        </w:rPr>
        <w:t>指在基本支出之外为完成特定行政任务和事业发展目标所发生的支出。</w:t>
      </w:r>
    </w:p>
    <w:p>
      <w:pPr>
        <w:spacing w:line="500" w:lineRule="exact"/>
        <w:ind w:firstLine="560"/>
        <w:rPr>
          <w:color w:val="auto"/>
        </w:rPr>
      </w:pPr>
      <w:r>
        <w:rPr>
          <w:rFonts w:eastAsia="方正仿宋_GBK"/>
          <w:color w:val="auto"/>
          <w:sz w:val="28"/>
        </w:rPr>
        <w:t>6、</w:t>
      </w:r>
      <w:r>
        <w:rPr>
          <w:rFonts w:eastAsia="方正仿宋_GBK"/>
          <w:b/>
          <w:color w:val="auto"/>
          <w:sz w:val="28"/>
        </w:rPr>
        <w:t>上缴上级支出：</w:t>
      </w:r>
      <w:r>
        <w:rPr>
          <w:rFonts w:eastAsia="方正仿宋_GBK"/>
          <w:color w:val="auto"/>
          <w:sz w:val="28"/>
        </w:rPr>
        <w:t>指下级单位上缴上级的支出。</w:t>
      </w:r>
    </w:p>
    <w:p>
      <w:pPr>
        <w:spacing w:line="500" w:lineRule="exact"/>
        <w:ind w:firstLine="560"/>
        <w:rPr>
          <w:color w:val="auto"/>
        </w:rPr>
      </w:pPr>
      <w:r>
        <w:rPr>
          <w:rFonts w:eastAsia="方正仿宋_GBK"/>
          <w:color w:val="auto"/>
          <w:sz w:val="28"/>
        </w:rPr>
        <w:t>7、</w:t>
      </w:r>
      <w:r>
        <w:rPr>
          <w:rFonts w:eastAsia="方正仿宋_GBK"/>
          <w:b/>
          <w:color w:val="auto"/>
          <w:sz w:val="28"/>
        </w:rPr>
        <w:t>“三公”经费：</w:t>
      </w:r>
      <w:r>
        <w:rPr>
          <w:rFonts w:eastAsia="方正仿宋_GBK"/>
          <w:color w:val="auto"/>
          <w:sz w:val="28"/>
        </w:rPr>
        <w:t>纳入</w:t>
      </w:r>
      <w:r>
        <w:rPr>
          <w:rFonts w:hint="eastAsia" w:eastAsia="方正仿宋_GBK"/>
          <w:color w:val="auto"/>
          <w:sz w:val="28"/>
          <w:lang w:eastAsia="zh-CN"/>
        </w:rPr>
        <w:t>区</w:t>
      </w:r>
      <w:r>
        <w:rPr>
          <w:rFonts w:eastAsia="方正仿宋_GBK"/>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color w:val="auto"/>
        </w:rPr>
      </w:pPr>
      <w:r>
        <w:rPr>
          <w:rFonts w:eastAsia="方正仿宋_GBK"/>
          <w:color w:val="auto"/>
          <w:sz w:val="28"/>
        </w:rPr>
        <w:t>8、</w:t>
      </w:r>
      <w:r>
        <w:rPr>
          <w:rFonts w:eastAsia="方正仿宋_GBK"/>
          <w:b/>
          <w:color w:val="auto"/>
          <w:sz w:val="28"/>
        </w:rPr>
        <w:t>机关运行费：</w:t>
      </w:r>
      <w:r>
        <w:rPr>
          <w:rFonts w:eastAsia="方正仿宋_GBK"/>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color w:val="auto"/>
        </w:rPr>
      </w:pPr>
      <w:r>
        <w:rPr>
          <w:rFonts w:eastAsia="方正仿宋_GBK"/>
          <w:color w:val="auto"/>
          <w:sz w:val="28"/>
        </w:rPr>
        <w:t>9、</w:t>
      </w:r>
      <w:r>
        <w:rPr>
          <w:rFonts w:eastAsia="方正仿宋_GBK"/>
          <w:b/>
          <w:color w:val="auto"/>
          <w:sz w:val="28"/>
        </w:rPr>
        <w:t>上年结转：</w:t>
      </w:r>
      <w:r>
        <w:rPr>
          <w:rFonts w:eastAsia="方正仿宋_GBK"/>
          <w:color w:val="auto"/>
          <w:sz w:val="28"/>
        </w:rPr>
        <w:t>指以前年度尚未完成、结转到本年仍按原规定用途继续使用的资金。</w:t>
      </w:r>
    </w:p>
    <w:p>
      <w:pPr>
        <w:spacing w:line="500" w:lineRule="exact"/>
        <w:ind w:firstLine="560"/>
        <w:rPr>
          <w:color w:val="auto"/>
        </w:rPr>
      </w:pPr>
      <w:r>
        <w:rPr>
          <w:rFonts w:eastAsia="方正仿宋_GBK"/>
          <w:color w:val="auto"/>
          <w:sz w:val="28"/>
        </w:rPr>
        <w:t>10、</w:t>
      </w:r>
      <w:r>
        <w:rPr>
          <w:rFonts w:eastAsia="方正仿宋_GBK"/>
          <w:b/>
          <w:color w:val="auto"/>
          <w:sz w:val="28"/>
        </w:rPr>
        <w:t>事业单位经营支出：</w:t>
      </w:r>
      <w:r>
        <w:rPr>
          <w:rFonts w:eastAsia="方正仿宋_GBK"/>
          <w:color w:val="auto"/>
          <w:sz w:val="28"/>
        </w:rPr>
        <w:t>指事业单位在专业业务活动及其辅助活动之外开展非独立核算经营活动发生的支出。</w:t>
      </w:r>
    </w:p>
    <w:p>
      <w:pPr>
        <w:spacing w:before="10" w:after="10"/>
        <w:ind w:firstLine="640"/>
        <w:outlineLvl w:val="5"/>
        <w:rPr>
          <w:color w:val="auto"/>
        </w:rPr>
      </w:pPr>
      <w:r>
        <w:rPr>
          <w:rFonts w:ascii="黑体" w:hAnsi="黑体" w:eastAsia="黑体" w:cs="黑体"/>
          <w:color w:val="auto"/>
          <w:sz w:val="32"/>
        </w:rPr>
        <w:t>九、其他需要说明的事项</w:t>
      </w:r>
    </w:p>
    <w:p>
      <w:pPr>
        <w:spacing w:line="500" w:lineRule="exact"/>
        <w:ind w:firstLine="560"/>
        <w:rPr>
          <w:rFonts w:eastAsia="方正仿宋_GBK"/>
          <w:color w:val="auto"/>
          <w:sz w:val="28"/>
        </w:rPr>
      </w:pPr>
      <w:r>
        <w:rPr>
          <w:rFonts w:eastAsia="方正仿宋_GBK"/>
          <w:color w:val="auto"/>
          <w:sz w:val="28"/>
        </w:rPr>
        <w:t>我单位无其他需要说明的事项。</w:t>
      </w:r>
    </w:p>
    <w:p>
      <w:pPr>
        <w:spacing w:line="500" w:lineRule="exact"/>
        <w:ind w:firstLine="560"/>
        <w:rPr>
          <w:color w:val="auto"/>
        </w:rPr>
      </w:pPr>
    </w:p>
    <w:sectPr>
      <w:pgSz w:w="16838" w:h="11905" w:orient="landscape"/>
      <w:pgMar w:top="1304" w:right="1984" w:bottom="1304" w:left="1134" w:header="850" w:footer="992" w:gutter="0"/>
      <w:cols w:space="72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0424B8"/>
    <w:multiLevelType w:val="singleLevel"/>
    <w:tmpl w:val="720424B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0"/>
  <w:bordersDoNotSurroundFooter w:val="0"/>
  <w:documentProtection w:enforcement="0"/>
  <w:defaultTabStop w:val="720"/>
  <w:hyphenationZone w:val="360"/>
  <w:drawingGridHorizontalSpacing w:val="240"/>
  <w:drawingGridVerticalSpacing w:val="166"/>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ODY1MGQ4NTA5YTQ0NTU2YWEyYTZlNmIzNzY0MmIifQ=="/>
  </w:docVars>
  <w:rsids>
    <w:rsidRoot w:val="00724FB7"/>
    <w:rsid w:val="0011400B"/>
    <w:rsid w:val="002D40FF"/>
    <w:rsid w:val="003D14B3"/>
    <w:rsid w:val="004E7118"/>
    <w:rsid w:val="0063203B"/>
    <w:rsid w:val="006A2EE7"/>
    <w:rsid w:val="006B45E0"/>
    <w:rsid w:val="00724FB7"/>
    <w:rsid w:val="00760772"/>
    <w:rsid w:val="007A6737"/>
    <w:rsid w:val="00805E5A"/>
    <w:rsid w:val="00BC33CE"/>
    <w:rsid w:val="00C12962"/>
    <w:rsid w:val="00C164AC"/>
    <w:rsid w:val="00C252DF"/>
    <w:rsid w:val="00CF044D"/>
    <w:rsid w:val="00D72DE5"/>
    <w:rsid w:val="00D90332"/>
    <w:rsid w:val="00E6572A"/>
    <w:rsid w:val="00E90C5E"/>
    <w:rsid w:val="00ED7020"/>
    <w:rsid w:val="00F20336"/>
    <w:rsid w:val="00F61E7A"/>
    <w:rsid w:val="00FE64E9"/>
    <w:rsid w:val="015441C7"/>
    <w:rsid w:val="02592B57"/>
    <w:rsid w:val="03B0016F"/>
    <w:rsid w:val="0491131A"/>
    <w:rsid w:val="04B1627A"/>
    <w:rsid w:val="05453226"/>
    <w:rsid w:val="06591690"/>
    <w:rsid w:val="0833541B"/>
    <w:rsid w:val="0B032408"/>
    <w:rsid w:val="0B976D78"/>
    <w:rsid w:val="0C624E8B"/>
    <w:rsid w:val="0CE41EDA"/>
    <w:rsid w:val="0CEA3295"/>
    <w:rsid w:val="0D285783"/>
    <w:rsid w:val="0DAD10F2"/>
    <w:rsid w:val="0DBA6F63"/>
    <w:rsid w:val="0F1733B2"/>
    <w:rsid w:val="0F2C755E"/>
    <w:rsid w:val="0F5D0BB5"/>
    <w:rsid w:val="0FD060F2"/>
    <w:rsid w:val="0FE554D1"/>
    <w:rsid w:val="10572D54"/>
    <w:rsid w:val="10E72640"/>
    <w:rsid w:val="11271F3D"/>
    <w:rsid w:val="149E043B"/>
    <w:rsid w:val="160E11A3"/>
    <w:rsid w:val="16314A75"/>
    <w:rsid w:val="171631FC"/>
    <w:rsid w:val="17734D72"/>
    <w:rsid w:val="178B57C5"/>
    <w:rsid w:val="17A1328B"/>
    <w:rsid w:val="17D0609C"/>
    <w:rsid w:val="17E423C3"/>
    <w:rsid w:val="18B848ED"/>
    <w:rsid w:val="19274075"/>
    <w:rsid w:val="1A055BA3"/>
    <w:rsid w:val="1A4C0B07"/>
    <w:rsid w:val="1B310DD1"/>
    <w:rsid w:val="1B3E1D99"/>
    <w:rsid w:val="1BAF15B3"/>
    <w:rsid w:val="1BB87B8D"/>
    <w:rsid w:val="1BD832F5"/>
    <w:rsid w:val="1CCE0E5C"/>
    <w:rsid w:val="1D0936F0"/>
    <w:rsid w:val="1D9D76E4"/>
    <w:rsid w:val="1DB66536"/>
    <w:rsid w:val="1E2D0D35"/>
    <w:rsid w:val="1E2D47D0"/>
    <w:rsid w:val="1EC94B5A"/>
    <w:rsid w:val="1FFD0073"/>
    <w:rsid w:val="2032785D"/>
    <w:rsid w:val="205417CA"/>
    <w:rsid w:val="207E49C7"/>
    <w:rsid w:val="20A67469"/>
    <w:rsid w:val="214425CB"/>
    <w:rsid w:val="22CB4696"/>
    <w:rsid w:val="22D65639"/>
    <w:rsid w:val="23456345"/>
    <w:rsid w:val="23AD4EDC"/>
    <w:rsid w:val="24964F4F"/>
    <w:rsid w:val="25726BB2"/>
    <w:rsid w:val="25B70113"/>
    <w:rsid w:val="265A5520"/>
    <w:rsid w:val="272307E3"/>
    <w:rsid w:val="276A6003"/>
    <w:rsid w:val="27AE27D4"/>
    <w:rsid w:val="27B36ADA"/>
    <w:rsid w:val="285D38DC"/>
    <w:rsid w:val="28905240"/>
    <w:rsid w:val="28C63151"/>
    <w:rsid w:val="293A5671"/>
    <w:rsid w:val="29A71A68"/>
    <w:rsid w:val="29E82E47"/>
    <w:rsid w:val="2A396299"/>
    <w:rsid w:val="2A771A1A"/>
    <w:rsid w:val="2AE56C6C"/>
    <w:rsid w:val="2AFB15A7"/>
    <w:rsid w:val="2B1911B4"/>
    <w:rsid w:val="2C0E3884"/>
    <w:rsid w:val="2C192EAF"/>
    <w:rsid w:val="2C343EC2"/>
    <w:rsid w:val="2C6205C7"/>
    <w:rsid w:val="2C9E018F"/>
    <w:rsid w:val="2DEC1666"/>
    <w:rsid w:val="2E7A1145"/>
    <w:rsid w:val="2F1074D1"/>
    <w:rsid w:val="2F1531B7"/>
    <w:rsid w:val="2F261C23"/>
    <w:rsid w:val="2FD53E99"/>
    <w:rsid w:val="303E550E"/>
    <w:rsid w:val="30B15780"/>
    <w:rsid w:val="31CA6F5A"/>
    <w:rsid w:val="320932B3"/>
    <w:rsid w:val="320F766D"/>
    <w:rsid w:val="346D4651"/>
    <w:rsid w:val="350403A8"/>
    <w:rsid w:val="37F9149C"/>
    <w:rsid w:val="38386583"/>
    <w:rsid w:val="38924D89"/>
    <w:rsid w:val="38A2137D"/>
    <w:rsid w:val="38A717F0"/>
    <w:rsid w:val="39221173"/>
    <w:rsid w:val="39B86E73"/>
    <w:rsid w:val="39F25BE9"/>
    <w:rsid w:val="3A1F0CB7"/>
    <w:rsid w:val="3B396E4F"/>
    <w:rsid w:val="3B3F31BB"/>
    <w:rsid w:val="3B551E68"/>
    <w:rsid w:val="3C294136"/>
    <w:rsid w:val="3C5E30D2"/>
    <w:rsid w:val="3CC24888"/>
    <w:rsid w:val="3CC865CF"/>
    <w:rsid w:val="3D1C4B5B"/>
    <w:rsid w:val="3E1B1886"/>
    <w:rsid w:val="3E516B3E"/>
    <w:rsid w:val="3ED262A9"/>
    <w:rsid w:val="3EF936B1"/>
    <w:rsid w:val="3FAD2693"/>
    <w:rsid w:val="3FB757E7"/>
    <w:rsid w:val="400F43EF"/>
    <w:rsid w:val="411630E0"/>
    <w:rsid w:val="4144397E"/>
    <w:rsid w:val="41882B71"/>
    <w:rsid w:val="424E4958"/>
    <w:rsid w:val="42BA3D63"/>
    <w:rsid w:val="432D07EA"/>
    <w:rsid w:val="4357783B"/>
    <w:rsid w:val="437924F7"/>
    <w:rsid w:val="439774A3"/>
    <w:rsid w:val="441512C0"/>
    <w:rsid w:val="44266F20"/>
    <w:rsid w:val="44BD6F22"/>
    <w:rsid w:val="452B0215"/>
    <w:rsid w:val="47D679E7"/>
    <w:rsid w:val="48011109"/>
    <w:rsid w:val="4858378F"/>
    <w:rsid w:val="4936092C"/>
    <w:rsid w:val="49E3454D"/>
    <w:rsid w:val="4AF93A8B"/>
    <w:rsid w:val="4B541D48"/>
    <w:rsid w:val="4B9D0275"/>
    <w:rsid w:val="4C0D78F6"/>
    <w:rsid w:val="4E8C22A5"/>
    <w:rsid w:val="4FDD647E"/>
    <w:rsid w:val="4FE70CD9"/>
    <w:rsid w:val="51182316"/>
    <w:rsid w:val="527E2E83"/>
    <w:rsid w:val="530F745E"/>
    <w:rsid w:val="545B05B3"/>
    <w:rsid w:val="565A4369"/>
    <w:rsid w:val="572A66FE"/>
    <w:rsid w:val="572E1FB7"/>
    <w:rsid w:val="57360AB3"/>
    <w:rsid w:val="5A964195"/>
    <w:rsid w:val="5C962EA3"/>
    <w:rsid w:val="5D1C6E1D"/>
    <w:rsid w:val="5D2132C3"/>
    <w:rsid w:val="5DD053F5"/>
    <w:rsid w:val="5ED2027A"/>
    <w:rsid w:val="5F0674B5"/>
    <w:rsid w:val="5F4640AB"/>
    <w:rsid w:val="5FCF3C18"/>
    <w:rsid w:val="60C029FD"/>
    <w:rsid w:val="626750B3"/>
    <w:rsid w:val="62A04564"/>
    <w:rsid w:val="62A639E2"/>
    <w:rsid w:val="65C44DE6"/>
    <w:rsid w:val="65D1024E"/>
    <w:rsid w:val="65DA4F39"/>
    <w:rsid w:val="662F7A8B"/>
    <w:rsid w:val="677A1DC6"/>
    <w:rsid w:val="68550EE4"/>
    <w:rsid w:val="694432C5"/>
    <w:rsid w:val="69B90FE3"/>
    <w:rsid w:val="6AEA7599"/>
    <w:rsid w:val="6B717C92"/>
    <w:rsid w:val="6B9C67F8"/>
    <w:rsid w:val="6C4A3E35"/>
    <w:rsid w:val="6C5C0722"/>
    <w:rsid w:val="6D123A8A"/>
    <w:rsid w:val="6D1C5D3C"/>
    <w:rsid w:val="6D496283"/>
    <w:rsid w:val="6D62696B"/>
    <w:rsid w:val="6E5B3F4B"/>
    <w:rsid w:val="6EC27346"/>
    <w:rsid w:val="6FD5074B"/>
    <w:rsid w:val="70042CFF"/>
    <w:rsid w:val="701D5DEF"/>
    <w:rsid w:val="712E28F3"/>
    <w:rsid w:val="71C77C76"/>
    <w:rsid w:val="71D13D46"/>
    <w:rsid w:val="72B94EA9"/>
    <w:rsid w:val="73884F76"/>
    <w:rsid w:val="75BA6A24"/>
    <w:rsid w:val="763B21BE"/>
    <w:rsid w:val="768B68B2"/>
    <w:rsid w:val="76AC1545"/>
    <w:rsid w:val="786A47AE"/>
    <w:rsid w:val="78E74530"/>
    <w:rsid w:val="79BD6BD0"/>
    <w:rsid w:val="7AF87469"/>
    <w:rsid w:val="7B660096"/>
    <w:rsid w:val="7C561BCA"/>
    <w:rsid w:val="7C783C7F"/>
    <w:rsid w:val="7C9F46E7"/>
    <w:rsid w:val="7D0F4B9D"/>
    <w:rsid w:val="7E3E2060"/>
    <w:rsid w:val="7F6C4A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link w:val="9"/>
    <w:qFormat/>
    <w:uiPriority w:val="1"/>
    <w:pPr>
      <w:widowControl w:val="0"/>
      <w:autoSpaceDE w:val="0"/>
      <w:autoSpaceDN w:val="0"/>
    </w:pPr>
    <w:rPr>
      <w:rFonts w:ascii="宋体" w:hAnsi="宋体" w:eastAsia="宋体" w:cs="宋体"/>
      <w:sz w:val="32"/>
      <w:szCs w:val="32"/>
      <w:lang w:eastAsia="zh-CN"/>
    </w:rPr>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正文文本 Char"/>
    <w:basedOn w:val="7"/>
    <w:link w:val="2"/>
    <w:qFormat/>
    <w:uiPriority w:val="1"/>
    <w:rPr>
      <w:rFonts w:ascii="宋体" w:hAnsi="宋体" w:eastAsia="宋体" w:cs="宋体"/>
      <w:sz w:val="32"/>
      <w:szCs w:val="32"/>
    </w:rPr>
  </w:style>
  <w:style w:type="character" w:customStyle="1" w:styleId="10">
    <w:name w:val="页脚 Char"/>
    <w:basedOn w:val="7"/>
    <w:link w:val="3"/>
    <w:semiHidden/>
    <w:qFormat/>
    <w:uiPriority w:val="99"/>
    <w:rPr>
      <w:rFonts w:eastAsia="Times New Roman"/>
      <w:sz w:val="18"/>
      <w:szCs w:val="18"/>
      <w:lang w:eastAsia="uk-UA"/>
    </w:rPr>
  </w:style>
  <w:style w:type="character" w:customStyle="1" w:styleId="11">
    <w:name w:val="页眉 Char"/>
    <w:basedOn w:val="7"/>
    <w:link w:val="4"/>
    <w:semiHidden/>
    <w:qFormat/>
    <w:uiPriority w:val="99"/>
    <w:rPr>
      <w:rFonts w:eastAsia="Times New Roman"/>
      <w:sz w:val="18"/>
      <w:szCs w:val="18"/>
      <w:lang w:eastAsia="uk-UA"/>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4">
    <w:name w:val="TOC 2"/>
    <w:basedOn w:val="1"/>
    <w:qFormat/>
    <w:uiPriority w:val="0"/>
    <w:pPr>
      <w:ind w:left="240"/>
    </w:pPr>
  </w:style>
  <w:style w:type="paragraph" w:customStyle="1" w:styleId="35">
    <w:name w:val="TOC 3"/>
    <w:basedOn w:val="1"/>
    <w:qFormat/>
    <w:uiPriority w:val="0"/>
    <w:pPr>
      <w:ind w:left="480"/>
    </w:pPr>
  </w:style>
  <w:style w:type="paragraph" w:customStyle="1" w:styleId="36">
    <w:name w:val="TOC 4"/>
    <w:basedOn w:val="1"/>
    <w:qFormat/>
    <w:uiPriority w:val="0"/>
    <w:pPr>
      <w:ind w:left="720"/>
    </w:pPr>
  </w:style>
  <w:style w:type="paragraph" w:customStyle="1" w:styleId="37">
    <w:name w:val="TOC 1"/>
    <w:basedOn w:val="1"/>
    <w:qFormat/>
    <w:uiPriority w:val="0"/>
    <w:pPr>
      <w:spacing w:before="120"/>
      <w:ind w:firstLine="560"/>
    </w:pPr>
    <w:rPr>
      <w:rFonts w:eastAsia="方正仿宋_GBK"/>
      <w:color w:val="000000"/>
      <w:sz w:val="28"/>
    </w:rPr>
  </w:style>
  <w:style w:type="paragraph" w:customStyle="1" w:styleId="3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182</Pages>
  <Words>49634</Words>
  <Characters>60725</Characters>
  <Lines>501</Lines>
  <Paragraphs>141</Paragraphs>
  <TotalTime>11</TotalTime>
  <ScaleCrop>false</ScaleCrop>
  <LinksUpToDate>false</LinksUpToDate>
  <CharactersWithSpaces>62080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2022-03-31T07:24:00Z</dcterms:created>
  <dc:creator>Administrator</dc:creator>
  <cp:lastModifiedBy>Administrator</cp:lastModifiedBy>
  <cp:lastPrinted>2022-09-16T11:52:00Z</cp:lastPrinted>
  <dcterms:modified xsi:type="dcterms:W3CDTF">2023-11-08T02:34:22Z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ADC4BD9BEDE843E898F6D0FD5D4387E0</vt:lpwstr>
  </property>
</Properties>
</file>