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Cs w:val="21"/>
        </w:rPr>
      </w:pPr>
      <w:r>
        <w:rPr>
          <w:rFonts w:hint="eastAsia" w:ascii="宋体" w:hAnsi="宋体" w:cs="宋体"/>
          <w:b/>
          <w:szCs w:val="21"/>
        </w:rPr>
        <w:t>中共保定市满城区委统战部</w:t>
      </w:r>
    </w:p>
    <w:p>
      <w:pPr>
        <w:jc w:val="center"/>
        <w:rPr>
          <w:rFonts w:hint="eastAsia" w:ascii="宋体" w:hAnsi="宋体" w:cs="宋体"/>
          <w:b/>
          <w:szCs w:val="21"/>
        </w:rPr>
      </w:pPr>
      <w:r>
        <w:rPr>
          <w:rFonts w:hint="eastAsia" w:ascii="宋体" w:hAnsi="宋体" w:cs="宋体"/>
          <w:b/>
          <w:szCs w:val="21"/>
        </w:rPr>
        <w:t>2020年部门预算信息公开</w:t>
      </w:r>
    </w:p>
    <w:p>
      <w:pPr>
        <w:spacing w:line="520" w:lineRule="exact"/>
        <w:ind w:firstLine="420" w:firstLineChars="200"/>
        <w:jc w:val="left"/>
        <w:rPr>
          <w:rFonts w:hint="eastAsia" w:ascii="宋体" w:hAnsi="宋体" w:cs="宋体"/>
          <w:szCs w:val="21"/>
        </w:rPr>
      </w:pPr>
    </w:p>
    <w:p>
      <w:pPr>
        <w:jc w:val="left"/>
        <w:rPr>
          <w:rFonts w:hint="eastAsia" w:ascii="宋体" w:hAnsi="宋体" w:cs="宋体"/>
          <w:szCs w:val="21"/>
        </w:rPr>
      </w:pPr>
      <w:r>
        <w:rPr>
          <w:rFonts w:hint="eastAsia" w:ascii="宋体" w:hAnsi="宋体" w:cs="宋体"/>
          <w:szCs w:val="21"/>
        </w:rPr>
        <w:t xml:space="preserve">    按照《</w:t>
      </w:r>
      <w:r>
        <w:rPr>
          <w:rFonts w:hint="eastAsia" w:ascii="宋体" w:hAnsi="宋体" w:cs="宋体"/>
          <w:szCs w:val="21"/>
          <w:lang w:eastAsia="zh-CN"/>
        </w:rPr>
        <w:t>中华人民共和国</w:t>
      </w:r>
      <w:bookmarkStart w:id="1" w:name="_GoBack"/>
      <w:bookmarkEnd w:id="1"/>
      <w:r>
        <w:rPr>
          <w:rFonts w:hint="eastAsia" w:ascii="宋体" w:hAnsi="宋体" w:cs="宋体"/>
          <w:szCs w:val="21"/>
        </w:rPr>
        <w:t>预算法》、《地方预决算公开操作规程》和《河北省省级预算公开办法》规定，现将中共保定市满城区委统战部2020年部门预算公开如下：</w:t>
      </w:r>
    </w:p>
    <w:p>
      <w:pPr>
        <w:spacing w:line="520" w:lineRule="exact"/>
        <w:ind w:firstLine="420" w:firstLineChars="200"/>
        <w:jc w:val="center"/>
        <w:rPr>
          <w:rFonts w:hint="eastAsia" w:ascii="宋体" w:hAnsi="宋体" w:cs="宋体"/>
          <w:szCs w:val="21"/>
        </w:rPr>
      </w:pPr>
      <w:r>
        <w:rPr>
          <w:rFonts w:hint="eastAsia" w:ascii="宋体" w:hAnsi="宋体" w:cs="宋体"/>
          <w:szCs w:val="21"/>
        </w:rPr>
        <w:t>第一部分:部门职责及机构设置情况</w:t>
      </w:r>
    </w:p>
    <w:p>
      <w:pPr>
        <w:spacing w:line="520" w:lineRule="exact"/>
        <w:ind w:firstLine="420" w:firstLineChars="200"/>
        <w:jc w:val="center"/>
        <w:rPr>
          <w:rFonts w:hint="eastAsia" w:ascii="宋体" w:hAnsi="宋体" w:cs="宋体"/>
          <w:szCs w:val="21"/>
        </w:rPr>
      </w:pPr>
    </w:p>
    <w:p>
      <w:pPr>
        <w:numPr>
          <w:ilvl w:val="0"/>
          <w:numId w:val="1"/>
        </w:numPr>
        <w:spacing w:line="520" w:lineRule="exact"/>
        <w:ind w:firstLine="420" w:firstLineChars="200"/>
        <w:rPr>
          <w:rFonts w:hint="eastAsia" w:ascii="宋体" w:hAnsi="宋体" w:cs="宋体"/>
          <w:szCs w:val="21"/>
        </w:rPr>
      </w:pPr>
      <w:r>
        <w:rPr>
          <w:rFonts w:hint="eastAsia" w:ascii="宋体" w:hAnsi="宋体" w:cs="宋体"/>
          <w:szCs w:val="21"/>
        </w:rPr>
        <w:t>部门职责</w:t>
      </w:r>
    </w:p>
    <w:p>
      <w:pPr>
        <w:ind w:firstLine="420" w:firstLineChars="200"/>
        <w:jc w:val="left"/>
        <w:rPr>
          <w:rFonts w:hint="eastAsia" w:ascii="宋体" w:hAnsi="宋体" w:cs="宋体"/>
          <w:szCs w:val="21"/>
        </w:rPr>
      </w:pPr>
      <w:r>
        <w:rPr>
          <w:rFonts w:hint="eastAsia" w:ascii="宋体" w:hAnsi="宋体" w:cs="宋体"/>
          <w:szCs w:val="21"/>
        </w:rPr>
        <w:t>中共保定市满城区委统战部是行政单位，有行政编制7名。根据满办字（2002）78号关于&lt;&lt;中共满城县委统一战线工作部职能配置和人员编制规定&gt;&gt;的通知要求，满城区统战部主要职责是：</w:t>
      </w:r>
    </w:p>
    <w:p>
      <w:pPr>
        <w:jc w:val="left"/>
        <w:rPr>
          <w:rFonts w:hint="eastAsia" w:ascii="宋体" w:hAnsi="宋体" w:cs="宋体"/>
          <w:szCs w:val="21"/>
        </w:rPr>
      </w:pPr>
      <w:r>
        <w:rPr>
          <w:rFonts w:hint="eastAsia" w:ascii="宋体" w:hAnsi="宋体" w:cs="宋体"/>
          <w:b/>
          <w:bCs/>
          <w:szCs w:val="21"/>
        </w:rPr>
        <w:t xml:space="preserve">   </w:t>
      </w:r>
      <w:r>
        <w:rPr>
          <w:rFonts w:hint="eastAsia" w:ascii="宋体" w:hAnsi="宋体" w:cs="宋体"/>
          <w:szCs w:val="21"/>
        </w:rPr>
        <w:t>（一）调查研究统一战线的理论和重大的方针政策，组织贯彻执行中央关于统一战线的方针、政策；向上级统战部门和各级党委反映情况，提出开展统战工作的意见和建议。检查统战政策执行情况，协调统一战线各方面的关系。（二）负责联系各民主党派和无党派人士，及时通报情况，反映他们的意见和建议；研究、贯彻党领导的多党合作和政治协商制度及对民主党派的方针、政策；落实中央关于民主党派、无党派人士参政议政和民主监督作用的工作；支持、帮助各民主党派加强自身建设，选拔、培养新一代代表人物。（三）负责调查研究、协调检查有关民族宗教工作的重大方针、政策问题；联系少数民族和宗教界的代表人物；协助有关部门做好少数民族干部的培养和举荐工作。（四）负责开展以祖国统一为重点的海外统战工作；联系港、澳、台和华侨华人中的有关社团及代表人士；做好台胞、台属的有关工作。（五）负责党外人士的政治安排，会同有关部门做好培养、选拔、推荐党外人士担任政府和司法机关领导职务的工作，做好党外后备干部和党外代表人物的队伍建设工作。（六）负责联系工商联、港、澳、台及海外工商社团和代表人士。调查、研究并反映非公有制经济代表人物的情况，协调关系，提出政策建议，选拔、培养积极分子队伍。（七）调查研究党外知识分子的情况，反映意见，协调关系，提出政策建议；联系并培养党外知识分子的代表人物。（八）负责开展海内外统一战线的宣传工作。（九）协调政府各有关部门的统战工作。（十）负责贯彻落实党中央、国务院对台工作的方针、政策。（十一）负责对台宣传。坚持“和平统一、一国两制”的基本方针，结合两岸形势有针对性的开展对台工作的调查研究，及时向上级领导提出报告和建议。（十二）会同区有关部门，指导全区对台经贸工作。（十三）会同公安等部门做好两岸人员往来、交流工作。协调、指导全区涉及两岸金融、文化、教育、学术、科技、体育等方面的交流与合作事宜。（十四）负责对台湾上层人士的联络，做好来本区台胞的接待服务工作；协调处理全区涉台重大事件。（十五）完成上级统战部门和各级党委交办的其他任务。</w:t>
      </w:r>
    </w:p>
    <w:p>
      <w:pPr>
        <w:pStyle w:val="16"/>
        <w:spacing w:line="520" w:lineRule="exact"/>
        <w:ind w:firstLine="482" w:firstLineChars="230"/>
        <w:rPr>
          <w:rFonts w:hint="eastAsia" w:ascii="宋体" w:hAnsi="宋体" w:eastAsia="宋体" w:cs="宋体"/>
          <w:sz w:val="21"/>
          <w:szCs w:val="21"/>
        </w:rPr>
      </w:pPr>
    </w:p>
    <w:p>
      <w:pPr>
        <w:pStyle w:val="16"/>
        <w:spacing w:line="520" w:lineRule="exact"/>
        <w:ind w:firstLine="482" w:firstLineChars="230"/>
        <w:rPr>
          <w:rFonts w:hint="eastAsia" w:ascii="宋体" w:hAnsi="宋体" w:eastAsia="宋体" w:cs="宋体"/>
          <w:sz w:val="21"/>
          <w:szCs w:val="21"/>
        </w:rPr>
      </w:pPr>
    </w:p>
    <w:p>
      <w:pPr>
        <w:pStyle w:val="16"/>
        <w:spacing w:line="520" w:lineRule="exact"/>
        <w:ind w:firstLine="482" w:firstLineChars="230"/>
        <w:rPr>
          <w:rFonts w:hint="eastAsia" w:ascii="宋体" w:hAnsi="宋体" w:eastAsia="宋体" w:cs="宋体"/>
          <w:sz w:val="21"/>
          <w:szCs w:val="21"/>
        </w:rPr>
      </w:pPr>
    </w:p>
    <w:p>
      <w:pPr>
        <w:pStyle w:val="16"/>
        <w:spacing w:line="520" w:lineRule="exact"/>
        <w:ind w:firstLine="482" w:firstLineChars="230"/>
        <w:rPr>
          <w:rFonts w:hint="eastAsia" w:ascii="宋体" w:hAnsi="宋体" w:eastAsia="宋体" w:cs="宋体"/>
          <w:sz w:val="21"/>
          <w:szCs w:val="21"/>
        </w:rPr>
      </w:pPr>
      <w:r>
        <w:rPr>
          <w:rFonts w:hint="eastAsia" w:ascii="宋体" w:hAnsi="宋体" w:eastAsia="宋体" w:cs="宋体"/>
          <w:sz w:val="21"/>
          <w:szCs w:val="21"/>
        </w:rPr>
        <w:t>二、机构设置</w:t>
      </w:r>
    </w:p>
    <w:tbl>
      <w:tblPr>
        <w:tblStyle w:val="8"/>
        <w:tblW w:w="0" w:type="auto"/>
        <w:tblInd w:w="250" w:type="dxa"/>
        <w:tblLayout w:type="fixed"/>
        <w:tblCellMar>
          <w:top w:w="0" w:type="dxa"/>
          <w:left w:w="108" w:type="dxa"/>
          <w:bottom w:w="0" w:type="dxa"/>
          <w:right w:w="108" w:type="dxa"/>
        </w:tblCellMar>
      </w:tblPr>
      <w:tblGrid>
        <w:gridCol w:w="9860"/>
      </w:tblGrid>
      <w:tr>
        <w:tblPrEx>
          <w:tblCellMar>
            <w:top w:w="0" w:type="dxa"/>
            <w:left w:w="108" w:type="dxa"/>
            <w:bottom w:w="0" w:type="dxa"/>
            <w:right w:w="108" w:type="dxa"/>
          </w:tblCellMar>
        </w:tblPrEx>
        <w:trPr>
          <w:trHeight w:val="90" w:hRule="atLeast"/>
        </w:trPr>
        <w:tc>
          <w:tcPr>
            <w:tcW w:w="9860" w:type="dxa"/>
            <w:tcBorders>
              <w:top w:val="nil"/>
              <w:left w:val="nil"/>
              <w:bottom w:val="single" w:color="auto" w:sz="4" w:space="0"/>
              <w:right w:val="nil"/>
            </w:tcBorders>
            <w:noWrap w:val="0"/>
            <w:vAlign w:val="center"/>
          </w:tcPr>
          <w:p>
            <w:pPr>
              <w:jc w:val="center"/>
              <w:rPr>
                <w:rFonts w:hint="eastAsia" w:ascii="宋体" w:hAnsi="宋体" w:cs="宋体"/>
                <w:szCs w:val="21"/>
              </w:rPr>
            </w:pPr>
            <w:r>
              <w:rPr>
                <w:rFonts w:hint="eastAsia" w:ascii="宋体" w:hAnsi="宋体" w:cs="宋体"/>
                <w:szCs w:val="21"/>
              </w:rPr>
              <w:t>部门机构设置情况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356"/>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355" w:type="dxa"/>
                  <w:noWrap w:val="0"/>
                  <w:vAlign w:val="center"/>
                </w:tcPr>
                <w:p>
                  <w:pPr>
                    <w:jc w:val="center"/>
                    <w:rPr>
                      <w:rFonts w:hint="eastAsia" w:ascii="宋体" w:hAnsi="宋体" w:cs="宋体"/>
                      <w:szCs w:val="21"/>
                    </w:rPr>
                  </w:pPr>
                  <w:r>
                    <w:rPr>
                      <w:rFonts w:hint="eastAsia" w:ascii="宋体" w:hAnsi="宋体" w:cs="宋体"/>
                      <w:szCs w:val="21"/>
                    </w:rPr>
                    <w:t>单位名称</w:t>
                  </w:r>
                </w:p>
              </w:tc>
              <w:tc>
                <w:tcPr>
                  <w:tcW w:w="2356" w:type="dxa"/>
                  <w:noWrap w:val="0"/>
                  <w:vAlign w:val="center"/>
                </w:tcPr>
                <w:p>
                  <w:pPr>
                    <w:jc w:val="center"/>
                    <w:rPr>
                      <w:rFonts w:hint="eastAsia" w:ascii="宋体" w:hAnsi="宋体" w:cs="宋体"/>
                      <w:szCs w:val="21"/>
                    </w:rPr>
                  </w:pPr>
                  <w:r>
                    <w:rPr>
                      <w:rFonts w:hint="eastAsia" w:ascii="宋体" w:hAnsi="宋体" w:cs="宋体"/>
                      <w:szCs w:val="21"/>
                    </w:rPr>
                    <w:t>单位性质</w:t>
                  </w:r>
                </w:p>
              </w:tc>
              <w:tc>
                <w:tcPr>
                  <w:tcW w:w="2356" w:type="dxa"/>
                  <w:noWrap w:val="0"/>
                  <w:vAlign w:val="center"/>
                </w:tcPr>
                <w:p>
                  <w:pPr>
                    <w:jc w:val="center"/>
                    <w:rPr>
                      <w:rFonts w:hint="eastAsia" w:ascii="宋体" w:hAnsi="宋体" w:cs="宋体"/>
                      <w:szCs w:val="21"/>
                    </w:rPr>
                  </w:pPr>
                  <w:r>
                    <w:rPr>
                      <w:rFonts w:hint="eastAsia" w:ascii="宋体" w:hAnsi="宋体" w:cs="宋体"/>
                      <w:szCs w:val="21"/>
                    </w:rPr>
                    <w:t>单位规格</w:t>
                  </w:r>
                </w:p>
              </w:tc>
              <w:tc>
                <w:tcPr>
                  <w:tcW w:w="2356" w:type="dxa"/>
                  <w:noWrap w:val="0"/>
                  <w:vAlign w:val="center"/>
                </w:tcPr>
                <w:p>
                  <w:pPr>
                    <w:jc w:val="center"/>
                    <w:rPr>
                      <w:rFonts w:hint="eastAsia" w:ascii="宋体" w:hAnsi="宋体" w:cs="宋体"/>
                      <w:szCs w:val="21"/>
                    </w:rPr>
                  </w:pPr>
                  <w:r>
                    <w:rPr>
                      <w:rFonts w:hint="eastAsia" w:ascii="宋体" w:hAnsi="宋体" w:cs="宋体"/>
                      <w:szCs w:val="21"/>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5" w:type="dxa"/>
                  <w:noWrap w:val="0"/>
                  <w:vAlign w:val="center"/>
                </w:tcPr>
                <w:p>
                  <w:pPr>
                    <w:jc w:val="center"/>
                    <w:rPr>
                      <w:rFonts w:hint="eastAsia" w:ascii="宋体" w:hAnsi="宋体" w:cs="宋体"/>
                      <w:szCs w:val="21"/>
                    </w:rPr>
                  </w:pPr>
                  <w:r>
                    <w:rPr>
                      <w:rFonts w:hint="eastAsia" w:ascii="宋体" w:hAnsi="宋体" w:cs="宋体"/>
                      <w:szCs w:val="21"/>
                    </w:rPr>
                    <w:t>中共保定市满城区委统战部</w:t>
                  </w:r>
                </w:p>
              </w:tc>
              <w:tc>
                <w:tcPr>
                  <w:tcW w:w="2356" w:type="dxa"/>
                  <w:noWrap w:val="0"/>
                  <w:vAlign w:val="center"/>
                </w:tcPr>
                <w:p>
                  <w:pPr>
                    <w:jc w:val="center"/>
                    <w:rPr>
                      <w:rFonts w:hint="eastAsia" w:ascii="宋体" w:hAnsi="宋体" w:cs="宋体"/>
                      <w:szCs w:val="21"/>
                    </w:rPr>
                  </w:pPr>
                  <w:r>
                    <w:rPr>
                      <w:rFonts w:hint="eastAsia" w:ascii="宋体" w:hAnsi="宋体" w:cs="宋体"/>
                      <w:szCs w:val="21"/>
                    </w:rPr>
                    <w:t>行政</w:t>
                  </w:r>
                </w:p>
              </w:tc>
              <w:tc>
                <w:tcPr>
                  <w:tcW w:w="2356" w:type="dxa"/>
                  <w:noWrap w:val="0"/>
                  <w:vAlign w:val="center"/>
                </w:tcPr>
                <w:p>
                  <w:pPr>
                    <w:jc w:val="center"/>
                    <w:rPr>
                      <w:rFonts w:hint="eastAsia" w:ascii="宋体" w:hAnsi="宋体" w:cs="宋体"/>
                      <w:szCs w:val="21"/>
                    </w:rPr>
                  </w:pPr>
                  <w:r>
                    <w:rPr>
                      <w:rFonts w:hint="eastAsia" w:ascii="宋体" w:hAnsi="宋体" w:cs="宋体"/>
                      <w:szCs w:val="21"/>
                    </w:rPr>
                    <w:t>正科级</w:t>
                  </w:r>
                </w:p>
              </w:tc>
              <w:tc>
                <w:tcPr>
                  <w:tcW w:w="2356" w:type="dxa"/>
                  <w:noWrap w:val="0"/>
                  <w:vAlign w:val="center"/>
                </w:tcPr>
                <w:p>
                  <w:pPr>
                    <w:jc w:val="center"/>
                    <w:rPr>
                      <w:rFonts w:hint="eastAsia" w:ascii="宋体" w:hAnsi="宋体" w:cs="宋体"/>
                      <w:szCs w:val="21"/>
                    </w:rPr>
                  </w:pPr>
                  <w:r>
                    <w:rPr>
                      <w:rFonts w:hint="eastAsia" w:ascii="宋体" w:hAnsi="宋体" w:cs="宋体"/>
                      <w:szCs w:val="21"/>
                    </w:rPr>
                    <w:t>财政拨款</w:t>
                  </w:r>
                </w:p>
              </w:tc>
            </w:tr>
          </w:tbl>
          <w:p>
            <w:pPr>
              <w:jc w:val="center"/>
              <w:rPr>
                <w:rFonts w:hint="eastAsia" w:ascii="宋体" w:hAnsi="宋体" w:cs="宋体"/>
                <w:szCs w:val="21"/>
              </w:rPr>
            </w:pPr>
          </w:p>
        </w:tc>
      </w:tr>
    </w:tbl>
    <w:p>
      <w:pPr>
        <w:jc w:val="left"/>
        <w:rPr>
          <w:rFonts w:hint="eastAsia" w:ascii="宋体" w:hAnsi="宋体" w:cs="宋体"/>
          <w:szCs w:val="21"/>
        </w:rPr>
      </w:pPr>
    </w:p>
    <w:p>
      <w:pPr>
        <w:spacing w:line="520" w:lineRule="exact"/>
        <w:ind w:left="1713" w:firstLine="210" w:firstLineChars="100"/>
        <w:rPr>
          <w:rFonts w:hint="eastAsia" w:ascii="宋体" w:hAnsi="宋体" w:cs="宋体"/>
          <w:szCs w:val="21"/>
        </w:rPr>
      </w:pPr>
      <w:r>
        <w:rPr>
          <w:rFonts w:hint="eastAsia" w:ascii="宋体" w:hAnsi="宋体" w:cs="宋体"/>
          <w:szCs w:val="21"/>
        </w:rPr>
        <w:t>第二部分：部门预算安排的总体情况</w:t>
      </w:r>
    </w:p>
    <w:p>
      <w:pPr>
        <w:spacing w:line="520" w:lineRule="exact"/>
        <w:ind w:left="1713"/>
        <w:rPr>
          <w:rFonts w:hint="eastAsia" w:ascii="宋体" w:hAnsi="宋体" w:cs="宋体"/>
          <w:szCs w:val="21"/>
        </w:rPr>
      </w:pPr>
    </w:p>
    <w:p>
      <w:pPr>
        <w:spacing w:line="520" w:lineRule="exact"/>
        <w:ind w:firstLine="420" w:firstLineChars="200"/>
        <w:rPr>
          <w:rFonts w:hint="eastAsia" w:ascii="宋体" w:hAnsi="宋体" w:cs="宋体"/>
          <w:szCs w:val="21"/>
        </w:rPr>
      </w:pPr>
      <w:r>
        <w:rPr>
          <w:rFonts w:hint="eastAsia" w:ascii="宋体" w:hAnsi="宋体" w:cs="宋体"/>
          <w:szCs w:val="21"/>
        </w:rPr>
        <w:t>1、收入说明</w:t>
      </w:r>
    </w:p>
    <w:p>
      <w:pPr>
        <w:spacing w:line="520" w:lineRule="exact"/>
        <w:ind w:firstLine="420" w:firstLineChars="200"/>
        <w:rPr>
          <w:rFonts w:hint="eastAsia" w:ascii="宋体" w:hAnsi="宋体" w:cs="宋体"/>
          <w:szCs w:val="21"/>
        </w:rPr>
      </w:pPr>
      <w:r>
        <w:rPr>
          <w:rFonts w:hint="eastAsia" w:ascii="宋体" w:hAnsi="宋体" w:cs="宋体"/>
          <w:szCs w:val="21"/>
        </w:rPr>
        <w:t>2020年中共保定市满城区委统战部年初部门收入预算总额为75.93万元，其中：一般公共预算收入75.93万元。</w:t>
      </w:r>
    </w:p>
    <w:p>
      <w:pPr>
        <w:spacing w:line="520" w:lineRule="exact"/>
        <w:ind w:firstLine="420" w:firstLineChars="200"/>
        <w:rPr>
          <w:rFonts w:hint="eastAsia" w:ascii="宋体" w:hAnsi="宋体" w:cs="宋体"/>
          <w:szCs w:val="21"/>
        </w:rPr>
      </w:pPr>
      <w:r>
        <w:rPr>
          <w:rFonts w:hint="eastAsia" w:ascii="宋体" w:hAnsi="宋体" w:cs="宋体"/>
          <w:szCs w:val="21"/>
        </w:rPr>
        <w:t>2、支出说明</w:t>
      </w:r>
    </w:p>
    <w:p>
      <w:pPr>
        <w:spacing w:line="520" w:lineRule="exact"/>
        <w:ind w:firstLine="420" w:firstLineChars="200"/>
        <w:rPr>
          <w:rFonts w:hint="eastAsia" w:ascii="宋体" w:hAnsi="宋体" w:cs="宋体"/>
          <w:szCs w:val="21"/>
        </w:rPr>
      </w:pPr>
      <w:r>
        <w:rPr>
          <w:rFonts w:hint="eastAsia" w:ascii="宋体" w:hAnsi="宋体" w:cs="宋体"/>
          <w:szCs w:val="21"/>
        </w:rPr>
        <w:t>2020年部门支出安排预算总额75.93万元。</w:t>
      </w:r>
    </w:p>
    <w:p>
      <w:pPr>
        <w:spacing w:line="520" w:lineRule="exact"/>
        <w:ind w:firstLine="420" w:firstLineChars="200"/>
        <w:rPr>
          <w:rFonts w:hint="eastAsia" w:ascii="宋体" w:hAnsi="宋体" w:cs="宋体"/>
          <w:szCs w:val="21"/>
        </w:rPr>
      </w:pPr>
      <w:r>
        <w:rPr>
          <w:rFonts w:hint="eastAsia" w:ascii="宋体" w:hAnsi="宋体" w:cs="宋体"/>
          <w:szCs w:val="21"/>
        </w:rPr>
        <w:t>其中：人员经费64.27万元</w:t>
      </w:r>
    </w:p>
    <w:p>
      <w:pPr>
        <w:spacing w:line="520" w:lineRule="exact"/>
        <w:ind w:left="1268" w:leftChars="304" w:hanging="630" w:hangingChars="300"/>
        <w:rPr>
          <w:rFonts w:hint="eastAsia" w:ascii="宋体" w:hAnsi="宋体" w:cs="宋体"/>
          <w:szCs w:val="21"/>
        </w:rPr>
      </w:pPr>
      <w:r>
        <w:rPr>
          <w:rFonts w:hint="eastAsia" w:ascii="宋体" w:hAnsi="宋体" w:cs="宋体"/>
          <w:szCs w:val="21"/>
        </w:rPr>
        <w:t xml:space="preserve">      日常公用经费11.66万元</w:t>
      </w:r>
    </w:p>
    <w:p>
      <w:pPr>
        <w:tabs>
          <w:tab w:val="left" w:pos="916"/>
        </w:tabs>
        <w:spacing w:line="560" w:lineRule="exact"/>
        <w:ind w:firstLine="420" w:firstLineChars="200"/>
        <w:jc w:val="left"/>
        <w:rPr>
          <w:rFonts w:hint="eastAsia" w:ascii="宋体" w:hAnsi="宋体" w:cs="宋体"/>
          <w:szCs w:val="21"/>
        </w:rPr>
      </w:pPr>
      <w:r>
        <w:rPr>
          <w:rFonts w:hint="eastAsia" w:ascii="宋体" w:hAnsi="宋体" w:cs="宋体"/>
          <w:szCs w:val="21"/>
        </w:rPr>
        <w:t>3、比上年增减情况</w:t>
      </w:r>
    </w:p>
    <w:p>
      <w:pPr>
        <w:tabs>
          <w:tab w:val="left" w:pos="916"/>
        </w:tabs>
        <w:spacing w:line="560" w:lineRule="exact"/>
        <w:jc w:val="left"/>
        <w:rPr>
          <w:rFonts w:hint="eastAsia" w:ascii="宋体" w:hAnsi="宋体" w:cs="宋体"/>
          <w:szCs w:val="21"/>
        </w:rPr>
      </w:pPr>
      <w:r>
        <w:rPr>
          <w:rFonts w:hint="eastAsia" w:ascii="宋体" w:hAnsi="宋体" w:cs="宋体"/>
          <w:szCs w:val="21"/>
        </w:rPr>
        <w:t>　　本年度预算收支安排75.93万元，较上年减少2.4483万元。人员经费支出减少2.4483万元(预留增资预算金额少)；日常公用经费较少0.2513万元,厉行节约，减少办公经费支出。</w:t>
      </w:r>
    </w:p>
    <w:p>
      <w:pPr>
        <w:spacing w:line="520" w:lineRule="exact"/>
        <w:outlineLvl w:val="0"/>
        <w:rPr>
          <w:rFonts w:hint="eastAsia" w:ascii="宋体" w:hAnsi="宋体" w:cs="宋体"/>
          <w:szCs w:val="21"/>
        </w:rPr>
      </w:pPr>
    </w:p>
    <w:p>
      <w:pPr>
        <w:spacing w:line="520" w:lineRule="exact"/>
        <w:jc w:val="center"/>
        <w:outlineLvl w:val="0"/>
        <w:rPr>
          <w:rFonts w:hint="eastAsia" w:ascii="宋体" w:hAnsi="宋体" w:cs="宋体"/>
          <w:szCs w:val="21"/>
        </w:rPr>
      </w:pPr>
      <w:r>
        <w:rPr>
          <w:rFonts w:hint="eastAsia" w:ascii="宋体" w:hAnsi="宋体" w:cs="宋体"/>
          <w:szCs w:val="21"/>
        </w:rPr>
        <w:t>第三部分：机关运行经费安排情况</w:t>
      </w:r>
    </w:p>
    <w:p>
      <w:pPr>
        <w:spacing w:line="520" w:lineRule="exact"/>
        <w:jc w:val="center"/>
        <w:outlineLvl w:val="0"/>
        <w:rPr>
          <w:rFonts w:hint="eastAsia" w:ascii="宋体" w:hAnsi="宋体" w:cs="宋体"/>
          <w:szCs w:val="21"/>
        </w:rPr>
      </w:pPr>
    </w:p>
    <w:p>
      <w:pPr>
        <w:spacing w:line="520" w:lineRule="exact"/>
        <w:ind w:firstLine="420" w:firstLineChars="200"/>
        <w:jc w:val="left"/>
        <w:outlineLvl w:val="0"/>
        <w:rPr>
          <w:rFonts w:hint="eastAsia" w:ascii="宋体" w:hAnsi="宋体" w:cs="宋体"/>
          <w:szCs w:val="21"/>
        </w:rPr>
      </w:pPr>
      <w:r>
        <w:rPr>
          <w:rFonts w:hint="eastAsia" w:ascii="宋体" w:hAnsi="宋体" w:cs="宋体"/>
          <w:szCs w:val="21"/>
        </w:rPr>
        <w:t>中共保定市满城区委统战部机关运行经费安排11.66万元，其中办公费0.36万元，邮电费2.7万元,公务用车运行维护费5.0万元，其他交通费用3.24万元，公务接待费0.23万元，其他商品和服务支出0.13万元。</w:t>
      </w:r>
    </w:p>
    <w:p>
      <w:pPr>
        <w:spacing w:line="520" w:lineRule="exact"/>
        <w:jc w:val="center"/>
        <w:outlineLvl w:val="0"/>
        <w:rPr>
          <w:rFonts w:hint="eastAsia" w:ascii="宋体" w:hAnsi="宋体" w:cs="宋体"/>
          <w:szCs w:val="21"/>
        </w:rPr>
      </w:pPr>
    </w:p>
    <w:p>
      <w:pPr>
        <w:spacing w:line="520" w:lineRule="exact"/>
        <w:jc w:val="center"/>
        <w:outlineLvl w:val="0"/>
        <w:rPr>
          <w:rFonts w:hint="eastAsia" w:ascii="宋体" w:hAnsi="宋体" w:cs="宋体"/>
          <w:szCs w:val="21"/>
        </w:rPr>
      </w:pPr>
      <w:r>
        <w:rPr>
          <w:rFonts w:hint="eastAsia" w:ascii="宋体" w:hAnsi="宋体" w:cs="宋体"/>
          <w:szCs w:val="21"/>
        </w:rPr>
        <w:t>第四部分：财政拨款“三公”经费预算情况及增减变化原因</w:t>
      </w:r>
    </w:p>
    <w:p>
      <w:pPr>
        <w:spacing w:line="520" w:lineRule="exact"/>
        <w:jc w:val="center"/>
        <w:outlineLvl w:val="0"/>
        <w:rPr>
          <w:rFonts w:hint="eastAsia" w:ascii="宋体" w:hAnsi="宋体" w:cs="宋体"/>
          <w:szCs w:val="21"/>
        </w:rPr>
      </w:pPr>
    </w:p>
    <w:tbl>
      <w:tblPr>
        <w:tblStyle w:val="8"/>
        <w:tblW w:w="0" w:type="auto"/>
        <w:tblInd w:w="-176" w:type="dxa"/>
        <w:tblLayout w:type="fixed"/>
        <w:tblCellMar>
          <w:top w:w="0" w:type="dxa"/>
          <w:left w:w="108" w:type="dxa"/>
          <w:bottom w:w="0" w:type="dxa"/>
          <w:right w:w="108" w:type="dxa"/>
        </w:tblCellMar>
      </w:tblPr>
      <w:tblGrid>
        <w:gridCol w:w="2269"/>
        <w:gridCol w:w="1760"/>
        <w:gridCol w:w="1717"/>
        <w:gridCol w:w="1177"/>
        <w:gridCol w:w="3284"/>
      </w:tblGrid>
      <w:tr>
        <w:tblPrEx>
          <w:tblCellMar>
            <w:top w:w="0" w:type="dxa"/>
            <w:left w:w="108" w:type="dxa"/>
            <w:bottom w:w="0" w:type="dxa"/>
            <w:right w:w="108" w:type="dxa"/>
          </w:tblCellMar>
        </w:tblPrEx>
        <w:trPr>
          <w:trHeight w:val="405" w:hRule="atLeast"/>
        </w:trPr>
        <w:tc>
          <w:tcPr>
            <w:tcW w:w="10207" w:type="dxa"/>
            <w:gridSpan w:val="5"/>
            <w:tcBorders>
              <w:top w:val="nil"/>
              <w:left w:val="nil"/>
              <w:bottom w:val="nil"/>
              <w:right w:val="nil"/>
            </w:tcBorders>
            <w:noWrap w:val="0"/>
            <w:vAlign w:val="center"/>
          </w:tcPr>
          <w:p>
            <w:pPr>
              <w:widowControl/>
              <w:spacing w:line="520" w:lineRule="exact"/>
              <w:jc w:val="center"/>
              <w:rPr>
                <w:rFonts w:hint="eastAsia" w:ascii="宋体" w:hAnsi="宋体" w:cs="宋体"/>
                <w:kern w:val="0"/>
                <w:szCs w:val="21"/>
              </w:rPr>
            </w:pPr>
            <w:r>
              <w:rPr>
                <w:rFonts w:hint="eastAsia" w:ascii="宋体" w:hAnsi="宋体" w:cs="宋体"/>
                <w:szCs w:val="21"/>
              </w:rPr>
              <w:t>“三公”经费预算情况及增减变化原因</w:t>
            </w:r>
          </w:p>
        </w:tc>
      </w:tr>
      <w:tr>
        <w:tblPrEx>
          <w:tblCellMar>
            <w:top w:w="0" w:type="dxa"/>
            <w:left w:w="108" w:type="dxa"/>
            <w:bottom w:w="0" w:type="dxa"/>
            <w:right w:w="108" w:type="dxa"/>
          </w:tblCellMar>
        </w:tblPrEx>
        <w:trPr>
          <w:trHeight w:val="221" w:hRule="atLeast"/>
        </w:trPr>
        <w:tc>
          <w:tcPr>
            <w:tcW w:w="2269"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1760"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1717"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1177"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3284" w:type="dxa"/>
            <w:tcBorders>
              <w:top w:val="nil"/>
              <w:left w:val="nil"/>
              <w:bottom w:val="nil"/>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单位：万元</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项目名称</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增减金额</w:t>
            </w:r>
          </w:p>
        </w:tc>
        <w:tc>
          <w:tcPr>
            <w:tcW w:w="32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变化原因</w:t>
            </w:r>
          </w:p>
        </w:tc>
      </w:tr>
      <w:tr>
        <w:tblPrEx>
          <w:tblCellMar>
            <w:top w:w="0" w:type="dxa"/>
            <w:left w:w="108" w:type="dxa"/>
            <w:bottom w:w="0" w:type="dxa"/>
            <w:right w:w="108" w:type="dxa"/>
          </w:tblCellMar>
        </w:tblPrEx>
        <w:trPr>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trHeight w:val="57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公务用车运行经费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trHeight w:val="513"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公务接待费支出</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0.2237</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0.23</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0.0063</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按比例计提。</w:t>
            </w:r>
          </w:p>
        </w:tc>
      </w:tr>
      <w:tr>
        <w:tblPrEx>
          <w:tblCellMar>
            <w:top w:w="0" w:type="dxa"/>
            <w:left w:w="108" w:type="dxa"/>
            <w:bottom w:w="0" w:type="dxa"/>
            <w:right w:w="108" w:type="dxa"/>
          </w:tblCellMar>
        </w:tblPrEx>
        <w:trPr>
          <w:trHeight w:val="114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5.2237</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5.23</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0.0063</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2020年，我部的三公经费与2019年相比基本持平。</w:t>
            </w:r>
          </w:p>
        </w:tc>
      </w:tr>
      <w:tr>
        <w:tblPrEx>
          <w:tblCellMar>
            <w:top w:w="0" w:type="dxa"/>
            <w:left w:w="108" w:type="dxa"/>
            <w:bottom w:w="0" w:type="dxa"/>
            <w:right w:w="108" w:type="dxa"/>
          </w:tblCellMar>
        </w:tblPrEx>
        <w:trPr>
          <w:trHeight w:val="285" w:hRule="atLeast"/>
        </w:trPr>
        <w:tc>
          <w:tcPr>
            <w:tcW w:w="2269"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1760"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1717"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1177" w:type="dxa"/>
            <w:tcBorders>
              <w:top w:val="nil"/>
              <w:left w:val="nil"/>
              <w:bottom w:val="nil"/>
              <w:right w:val="nil"/>
            </w:tcBorders>
            <w:noWrap w:val="0"/>
            <w:vAlign w:val="center"/>
          </w:tcPr>
          <w:p>
            <w:pPr>
              <w:widowControl/>
              <w:jc w:val="left"/>
              <w:rPr>
                <w:rFonts w:hint="eastAsia" w:ascii="宋体" w:hAnsi="宋体" w:cs="宋体"/>
                <w:kern w:val="0"/>
                <w:szCs w:val="21"/>
              </w:rPr>
            </w:pPr>
          </w:p>
        </w:tc>
        <w:tc>
          <w:tcPr>
            <w:tcW w:w="3284" w:type="dxa"/>
            <w:tcBorders>
              <w:top w:val="nil"/>
              <w:left w:val="nil"/>
              <w:bottom w:val="nil"/>
              <w:right w:val="nil"/>
            </w:tcBorders>
            <w:noWrap w:val="0"/>
            <w:vAlign w:val="center"/>
          </w:tcPr>
          <w:p>
            <w:pPr>
              <w:widowControl/>
              <w:jc w:val="left"/>
              <w:rPr>
                <w:rFonts w:hint="eastAsia" w:ascii="宋体" w:hAnsi="宋体" w:cs="宋体"/>
                <w:kern w:val="0"/>
                <w:szCs w:val="21"/>
              </w:rPr>
            </w:pPr>
          </w:p>
        </w:tc>
      </w:tr>
    </w:tbl>
    <w:p>
      <w:pPr>
        <w:jc w:val="center"/>
        <w:outlineLvl w:val="0"/>
        <w:rPr>
          <w:rFonts w:hint="eastAsia" w:ascii="宋体" w:hAnsi="宋体" w:cs="宋体"/>
          <w:szCs w:val="21"/>
        </w:rPr>
      </w:pPr>
    </w:p>
    <w:p>
      <w:pPr>
        <w:jc w:val="center"/>
        <w:outlineLvl w:val="0"/>
        <w:rPr>
          <w:rFonts w:hint="eastAsia" w:ascii="宋体" w:hAnsi="宋体" w:cs="宋体"/>
          <w:szCs w:val="21"/>
        </w:rPr>
      </w:pPr>
    </w:p>
    <w:p>
      <w:pPr>
        <w:jc w:val="center"/>
        <w:outlineLvl w:val="0"/>
        <w:rPr>
          <w:rFonts w:hint="eastAsia" w:ascii="宋体" w:hAnsi="宋体" w:cs="宋体"/>
          <w:szCs w:val="21"/>
        </w:rPr>
      </w:pPr>
    </w:p>
    <w:p>
      <w:pPr>
        <w:jc w:val="center"/>
        <w:outlineLvl w:val="0"/>
        <w:rPr>
          <w:rFonts w:hint="eastAsia" w:ascii="宋体" w:hAnsi="宋体" w:cs="宋体"/>
          <w:szCs w:val="21"/>
        </w:rPr>
      </w:pPr>
    </w:p>
    <w:p>
      <w:pPr>
        <w:jc w:val="center"/>
        <w:outlineLvl w:val="0"/>
        <w:rPr>
          <w:rFonts w:hint="eastAsia" w:ascii="宋体" w:hAnsi="宋体" w:cs="宋体"/>
          <w:szCs w:val="21"/>
        </w:rPr>
      </w:pPr>
    </w:p>
    <w:p>
      <w:pPr>
        <w:jc w:val="center"/>
        <w:outlineLvl w:val="0"/>
        <w:rPr>
          <w:rFonts w:hint="eastAsia" w:ascii="宋体" w:hAnsi="宋体" w:cs="宋体"/>
          <w:szCs w:val="21"/>
        </w:rPr>
      </w:pPr>
      <w:r>
        <w:rPr>
          <w:rFonts w:hint="eastAsia" w:ascii="宋体" w:hAnsi="宋体" w:cs="宋体"/>
          <w:szCs w:val="21"/>
        </w:rPr>
        <w:t>第五部分：绩效预算信息</w:t>
      </w:r>
    </w:p>
    <w:p>
      <w:pPr>
        <w:jc w:val="center"/>
        <w:outlineLvl w:val="0"/>
        <w:rPr>
          <w:rFonts w:hint="eastAsia" w:ascii="宋体" w:hAnsi="宋体" w:cs="宋体"/>
          <w:szCs w:val="21"/>
        </w:rPr>
      </w:pPr>
      <w:r>
        <w:rPr>
          <w:rFonts w:hint="eastAsia" w:ascii="宋体" w:hAnsi="宋体" w:cs="宋体"/>
          <w:szCs w:val="21"/>
        </w:rPr>
        <w:t xml:space="preserve"> </w:t>
      </w:r>
    </w:p>
    <w:p>
      <w:pPr>
        <w:spacing w:line="520" w:lineRule="exact"/>
        <w:ind w:firstLine="422" w:firstLineChars="200"/>
        <w:jc w:val="left"/>
        <w:rPr>
          <w:rFonts w:hint="eastAsia" w:ascii="宋体" w:hAnsi="宋体" w:cs="宋体"/>
          <w:b/>
          <w:szCs w:val="21"/>
        </w:rPr>
      </w:pPr>
    </w:p>
    <w:p>
      <w:pPr>
        <w:widowControl/>
        <w:spacing w:before="100" w:beforeAutospacing="1" w:after="100" w:afterAutospacing="1" w:line="30" w:lineRule="atLeast"/>
        <w:ind w:firstLine="320" w:firstLineChars="100"/>
        <w:jc w:val="left"/>
        <w:rPr>
          <w:rFonts w:hint="eastAsia" w:ascii="宋体" w:hAnsi="宋体" w:cs="仿宋"/>
          <w:b/>
          <w:bCs/>
          <w:kern w:val="0"/>
          <w:szCs w:val="21"/>
        </w:rPr>
      </w:pPr>
      <w:bookmarkStart w:id="0" w:name="_Toc441150763"/>
      <w:r>
        <w:rPr>
          <w:rFonts w:hint="eastAsia" w:ascii="黑体" w:hAnsi="黑体" w:eastAsia="黑体" w:cs="黑体"/>
          <w:kern w:val="0"/>
          <w:sz w:val="32"/>
          <w:szCs w:val="32"/>
        </w:rPr>
        <w:t>一</w:t>
      </w:r>
      <w:r>
        <w:rPr>
          <w:rFonts w:hint="eastAsia" w:ascii="黑体" w:hAnsi="黑体" w:eastAsia="黑体" w:cs="黑体"/>
          <w:kern w:val="0"/>
          <w:sz w:val="28"/>
          <w:szCs w:val="28"/>
        </w:rPr>
        <w:t>、</w:t>
      </w:r>
      <w:r>
        <w:rPr>
          <w:rFonts w:hint="eastAsia" w:ascii="宋体" w:hAnsi="宋体" w:cs="仿宋"/>
          <w:b/>
          <w:bCs/>
          <w:kern w:val="0"/>
          <w:sz w:val="28"/>
          <w:szCs w:val="28"/>
        </w:rPr>
        <w:t>总体绩效目标</w:t>
      </w:r>
    </w:p>
    <w:p>
      <w:pPr>
        <w:widowControl/>
        <w:shd w:val="clear" w:color="auto" w:fill="FFFFFF"/>
        <w:spacing w:before="100" w:beforeAutospacing="1" w:after="100" w:afterAutospacing="1" w:line="520" w:lineRule="exact"/>
        <w:ind w:firstLine="438" w:firstLineChars="209"/>
        <w:jc w:val="left"/>
        <w:rPr>
          <w:rFonts w:hint="eastAsia" w:ascii="宋体" w:hAnsi="宋体" w:cs="仿宋"/>
          <w:kern w:val="0"/>
          <w:szCs w:val="21"/>
        </w:rPr>
      </w:pPr>
      <w:r>
        <w:rPr>
          <w:rFonts w:hint="eastAsia" w:ascii="宋体" w:hAnsi="宋体" w:cs="Arial"/>
          <w:color w:val="000000"/>
          <w:kern w:val="0"/>
          <w:szCs w:val="21"/>
        </w:rPr>
        <w:t>在区委的正确领导下，在市委统战部的正确指导下，</w:t>
      </w:r>
      <w:r>
        <w:rPr>
          <w:rFonts w:hint="eastAsia" w:ascii="宋体" w:hAnsi="宋体" w:cs="仿宋_GB2312"/>
          <w:kern w:val="0"/>
          <w:szCs w:val="21"/>
        </w:rPr>
        <w:t>以习近平新时代中国特色社会主义思想为统领，全面落实习近平总书记对统战工作的重要指示精神，</w:t>
      </w:r>
      <w:r>
        <w:rPr>
          <w:rFonts w:hint="eastAsia" w:ascii="宋体" w:hAnsi="宋体" w:cs="宋体"/>
          <w:kern w:val="0"/>
          <w:szCs w:val="21"/>
        </w:rPr>
        <w:t>贯穿工作始终，切实在思想上政治上行动上同以习近平同志为核心的党中央保持高度一致，牢固树立“四个意识”，坚定“四个自信”，做到“两个维护”，将党的集中统一领导落实到统战工作的各方面、全过程，</w:t>
      </w:r>
      <w:r>
        <w:rPr>
          <w:rFonts w:hint="eastAsia" w:ascii="宋体" w:hAnsi="宋体" w:cs="仿宋_GB2312"/>
          <w:kern w:val="0"/>
          <w:szCs w:val="21"/>
        </w:rPr>
        <w:t>坚持稳中求进的总基调，围绕“四个‘年’”（学习培训年、制度创新年、服务落实年、自身建设提升年）建设，凝心聚力，汇才聚智，扎实苦干，努力开创团结、振奋、活跃的统战工作新局面。</w:t>
      </w:r>
      <w:r>
        <w:rPr>
          <w:rFonts w:hint="eastAsia" w:ascii="宋体" w:hAnsi="宋体" w:cs="宋体"/>
          <w:kern w:val="0"/>
          <w:szCs w:val="21"/>
        </w:rPr>
        <w:t>准确把握新时代统战工作的基本原则，自觉从全局高度谋划统战工作</w:t>
      </w:r>
      <w:r>
        <w:rPr>
          <w:rFonts w:hint="eastAsia" w:ascii="宋体" w:hAnsi="宋体" w:cs="Arial"/>
          <w:color w:val="000000"/>
          <w:kern w:val="0"/>
          <w:szCs w:val="21"/>
        </w:rPr>
        <w:t>。</w:t>
      </w:r>
    </w:p>
    <w:p>
      <w:pPr>
        <w:widowControl/>
        <w:spacing w:before="100" w:beforeAutospacing="1" w:after="100" w:afterAutospacing="1" w:line="31" w:lineRule="atLeast"/>
        <w:ind w:firstLine="560"/>
        <w:jc w:val="left"/>
        <w:rPr>
          <w:rFonts w:hint="eastAsia" w:ascii="宋体" w:hAnsi="宋体" w:cs="仿宋"/>
          <w:b/>
          <w:bCs/>
          <w:kern w:val="0"/>
          <w:sz w:val="28"/>
          <w:szCs w:val="28"/>
        </w:rPr>
      </w:pPr>
      <w:r>
        <w:rPr>
          <w:rFonts w:hint="eastAsia" w:ascii="宋体" w:hAnsi="宋体" w:cs="仿宋"/>
          <w:b/>
          <w:bCs/>
          <w:kern w:val="0"/>
          <w:sz w:val="28"/>
          <w:szCs w:val="28"/>
          <w:lang w:eastAsia="zh-CN"/>
        </w:rPr>
        <w:t>二、</w:t>
      </w:r>
      <w:r>
        <w:rPr>
          <w:rFonts w:hint="eastAsia" w:ascii="宋体" w:hAnsi="宋体" w:cs="仿宋"/>
          <w:b/>
          <w:bCs/>
          <w:kern w:val="0"/>
          <w:sz w:val="28"/>
          <w:szCs w:val="28"/>
        </w:rPr>
        <w:t>分项绩效目标</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（一）开展统战工作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贯彻落实统一战线的理论、政策和法律法规，向党委全面反映统一战线情况，提出开展统一战线工作的意见和建议，检查执行情况，协调统一战线各方面的关系。</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1、民主党派和无党派代表人士工作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绩效目标：联系民主党派、无党派人士，贯彻做好民主党派和无党派人士工作的方针政策，支持民主党派无党派人士履行职责、发挥作用，支持、帮助民主党派和无党派人士加强自身建设。</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进一步加强中国共产党领导的多党合作和政治协商制度建设，充分发挥民主党派职能作用，构建和谐政党关系，做好民主党派和无党派代表人士工作完成率达60%；民主党派加强自身建设协助工作完成率60%；民主党派履行职能有关支持工作完成率60%；充分发挥民主党派参政议政职能，反映各民主党派当年提交政协会议议案总数达到2个。</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2、民族宗教统战工作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绩效职责：民族宗教领域工作完成率达60%。</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3、港澳台海外统战工作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开展港澳台海外统一战线工作，联系香港、澳门、台湾和海外有关党派、团体及代表人士，会同有关部门对香港、澳门地区统一战线工作方针政策和法律法规进行调查研究，做好台胞、台属、归侨、侨眷和出国、归国留学人员的代表人物有关工作，负责党委交办的其他港澳、对台工作。做好台办、侨联、海联会相关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绩效职责：做好港澳台胞、台属、归侨、侨眷和出国、归国留学人员的代表人物的联谊、慰问联系工作完成率达到60%；港澳台海外统战工作</w:t>
      </w:r>
      <w:r>
        <w:rPr>
          <w:rFonts w:ascii="宋体" w:hAnsi="宋体"/>
          <w:color w:val="000000"/>
          <w:szCs w:val="21"/>
        </w:rPr>
        <w:t>完成率</w:t>
      </w:r>
      <w:r>
        <w:rPr>
          <w:rFonts w:hint="eastAsia" w:ascii="宋体" w:hAnsi="宋体"/>
          <w:color w:val="000000"/>
          <w:szCs w:val="21"/>
        </w:rPr>
        <w:t>60%。</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4、非公经济统战工作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调查研究非公有制经济人士的情况，协调关系，提出政策建议，团结、服务、引导、教育非公有制经济人士，开展思想政治工作；负责非公经济领域统战工作的有关方针政策的调研并提出政策性建议，促进民营经济健康发展。会同有关部门推动智力支边扶贫工作，引导非公经济人士开展光彩事业。做好工商联执委增补相关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绩效职责：调查研究非公有制经济人士的情况，协调关系，提出政策建议完成率60%；促进非公有制经济健康发展和非公有制经济人士健康成长工作完成率达60%。</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5、党外知识分子统战工作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绩效目标：调查研究党外知识分子的情况，反映意见，协调关系，提出政策建议，联系党外知识分子代表人士。</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绩效职责：党外知识分子领域统战工作完成率达60%；组织新社会阶层代表人士和留学人员中代表人士开展统战工作的完成率60%。</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6、党外代表人士队伍建设工作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做好统战领域的工作，加强统战队伍建设，为统战对象服好务，负责党外人士的政治安排；会同有关部门做好党外人士担任政府和司法机关领导职务的相关工作；做好党外后备干部和新的代表人物队伍的建设工作；协助辖区民主党派、区工商联和区有关统战团体做好干部管理工作；协助有关部门管理、乡办统战委员。做好人大、政协换届、增补中的相关的工作。反映和解决党外代表人士工作生活中的实际困难。</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绩效职责：做好统战领域的工作，加强统战队伍建设，为统战对象服好务工作完成率达到60%。</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（二）统战事务管理</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1、综合业务管理</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绩效目标：综合调研统战理论政策；负责全区统战宣传和联络工作以及涉及统战各界人士的综合性工作。</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绩效职责：综合统战工作调研完成率60%；全区统战宣传、联系统一战线各界人士的完成率达60%。</w:t>
      </w:r>
    </w:p>
    <w:p>
      <w:pPr>
        <w:spacing w:before="100" w:beforeAutospacing="1" w:after="100" w:afterAutospacing="1" w:line="480" w:lineRule="exact"/>
        <w:ind w:firstLine="560"/>
        <w:rPr>
          <w:rFonts w:ascii="宋体" w:hAnsi="宋体"/>
          <w:color w:val="000000"/>
          <w:szCs w:val="21"/>
        </w:rPr>
      </w:pPr>
      <w:r>
        <w:rPr>
          <w:rFonts w:hint="eastAsia" w:ascii="宋体" w:hAnsi="宋体"/>
          <w:color w:val="000000"/>
          <w:szCs w:val="21"/>
        </w:rPr>
        <w:t>2、综合事物管理</w:t>
      </w:r>
    </w:p>
    <w:p>
      <w:pPr>
        <w:spacing w:before="100" w:beforeAutospacing="1" w:after="100" w:afterAutospacing="1" w:line="480" w:lineRule="exact"/>
        <w:ind w:firstLine="420" w:firstLineChars="200"/>
        <w:jc w:val="left"/>
        <w:rPr>
          <w:rFonts w:ascii="宋体" w:hAnsi="宋体"/>
          <w:color w:val="000000"/>
          <w:szCs w:val="21"/>
        </w:rPr>
      </w:pPr>
      <w:r>
        <w:rPr>
          <w:rFonts w:hint="eastAsia" w:ascii="宋体" w:hAnsi="宋体"/>
          <w:color w:val="000000"/>
          <w:szCs w:val="21"/>
        </w:rPr>
        <w:t>绩效目标：指导、联系辖区乡办等相关单位统战工作；完成省市统战部和区委交办的其他任务，机关人事、劳资、行政后勤、财务和资产管理工作。</w:t>
      </w:r>
    </w:p>
    <w:p>
      <w:pPr>
        <w:widowControl/>
        <w:spacing w:line="480" w:lineRule="exact"/>
        <w:ind w:firstLine="472" w:firstLineChars="225"/>
        <w:rPr>
          <w:rFonts w:ascii="宋体" w:hAnsi="宋体" w:cs="宋体"/>
          <w:color w:val="000000"/>
          <w:spacing w:val="15"/>
          <w:kern w:val="0"/>
          <w:szCs w:val="21"/>
        </w:rPr>
      </w:pPr>
      <w:r>
        <w:rPr>
          <w:rFonts w:hint="eastAsia" w:ascii="宋体" w:hAnsi="宋体"/>
          <w:color w:val="000000"/>
          <w:kern w:val="0"/>
          <w:szCs w:val="21"/>
        </w:rPr>
        <w:t>绩效职责：指导、联系辖区乡办等相关单位统战工作及交办工作完成率60%；综合事务工作完成率60%。</w:t>
      </w:r>
    </w:p>
    <w:p>
      <w:pPr>
        <w:jc w:val="center"/>
        <w:outlineLvl w:val="0"/>
        <w:rPr>
          <w:rFonts w:hint="eastAsia" w:ascii="宋体" w:hAnsi="宋体" w:cs="宋体"/>
          <w:b/>
          <w:szCs w:val="21"/>
        </w:rPr>
      </w:pPr>
      <w:r>
        <w:rPr>
          <w:rFonts w:hint="eastAsia" w:ascii="宋体" w:hAnsi="宋体" w:cs="宋体"/>
          <w:b/>
          <w:szCs w:val="21"/>
        </w:rPr>
        <w:t>部门职责-工作活动绩效目标</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213中共保定市满城区委统战部</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Cs w:val="21"/>
              </w:rPr>
            </w:pPr>
            <w:r>
              <w:rPr>
                <w:rFonts w:hint="eastAsia" w:ascii="宋体" w:hAnsi="宋体" w:cs="宋体"/>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hint="eastAsia" w:ascii="宋体" w:hAnsi="宋体" w:cs="宋体"/>
                <w:b/>
                <w:szCs w:val="21"/>
              </w:rPr>
            </w:pPr>
            <w:r>
              <w:rPr>
                <w:rFonts w:hint="eastAsia" w:ascii="宋体" w:hAnsi="宋体" w:cs="宋体"/>
                <w:b/>
                <w:szCs w:val="21"/>
              </w:rPr>
              <w:t>职责活动</w:t>
            </w:r>
          </w:p>
        </w:tc>
        <w:tc>
          <w:tcPr>
            <w:tcW w:w="1276" w:type="dxa"/>
            <w:vMerge w:val="restart"/>
            <w:noWrap w:val="0"/>
            <w:vAlign w:val="center"/>
          </w:tcPr>
          <w:p>
            <w:pPr>
              <w:spacing w:line="300" w:lineRule="exact"/>
              <w:jc w:val="center"/>
              <w:rPr>
                <w:rFonts w:hint="eastAsia" w:ascii="宋体" w:hAnsi="宋体" w:cs="宋体"/>
                <w:b/>
                <w:szCs w:val="21"/>
              </w:rPr>
            </w:pPr>
            <w:r>
              <w:rPr>
                <w:rFonts w:hint="eastAsia" w:ascii="宋体" w:hAnsi="宋体" w:cs="宋体"/>
                <w:b/>
                <w:szCs w:val="21"/>
              </w:rPr>
              <w:t>年度预算数</w:t>
            </w:r>
          </w:p>
        </w:tc>
        <w:tc>
          <w:tcPr>
            <w:tcW w:w="2976" w:type="dxa"/>
            <w:vMerge w:val="restart"/>
            <w:noWrap w:val="0"/>
            <w:vAlign w:val="center"/>
          </w:tcPr>
          <w:p>
            <w:pPr>
              <w:spacing w:line="300" w:lineRule="exact"/>
              <w:jc w:val="center"/>
              <w:rPr>
                <w:rFonts w:hint="eastAsia" w:ascii="宋体" w:hAnsi="宋体" w:cs="宋体"/>
                <w:b/>
                <w:szCs w:val="21"/>
              </w:rPr>
            </w:pPr>
            <w:r>
              <w:rPr>
                <w:rFonts w:hint="eastAsia" w:ascii="宋体" w:hAnsi="宋体" w:cs="宋体"/>
                <w:b/>
                <w:szCs w:val="21"/>
              </w:rPr>
              <w:t>内容描述</w:t>
            </w:r>
          </w:p>
        </w:tc>
        <w:tc>
          <w:tcPr>
            <w:tcW w:w="2976" w:type="dxa"/>
            <w:vMerge w:val="restart"/>
            <w:noWrap w:val="0"/>
            <w:vAlign w:val="center"/>
          </w:tcPr>
          <w:p>
            <w:pPr>
              <w:spacing w:line="300" w:lineRule="exact"/>
              <w:jc w:val="center"/>
              <w:rPr>
                <w:rFonts w:hint="eastAsia" w:ascii="宋体" w:hAnsi="宋体" w:cs="宋体"/>
                <w:b/>
                <w:szCs w:val="21"/>
              </w:rPr>
            </w:pPr>
            <w:r>
              <w:rPr>
                <w:rFonts w:hint="eastAsia" w:ascii="宋体" w:hAnsi="宋体" w:cs="宋体"/>
                <w:b/>
                <w:szCs w:val="21"/>
              </w:rPr>
              <w:t>绩效目标</w:t>
            </w:r>
          </w:p>
        </w:tc>
        <w:tc>
          <w:tcPr>
            <w:tcW w:w="1417" w:type="dxa"/>
            <w:vMerge w:val="restart"/>
            <w:noWrap w:val="0"/>
            <w:vAlign w:val="center"/>
          </w:tcPr>
          <w:p>
            <w:pPr>
              <w:spacing w:line="300" w:lineRule="exact"/>
              <w:jc w:val="center"/>
              <w:rPr>
                <w:rFonts w:hint="eastAsia" w:ascii="宋体" w:hAnsi="宋体" w:cs="宋体"/>
                <w:b/>
                <w:szCs w:val="21"/>
              </w:rPr>
            </w:pPr>
            <w:r>
              <w:rPr>
                <w:rFonts w:hint="eastAsia" w:ascii="宋体" w:hAnsi="宋体" w:cs="宋体"/>
                <w:b/>
                <w:szCs w:val="21"/>
              </w:rPr>
              <w:t>绩效指标</w:t>
            </w:r>
          </w:p>
        </w:tc>
        <w:tc>
          <w:tcPr>
            <w:tcW w:w="2948" w:type="dxa"/>
            <w:gridSpan w:val="4"/>
            <w:noWrap w:val="0"/>
            <w:vAlign w:val="center"/>
          </w:tcPr>
          <w:p>
            <w:pPr>
              <w:spacing w:line="300" w:lineRule="exact"/>
              <w:jc w:val="center"/>
              <w:rPr>
                <w:rFonts w:hint="eastAsia" w:ascii="宋体" w:hAnsi="宋体" w:cs="宋体"/>
                <w:b/>
                <w:szCs w:val="21"/>
              </w:rPr>
            </w:pPr>
            <w:r>
              <w:rPr>
                <w:rFonts w:hint="eastAsia" w:ascii="宋体" w:hAnsi="宋体" w:cs="宋体"/>
                <w:b/>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hint="eastAsia" w:ascii="宋体" w:hAnsi="宋体" w:cs="宋体"/>
                <w:szCs w:val="21"/>
              </w:rPr>
            </w:pPr>
          </w:p>
        </w:tc>
        <w:tc>
          <w:tcPr>
            <w:tcW w:w="1276" w:type="dxa"/>
            <w:vMerge w:val="continue"/>
            <w:noWrap w:val="0"/>
            <w:vAlign w:val="center"/>
          </w:tcPr>
          <w:p>
            <w:pPr>
              <w:spacing w:line="300" w:lineRule="exact"/>
              <w:jc w:val="left"/>
              <w:outlineLvl w:val="0"/>
              <w:rPr>
                <w:rFonts w:hint="eastAsia" w:ascii="宋体" w:hAnsi="宋体" w:cs="宋体"/>
                <w:szCs w:val="21"/>
              </w:rPr>
            </w:pPr>
          </w:p>
        </w:tc>
        <w:tc>
          <w:tcPr>
            <w:tcW w:w="2976" w:type="dxa"/>
            <w:vMerge w:val="continue"/>
            <w:noWrap w:val="0"/>
            <w:vAlign w:val="center"/>
          </w:tcPr>
          <w:p>
            <w:pPr>
              <w:spacing w:line="300" w:lineRule="exact"/>
              <w:jc w:val="left"/>
              <w:outlineLvl w:val="0"/>
              <w:rPr>
                <w:rFonts w:hint="eastAsia" w:ascii="宋体" w:hAnsi="宋体" w:cs="宋体"/>
                <w:szCs w:val="21"/>
              </w:rPr>
            </w:pPr>
          </w:p>
        </w:tc>
        <w:tc>
          <w:tcPr>
            <w:tcW w:w="2976" w:type="dxa"/>
            <w:vMerge w:val="continue"/>
            <w:noWrap w:val="0"/>
            <w:vAlign w:val="center"/>
          </w:tcPr>
          <w:p>
            <w:pPr>
              <w:spacing w:line="300" w:lineRule="exact"/>
              <w:jc w:val="left"/>
              <w:outlineLvl w:val="0"/>
              <w:rPr>
                <w:rFonts w:hint="eastAsia" w:ascii="宋体" w:hAnsi="宋体" w:cs="宋体"/>
                <w:szCs w:val="21"/>
              </w:rPr>
            </w:pPr>
          </w:p>
        </w:tc>
        <w:tc>
          <w:tcPr>
            <w:tcW w:w="1417" w:type="dxa"/>
            <w:vMerge w:val="continue"/>
            <w:noWrap w:val="0"/>
            <w:vAlign w:val="center"/>
          </w:tcPr>
          <w:p>
            <w:pPr>
              <w:spacing w:line="300" w:lineRule="exact"/>
              <w:jc w:val="left"/>
              <w:outlineLvl w:val="0"/>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优</w:t>
            </w:r>
          </w:p>
        </w:tc>
        <w:tc>
          <w:tcPr>
            <w:tcW w:w="737"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良</w:t>
            </w:r>
          </w:p>
        </w:tc>
        <w:tc>
          <w:tcPr>
            <w:tcW w:w="737"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中</w:t>
            </w:r>
          </w:p>
        </w:tc>
        <w:tc>
          <w:tcPr>
            <w:tcW w:w="737"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宋体" w:hAnsi="宋体" w:cs="宋体"/>
                <w:b/>
                <w:szCs w:val="21"/>
              </w:rPr>
            </w:pPr>
            <w:r>
              <w:rPr>
                <w:rFonts w:hint="eastAsia" w:ascii="宋体" w:hAnsi="宋体" w:cs="宋体"/>
                <w:b/>
                <w:szCs w:val="21"/>
              </w:rPr>
              <w:t>开展统战工作</w:t>
            </w:r>
          </w:p>
        </w:tc>
        <w:tc>
          <w:tcPr>
            <w:tcW w:w="1276" w:type="dxa"/>
            <w:noWrap w:val="0"/>
            <w:vAlign w:val="center"/>
          </w:tcPr>
          <w:p>
            <w:pPr>
              <w:spacing w:line="300" w:lineRule="exact"/>
              <w:jc w:val="left"/>
              <w:rPr>
                <w:rFonts w:hint="eastAsia" w:ascii="宋体" w:hAnsi="宋体" w:cs="宋体"/>
                <w:szCs w:val="21"/>
              </w:rPr>
            </w:pP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贯彻落实统一战线的理论、政策和法律法规，向党委全面反映统一战线情况，提出开展统一战线工作的意见和建议，检查执行情况，协调统一战线各方面的关系。</w:t>
            </w: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了解情况，掌握政策，协调关系，安排人事，增进共识，加强团结</w:t>
            </w:r>
          </w:p>
        </w:tc>
        <w:tc>
          <w:tcPr>
            <w:tcW w:w="1417" w:type="dxa"/>
            <w:noWrap w:val="0"/>
            <w:vAlign w:val="center"/>
          </w:tcPr>
          <w:p>
            <w:pPr>
              <w:spacing w:line="300" w:lineRule="exact"/>
              <w:jc w:val="left"/>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宋体" w:hAnsi="宋体" w:cs="宋体"/>
                <w:b/>
                <w:szCs w:val="21"/>
              </w:rPr>
            </w:pPr>
            <w:r>
              <w:rPr>
                <w:rFonts w:hint="eastAsia" w:ascii="宋体" w:hAnsi="宋体" w:cs="宋体"/>
                <w:b/>
                <w:szCs w:val="21"/>
              </w:rPr>
              <w:t>民主党派和无党派代表人士工作</w:t>
            </w:r>
          </w:p>
        </w:tc>
        <w:tc>
          <w:tcPr>
            <w:tcW w:w="1276" w:type="dxa"/>
            <w:vMerge w:val="restart"/>
            <w:noWrap w:val="0"/>
            <w:vAlign w:val="center"/>
          </w:tcPr>
          <w:p>
            <w:pPr>
              <w:spacing w:line="300" w:lineRule="exact"/>
              <w:jc w:val="left"/>
              <w:rPr>
                <w:rFonts w:hint="eastAsia" w:ascii="宋体" w:hAnsi="宋体" w:cs="宋体"/>
                <w:szCs w:val="21"/>
              </w:rPr>
            </w:pP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联系民主党派、无党派人士，贯彻做好民主党派和无党派人士工作的方针政策，支持民主党派无党派人士履行职责、发挥作用，支持、帮助民主党派和无党派人士加强自身建设。</w:t>
            </w: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进一步加强中国共产党领导的多党合作和政治协商制度建设，充分发挥民主党派职能作用，构建和谐政党关系</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提交政协会议议案数量</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≥4</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3</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2</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宋体" w:hAnsi="宋体" w:cs="宋体"/>
                <w:b/>
                <w:szCs w:val="21"/>
              </w:rPr>
            </w:pPr>
          </w:p>
        </w:tc>
        <w:tc>
          <w:tcPr>
            <w:tcW w:w="12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民主党派加强自身建设协助工作完成率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宋体" w:hAnsi="宋体" w:cs="宋体"/>
                <w:b/>
                <w:szCs w:val="21"/>
              </w:rPr>
            </w:pPr>
          </w:p>
        </w:tc>
        <w:tc>
          <w:tcPr>
            <w:tcW w:w="12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民主党派履行职能有关支持工作完成率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5" w:hRule="atLeast"/>
          <w:jc w:val="center"/>
        </w:trPr>
        <w:tc>
          <w:tcPr>
            <w:tcW w:w="2341" w:type="dxa"/>
            <w:noWrap w:val="0"/>
            <w:vAlign w:val="center"/>
          </w:tcPr>
          <w:p>
            <w:pPr>
              <w:spacing w:line="300" w:lineRule="exact"/>
              <w:jc w:val="left"/>
              <w:rPr>
                <w:rFonts w:hint="eastAsia" w:ascii="宋体" w:hAnsi="宋体" w:cs="宋体"/>
                <w:b/>
                <w:szCs w:val="21"/>
              </w:rPr>
            </w:pPr>
            <w:r>
              <w:rPr>
                <w:rFonts w:hint="eastAsia" w:ascii="宋体" w:hAnsi="宋体" w:cs="宋体"/>
                <w:b/>
                <w:szCs w:val="21"/>
              </w:rPr>
              <w:t>　　民族宗教统战工作</w:t>
            </w:r>
          </w:p>
        </w:tc>
        <w:tc>
          <w:tcPr>
            <w:tcW w:w="1276" w:type="dxa"/>
            <w:noWrap w:val="0"/>
            <w:vAlign w:val="center"/>
          </w:tcPr>
          <w:p>
            <w:pPr>
              <w:spacing w:line="300" w:lineRule="exact"/>
              <w:jc w:val="left"/>
              <w:rPr>
                <w:rFonts w:hint="eastAsia" w:ascii="宋体" w:hAnsi="宋体" w:cs="宋体"/>
                <w:szCs w:val="21"/>
              </w:rPr>
            </w:pP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涉密</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涉密</w:t>
            </w: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宋体" w:hAnsi="宋体" w:cs="宋体"/>
                <w:b/>
                <w:szCs w:val="21"/>
              </w:rPr>
            </w:pPr>
            <w:r>
              <w:rPr>
                <w:rFonts w:hint="eastAsia" w:ascii="宋体" w:hAnsi="宋体" w:cs="宋体"/>
                <w:b/>
                <w:szCs w:val="21"/>
              </w:rPr>
              <w:t>港澳台海外统战工作</w:t>
            </w:r>
          </w:p>
        </w:tc>
        <w:tc>
          <w:tcPr>
            <w:tcW w:w="1276" w:type="dxa"/>
            <w:vMerge w:val="restart"/>
            <w:noWrap w:val="0"/>
            <w:vAlign w:val="center"/>
          </w:tcPr>
          <w:p>
            <w:pPr>
              <w:spacing w:line="300" w:lineRule="exact"/>
              <w:jc w:val="left"/>
              <w:rPr>
                <w:rFonts w:hint="eastAsia" w:ascii="宋体" w:hAnsi="宋体" w:cs="宋体"/>
                <w:szCs w:val="21"/>
              </w:rPr>
            </w:pP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争取人心，凝聚、壮大爱国力量，为河北的对外开放和经济社会发展做贡献，为实现祖国统一大业服务。</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开展港澳台海外统一战线工作完成率</w:t>
            </w: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宋体" w:hAnsi="宋体" w:cs="宋体"/>
                <w:b/>
                <w:szCs w:val="21"/>
              </w:rPr>
            </w:pPr>
          </w:p>
        </w:tc>
        <w:tc>
          <w:tcPr>
            <w:tcW w:w="12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联系重点社团及代表人士工作完成率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宋体" w:hAnsi="宋体" w:cs="宋体"/>
                <w:b/>
                <w:szCs w:val="21"/>
              </w:rPr>
            </w:pPr>
            <w:r>
              <w:rPr>
                <w:rFonts w:hint="eastAsia" w:ascii="宋体" w:hAnsi="宋体" w:cs="宋体"/>
                <w:b/>
                <w:szCs w:val="21"/>
              </w:rPr>
              <w:t>非公经济统战工作</w:t>
            </w:r>
          </w:p>
        </w:tc>
        <w:tc>
          <w:tcPr>
            <w:tcW w:w="1276" w:type="dxa"/>
            <w:noWrap w:val="0"/>
            <w:vAlign w:val="center"/>
          </w:tcPr>
          <w:p>
            <w:pPr>
              <w:spacing w:line="300" w:lineRule="exact"/>
              <w:jc w:val="left"/>
              <w:rPr>
                <w:rFonts w:hint="eastAsia" w:ascii="宋体" w:hAnsi="宋体" w:cs="宋体"/>
                <w:szCs w:val="21"/>
              </w:rPr>
            </w:pP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调查研究非公有制经济人士的情况，协调关系，提出政策建议，团结、服务、引导、教育非公有制经济人士，开展思想政治工作。</w:t>
            </w: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促进非公有制经济健康发展和非公有制经济人士健康成长。</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活动开展次数</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≥4</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3</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2</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宋体" w:hAnsi="宋体" w:cs="宋体"/>
                <w:b/>
                <w:szCs w:val="21"/>
              </w:rPr>
            </w:pPr>
            <w:r>
              <w:rPr>
                <w:rFonts w:hint="eastAsia" w:ascii="宋体" w:hAnsi="宋体" w:cs="宋体"/>
                <w:b/>
                <w:szCs w:val="21"/>
              </w:rPr>
              <w:t>党外知识分子统战工作</w:t>
            </w:r>
          </w:p>
        </w:tc>
        <w:tc>
          <w:tcPr>
            <w:tcW w:w="1276" w:type="dxa"/>
            <w:vMerge w:val="restart"/>
            <w:noWrap w:val="0"/>
            <w:vAlign w:val="center"/>
          </w:tcPr>
          <w:p>
            <w:pPr>
              <w:spacing w:line="300" w:lineRule="exact"/>
              <w:jc w:val="left"/>
              <w:rPr>
                <w:rFonts w:hint="eastAsia" w:ascii="宋体" w:hAnsi="宋体" w:cs="宋体"/>
                <w:szCs w:val="21"/>
              </w:rPr>
            </w:pP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调查研究党外知识分子的情况，反映意见，协调关系，提出政策建议，联系党外知识分子代表人士。</w:t>
            </w: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政治引领，培养人才，建言献策，服务社会，联谊交友</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组织新社会阶层代表人士和留学人员中代表人士开展统战工作的完成率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宋体" w:hAnsi="宋体" w:cs="宋体"/>
                <w:b/>
                <w:szCs w:val="21"/>
              </w:rPr>
            </w:pPr>
          </w:p>
        </w:tc>
        <w:tc>
          <w:tcPr>
            <w:tcW w:w="12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传统领域统战工作完成率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宋体" w:hAnsi="宋体" w:cs="宋体"/>
                <w:b/>
                <w:szCs w:val="21"/>
              </w:rPr>
            </w:pPr>
            <w:r>
              <w:rPr>
                <w:rFonts w:hint="eastAsia" w:ascii="宋体" w:hAnsi="宋体" w:cs="宋体"/>
                <w:b/>
                <w:szCs w:val="21"/>
              </w:rPr>
              <w:t>党外代表人士队伍建设工作</w:t>
            </w:r>
          </w:p>
        </w:tc>
        <w:tc>
          <w:tcPr>
            <w:tcW w:w="1276" w:type="dxa"/>
            <w:vMerge w:val="restart"/>
            <w:noWrap w:val="0"/>
            <w:vAlign w:val="center"/>
          </w:tcPr>
          <w:p>
            <w:pPr>
              <w:spacing w:line="300" w:lineRule="exact"/>
              <w:jc w:val="left"/>
              <w:rPr>
                <w:rFonts w:hint="eastAsia" w:ascii="宋体" w:hAnsi="宋体" w:cs="宋体"/>
                <w:szCs w:val="21"/>
              </w:rPr>
            </w:pP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tc>
        <w:tc>
          <w:tcPr>
            <w:tcW w:w="2976" w:type="dxa"/>
            <w:vMerge w:val="restart"/>
            <w:noWrap w:val="0"/>
            <w:vAlign w:val="center"/>
          </w:tcPr>
          <w:p>
            <w:pPr>
              <w:spacing w:line="300" w:lineRule="exact"/>
              <w:jc w:val="left"/>
              <w:rPr>
                <w:rFonts w:hint="eastAsia" w:ascii="宋体" w:hAnsi="宋体" w:cs="宋体"/>
                <w:szCs w:val="21"/>
              </w:rPr>
            </w:pPr>
            <w:r>
              <w:rPr>
                <w:rFonts w:hint="eastAsia" w:ascii="宋体" w:hAnsi="宋体" w:cs="宋体"/>
                <w:szCs w:val="21"/>
              </w:rPr>
              <w:t>以政治坚定、业绩突出、群众认同为标准，建设一支数量充足、结构合理、素质优良、作用突出的党外代表人士队伍。增强党外干部政治把握能力、参政议政能力、组织领导能力、合作共事能力和解决自身问题能力。</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党外后备干部队伍建设工作完成率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宋体" w:hAnsi="宋体" w:cs="宋体"/>
                <w:b/>
                <w:szCs w:val="21"/>
              </w:rPr>
            </w:pPr>
          </w:p>
        </w:tc>
        <w:tc>
          <w:tcPr>
            <w:tcW w:w="12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党外代表人士政治安排工作完成率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宋体" w:hAnsi="宋体" w:cs="宋体"/>
                <w:b/>
                <w:szCs w:val="21"/>
              </w:rPr>
            </w:pPr>
          </w:p>
        </w:tc>
        <w:tc>
          <w:tcPr>
            <w:tcW w:w="12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2976" w:type="dxa"/>
            <w:vMerge w:val="continue"/>
            <w:noWrap w:val="0"/>
            <w:vAlign w:val="center"/>
          </w:tcPr>
          <w:p>
            <w:pPr>
              <w:spacing w:line="300" w:lineRule="exact"/>
              <w:jc w:val="left"/>
              <w:rPr>
                <w:rFonts w:hint="eastAsia" w:ascii="宋体" w:hAnsi="宋体" w:cs="宋体"/>
                <w:szCs w:val="21"/>
              </w:rPr>
            </w:pP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培训人员数量</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≥70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≥50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≥30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宋体" w:hAnsi="宋体" w:cs="宋体"/>
                <w:b/>
                <w:szCs w:val="21"/>
              </w:rPr>
            </w:pPr>
            <w:r>
              <w:rPr>
                <w:rFonts w:hint="eastAsia" w:ascii="宋体" w:hAnsi="宋体" w:cs="宋体"/>
                <w:b/>
                <w:szCs w:val="21"/>
              </w:rPr>
              <w:t>统战事务管理</w:t>
            </w:r>
          </w:p>
        </w:tc>
        <w:tc>
          <w:tcPr>
            <w:tcW w:w="1276" w:type="dxa"/>
            <w:noWrap w:val="0"/>
            <w:vAlign w:val="center"/>
          </w:tcPr>
          <w:p>
            <w:pPr>
              <w:spacing w:line="300" w:lineRule="exact"/>
              <w:jc w:val="left"/>
              <w:rPr>
                <w:rFonts w:hint="eastAsia" w:ascii="宋体" w:hAnsi="宋体" w:cs="宋体"/>
                <w:szCs w:val="21"/>
              </w:rPr>
            </w:pP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负责统战业务管理</w:t>
            </w: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年度各项工作任务圆满完成</w:t>
            </w:r>
          </w:p>
        </w:tc>
        <w:tc>
          <w:tcPr>
            <w:tcW w:w="1417" w:type="dxa"/>
            <w:noWrap w:val="0"/>
            <w:vAlign w:val="center"/>
          </w:tcPr>
          <w:p>
            <w:pPr>
              <w:spacing w:line="300" w:lineRule="exact"/>
              <w:jc w:val="left"/>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c>
          <w:tcPr>
            <w:tcW w:w="737" w:type="dxa"/>
            <w:noWrap w:val="0"/>
            <w:vAlign w:val="center"/>
          </w:tcPr>
          <w:p>
            <w:pPr>
              <w:spacing w:line="300" w:lineRule="exact"/>
              <w:jc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宋体" w:hAnsi="宋体" w:cs="宋体"/>
                <w:b/>
                <w:szCs w:val="21"/>
              </w:rPr>
            </w:pPr>
            <w:r>
              <w:rPr>
                <w:rFonts w:hint="eastAsia" w:ascii="宋体" w:hAnsi="宋体" w:cs="宋体"/>
                <w:b/>
                <w:szCs w:val="21"/>
              </w:rPr>
              <w:t>　　综合业务管理</w:t>
            </w:r>
          </w:p>
        </w:tc>
        <w:tc>
          <w:tcPr>
            <w:tcW w:w="1276" w:type="dxa"/>
            <w:noWrap w:val="0"/>
            <w:vAlign w:val="center"/>
          </w:tcPr>
          <w:p>
            <w:pPr>
              <w:spacing w:line="300" w:lineRule="exact"/>
              <w:jc w:val="left"/>
              <w:rPr>
                <w:rFonts w:hint="eastAsia" w:ascii="宋体" w:hAnsi="宋体" w:cs="宋体"/>
                <w:szCs w:val="21"/>
              </w:rPr>
            </w:pP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综合调研统战理论政策；负责全县统战宣传和联络工作以及涉及统战各界人士的综合性工作；领导、指导、联系、代管相关统战单位；完成省市统战部和县委交办的其他任务。</w:t>
            </w:r>
          </w:p>
        </w:tc>
        <w:tc>
          <w:tcPr>
            <w:tcW w:w="2976" w:type="dxa"/>
            <w:noWrap w:val="0"/>
            <w:vAlign w:val="center"/>
          </w:tcPr>
          <w:p>
            <w:pPr>
              <w:spacing w:line="300" w:lineRule="exact"/>
              <w:jc w:val="left"/>
              <w:rPr>
                <w:rFonts w:hint="eastAsia" w:ascii="宋体" w:hAnsi="宋体" w:cs="宋体"/>
                <w:szCs w:val="21"/>
              </w:rPr>
            </w:pPr>
            <w:r>
              <w:rPr>
                <w:rFonts w:hint="eastAsia" w:ascii="宋体" w:hAnsi="宋体" w:cs="宋体"/>
                <w:szCs w:val="21"/>
              </w:rPr>
              <w:t>做好统战宣传培训考察调研工作，提高统战工作科学化水平，扩大统一战线社会影响；密切联系统一战线各界人士，认真做好党外人士统战工作；完成省市统战部和县委交办的其他事项。</w:t>
            </w:r>
          </w:p>
        </w:tc>
        <w:tc>
          <w:tcPr>
            <w:tcW w:w="1417" w:type="dxa"/>
            <w:noWrap w:val="0"/>
            <w:vAlign w:val="center"/>
          </w:tcPr>
          <w:p>
            <w:pPr>
              <w:spacing w:line="300" w:lineRule="exact"/>
              <w:jc w:val="left"/>
              <w:rPr>
                <w:rFonts w:hint="eastAsia" w:ascii="宋体" w:hAnsi="宋体" w:cs="宋体"/>
                <w:szCs w:val="21"/>
              </w:rPr>
            </w:pPr>
            <w:r>
              <w:rPr>
                <w:rFonts w:hint="eastAsia" w:ascii="宋体" w:hAnsi="宋体" w:cs="宋体"/>
                <w:szCs w:val="21"/>
              </w:rPr>
              <w:t>综合业务管理工作完成率</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100%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≥95%</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≥90%</w:t>
            </w:r>
          </w:p>
        </w:tc>
        <w:tc>
          <w:tcPr>
            <w:tcW w:w="737" w:type="dxa"/>
            <w:noWrap w:val="0"/>
            <w:vAlign w:val="center"/>
          </w:tcPr>
          <w:p>
            <w:pPr>
              <w:spacing w:line="300" w:lineRule="exact"/>
              <w:jc w:val="center"/>
              <w:rPr>
                <w:rFonts w:hint="eastAsia" w:ascii="宋体" w:hAnsi="宋体" w:cs="宋体"/>
                <w:szCs w:val="21"/>
              </w:rPr>
            </w:pPr>
            <w:r>
              <w:rPr>
                <w:rFonts w:hint="eastAsia" w:ascii="宋体" w:hAnsi="宋体" w:cs="宋体"/>
                <w:szCs w:val="21"/>
              </w:rPr>
              <w:t>&lt;90%</w:t>
            </w:r>
          </w:p>
        </w:tc>
      </w:tr>
    </w:tbl>
    <w:p>
      <w:pPr>
        <w:spacing w:line="300" w:lineRule="exact"/>
        <w:jc w:val="left"/>
        <w:outlineLvl w:val="0"/>
        <w:rPr>
          <w:rFonts w:hint="eastAsia" w:ascii="宋体" w:hAnsi="宋体" w:cs="宋体"/>
          <w:szCs w:val="21"/>
        </w:rPr>
        <w:sectPr>
          <w:pgSz w:w="16839" w:h="11907" w:orient="landscape"/>
          <w:pgMar w:top="1020" w:right="1361" w:bottom="1020" w:left="1361" w:header="851" w:footer="992" w:gutter="0"/>
          <w:cols w:space="720" w:num="1"/>
          <w:docGrid w:type="lines" w:linePitch="312" w:charSpace="0"/>
        </w:sectPr>
      </w:pPr>
    </w:p>
    <w:bookmarkEnd w:id="0"/>
    <w:p>
      <w:pPr>
        <w:jc w:val="center"/>
        <w:outlineLvl w:val="0"/>
        <w:rPr>
          <w:rFonts w:hint="eastAsia" w:ascii="宋体" w:hAnsi="宋体" w:cs="宋体"/>
          <w:szCs w:val="21"/>
        </w:rPr>
      </w:pPr>
    </w:p>
    <w:p>
      <w:pPr>
        <w:jc w:val="center"/>
        <w:outlineLvl w:val="0"/>
        <w:rPr>
          <w:rFonts w:hint="eastAsia" w:ascii="宋体" w:hAnsi="宋体" w:cs="宋体"/>
          <w:szCs w:val="21"/>
        </w:rPr>
      </w:pPr>
    </w:p>
    <w:p>
      <w:pPr>
        <w:jc w:val="center"/>
        <w:outlineLvl w:val="0"/>
        <w:rPr>
          <w:rFonts w:hint="eastAsia" w:ascii="宋体" w:hAnsi="宋体" w:cs="宋体"/>
          <w:szCs w:val="21"/>
        </w:rPr>
      </w:pPr>
    </w:p>
    <w:p>
      <w:pPr>
        <w:widowControl/>
        <w:spacing w:before="100" w:beforeAutospacing="1" w:after="100" w:afterAutospacing="1" w:line="31" w:lineRule="atLeast"/>
        <w:ind w:firstLine="560"/>
        <w:jc w:val="left"/>
        <w:rPr>
          <w:rFonts w:hint="eastAsia" w:ascii="宋体" w:hAnsi="宋体" w:cs="仿宋"/>
          <w:b/>
          <w:bCs/>
          <w:kern w:val="0"/>
          <w:sz w:val="28"/>
          <w:szCs w:val="28"/>
        </w:rPr>
      </w:pPr>
      <w:r>
        <w:rPr>
          <w:rFonts w:hint="eastAsia" w:ascii="宋体" w:hAnsi="宋体" w:cs="仿宋"/>
          <w:b/>
          <w:bCs/>
          <w:kern w:val="0"/>
          <w:sz w:val="28"/>
          <w:szCs w:val="28"/>
          <w:lang w:eastAsia="zh-CN"/>
        </w:rPr>
        <w:t>三、</w:t>
      </w:r>
      <w:r>
        <w:rPr>
          <w:rFonts w:hint="eastAsia" w:ascii="宋体" w:hAnsi="宋体" w:cs="仿宋"/>
          <w:b/>
          <w:bCs/>
          <w:kern w:val="0"/>
          <w:sz w:val="28"/>
          <w:szCs w:val="28"/>
        </w:rPr>
        <w:t>工作保障措施</w:t>
      </w:r>
    </w:p>
    <w:p>
      <w:pPr>
        <w:spacing w:before="100" w:beforeAutospacing="1" w:after="100" w:afterAutospacing="1"/>
        <w:ind w:firstLine="420" w:firstLineChars="200"/>
        <w:rPr>
          <w:rFonts w:ascii="宋体" w:hAnsi="宋体"/>
          <w:szCs w:val="21"/>
        </w:rPr>
      </w:pPr>
      <w:r>
        <w:rPr>
          <w:rFonts w:hint="eastAsia" w:ascii="宋体" w:hAnsi="宋体"/>
          <w:szCs w:val="21"/>
        </w:rPr>
        <w:t>1、继续强化思想政治引领，不断提升统战工作效能，切实加强思想政治建设。</w:t>
      </w:r>
    </w:p>
    <w:p>
      <w:pPr>
        <w:spacing w:before="100" w:beforeAutospacing="1" w:after="100" w:afterAutospacing="1"/>
        <w:ind w:firstLine="420" w:firstLineChars="200"/>
        <w:rPr>
          <w:rFonts w:ascii="宋体" w:hAnsi="宋体"/>
          <w:szCs w:val="21"/>
        </w:rPr>
      </w:pPr>
      <w:r>
        <w:rPr>
          <w:rFonts w:hint="eastAsia" w:ascii="宋体" w:hAnsi="宋体"/>
          <w:szCs w:val="21"/>
        </w:rPr>
        <w:t>继续开展政治思想理论教育学习。引导各民主党派成员、无党派人士等统战对象深入学习十九</w:t>
      </w:r>
      <w:r>
        <w:rPr>
          <w:rFonts w:hint="eastAsia" w:ascii="宋体" w:hAnsi="宋体"/>
          <w:szCs w:val="21"/>
          <w:lang w:eastAsia="zh-CN"/>
        </w:rPr>
        <w:t>届</w:t>
      </w:r>
      <w:r>
        <w:rPr>
          <w:rFonts w:hint="eastAsia" w:ascii="宋体" w:hAnsi="宋体"/>
          <w:szCs w:val="21"/>
        </w:rPr>
        <w:t>四中全会有关精神，习近平新时代中国特色社会主义思想，传承弘扬老一辈政治信念和高尚情操；组织机关统战干部继续进行主题教育回头看 ，提高党员干部的思想政治站位，从而提升我们的统战工作效能。</w:t>
      </w:r>
    </w:p>
    <w:p>
      <w:pPr>
        <w:spacing w:before="100" w:beforeAutospacing="1" w:after="100" w:afterAutospacing="1"/>
        <w:ind w:firstLine="525" w:firstLineChars="250"/>
        <w:rPr>
          <w:rFonts w:ascii="宋体" w:hAnsi="宋体"/>
          <w:szCs w:val="21"/>
        </w:rPr>
      </w:pPr>
      <w:r>
        <w:rPr>
          <w:rFonts w:hint="eastAsia" w:ascii="宋体" w:hAnsi="宋体"/>
          <w:szCs w:val="21"/>
        </w:rPr>
        <w:t>2、继续深入开展民族宗教工作。</w:t>
      </w:r>
    </w:p>
    <w:p>
      <w:pPr>
        <w:spacing w:before="100" w:beforeAutospacing="1" w:after="100" w:afterAutospacing="1"/>
        <w:ind w:firstLine="420" w:firstLineChars="200"/>
        <w:rPr>
          <w:rFonts w:ascii="宋体" w:hAnsi="宋体"/>
          <w:szCs w:val="21"/>
        </w:rPr>
      </w:pPr>
      <w:r>
        <w:rPr>
          <w:rFonts w:hint="eastAsia" w:ascii="宋体" w:hAnsi="宋体"/>
          <w:szCs w:val="21"/>
        </w:rPr>
        <w:t>一是持续做好民族团结进步创建工作，</w:t>
      </w:r>
      <w:r>
        <w:rPr>
          <w:rFonts w:hint="eastAsia" w:ascii="宋体" w:hAnsi="宋体"/>
          <w:szCs w:val="21"/>
          <w:lang w:eastAsia="zh-CN"/>
        </w:rPr>
        <w:t>铸牢</w:t>
      </w:r>
      <w:r>
        <w:rPr>
          <w:rFonts w:hint="eastAsia" w:ascii="宋体" w:hAnsi="宋体"/>
          <w:szCs w:val="21"/>
        </w:rPr>
        <w:t>中华民族共同体意识，提升五个认同打造民族团结创建新基地，开拓创建新领域。团结带动我区各民族群众“像石榴子那样紧紧抱在一起”。在驻区高校和民族幼儿园打造新的民族团结进步创建基地。二是继续深入开展“党的政策好、民族一家亲”民族团结宣传月活动，以活动为平台，用多种形式为载体大力宣传民族团结。三是继续加强清真食品市场监管，实现部门联合巡查、联合查办“假清真”、“清真不清”等案件常态化，确保清真食品市场安全，维护少数民族群众合法权益。四是推行区委常委和区级分管领导包联宗教场所制度具体化实质化，建立宗教场所每半年向包联领导汇报制度，主要内容为汇报工作、反映情况，求得支持，请包联领导提出意见建议和工作指导，加深彼此了解。五是开展多层次培训，组织乡(镇)办统战委员、宗教场所负责人、和谐寺观教堂创建指导员到区内伯特利堂和外地宗教工作先进地区参观学习;积极争取名额，鼓励乡(镇、办)统战委员参加上级培训，提升他们对本地区宗教工作指导能力和创建水平。六是持续开展宗教领域整治工作，重点做好伊斯兰教“三化”基督教抵御滲透、佛道教商业化等重点领域工作，依法打击天主教地下势力和非法宗教活动，确保天主教敏感期平稳度过。</w:t>
      </w:r>
    </w:p>
    <w:p>
      <w:pPr>
        <w:spacing w:before="100" w:beforeAutospacing="1" w:after="100" w:afterAutospacing="1"/>
        <w:ind w:firstLine="420" w:firstLineChars="200"/>
        <w:rPr>
          <w:rFonts w:ascii="宋体" w:hAnsi="宋体"/>
          <w:szCs w:val="21"/>
        </w:rPr>
      </w:pPr>
      <w:r>
        <w:rPr>
          <w:rFonts w:hint="eastAsia" w:ascii="宋体" w:hAnsi="宋体"/>
          <w:szCs w:val="21"/>
        </w:rPr>
        <w:t>3、切实服务民营企业健康发展。将围绕市委十一届六次全会“1+9”决策部署，按照市工商联十六届三次执委会工作安排，继续做好企业家教育培训、“引进来、走出去”、“百企帮百村”、商协会改革发展等工作，努力为全区民营企业高质量发展贡献力量。（一）进一步加强工商联政治建设，着力服务民营企业高质量发展。（二）扎实推动“百企帮百村”精准扶贫行动。在市工商联指导下把引导民营企业参与精准脱贫和乡村振兴作为履行社会责任的主要内容，鼓励更多的民营企业参与到行动中来，集中力量对阜平、涞源开展帮扶，探索企业转型升级新途径。（三）积极构建“亲、清”政商关系，深化工商联和所属商会改革发展，强化“四好”商会建设，探索创新商会治理和运行模式，加强制度化规范化建设。加强“五好”县级工商联创建力度，充分发挥指导、引导和服务职能，提升工商联基层组织的服务能力。</w:t>
      </w:r>
    </w:p>
    <w:p>
      <w:pPr>
        <w:spacing w:before="100" w:beforeAutospacing="1" w:after="100" w:afterAutospacing="1"/>
        <w:ind w:firstLine="420" w:firstLineChars="200"/>
        <w:rPr>
          <w:rFonts w:ascii="宋体" w:hAnsi="宋体"/>
          <w:szCs w:val="21"/>
        </w:rPr>
      </w:pPr>
      <w:r>
        <w:rPr>
          <w:rFonts w:hint="eastAsia" w:ascii="宋体" w:hAnsi="宋体"/>
          <w:szCs w:val="21"/>
        </w:rPr>
        <w:t xml:space="preserve">4、加强合作，促进港澳台海外统一战线交流工作。全区侨务工作整体工作要创新突破，必须发挥好“侨创基地”教育基地作用。因此我们要加强学习侨务有关的法律法规，创新开展工作，合理搭建交流平台，促进我区的经济发展，为魅力满城做出更大贡献。具体要做好几点：1、推进建立完善东关街道河大社区“侨胞之家”、南关街道农大社区“侨胞之家”工作建设；2、积极推进工业园区耐斯智慧海“侨创基地”建设；以需求为导向，有针对性的为高层次侨界人士提供政策支持、居留便利等公共服务。3、采取政府高校联动方式，指导推动我辖区大学开展为侨公共服务示范单位建设工作，帮助协调各项涉侨政策落到实处。充分调动他们的专业才能、人脉资源和“侨海”背景优势，鼓励他们积极参政议政，为我区经济社会发展建言献策。       </w:t>
      </w:r>
    </w:p>
    <w:p>
      <w:pPr>
        <w:spacing w:before="100" w:beforeAutospacing="1" w:after="100" w:afterAutospacing="1"/>
        <w:ind w:firstLine="525" w:firstLineChars="250"/>
        <w:rPr>
          <w:rFonts w:ascii="宋体" w:hAnsi="宋体"/>
          <w:szCs w:val="21"/>
        </w:rPr>
      </w:pPr>
      <w:r>
        <w:rPr>
          <w:rFonts w:hint="eastAsia" w:ascii="宋体" w:hAnsi="宋体"/>
          <w:szCs w:val="21"/>
        </w:rPr>
        <w:t>5、做好新社会阶层人士统战工作和新时代知联会工作。第一、继续完善党外知识分子联谊会、新的社会阶层人工作机制，创办2-3个党外知识分子联谊会工作站、新的社会阶层人士之家。第二、进一步完善“耐斯•智慧海”的满城区党外知识分子联谊会教育实践基地、新的社会阶层人士联谊会教育之家建设。第三搞好满城区党外知识分子联谊会、新的社会阶层人士的专题教育培训活动。第四、搭建好满城区党外知识分子联谊会、新的社会阶层人士建言、献策平台。第五、大力推行满城区党外知识分子联谊会、新的社会阶层人士工作异地经验交流、借鉴活动。</w:t>
      </w:r>
    </w:p>
    <w:p>
      <w:pPr>
        <w:spacing w:before="100" w:beforeAutospacing="1" w:after="100" w:afterAutospacing="1"/>
        <w:ind w:firstLine="525" w:firstLineChars="250"/>
        <w:rPr>
          <w:rFonts w:ascii="宋体" w:hAnsi="宋体"/>
          <w:szCs w:val="21"/>
        </w:rPr>
      </w:pPr>
      <w:r>
        <w:rPr>
          <w:rFonts w:hint="eastAsia" w:ascii="宋体" w:hAnsi="宋体"/>
          <w:szCs w:val="21"/>
        </w:rPr>
        <w:t>6、继续加强统战干部队伍建设。一是加强机关干部队伍建设。积极向上级申请选派干部，从事大统战工作，充实工作力量，注入新鲜血液。二是建立严格干部管理机制，上下联动，使大统战工作层层协调联动模式。</w:t>
      </w:r>
    </w:p>
    <w:p>
      <w:pPr>
        <w:jc w:val="center"/>
        <w:outlineLvl w:val="0"/>
        <w:rPr>
          <w:rFonts w:hint="eastAsia" w:ascii="宋体" w:hAnsi="宋体" w:cs="宋体"/>
          <w:szCs w:val="21"/>
        </w:rPr>
      </w:pPr>
    </w:p>
    <w:p>
      <w:pPr>
        <w:jc w:val="center"/>
        <w:outlineLvl w:val="0"/>
        <w:rPr>
          <w:rFonts w:hint="eastAsia" w:ascii="宋体" w:hAnsi="宋体" w:cs="宋体"/>
          <w:szCs w:val="21"/>
        </w:rPr>
      </w:pPr>
      <w:r>
        <w:rPr>
          <w:rFonts w:hint="eastAsia" w:ascii="宋体" w:hAnsi="宋体" w:cs="宋体"/>
          <w:szCs w:val="21"/>
        </w:rPr>
        <w:t>第六部分：政府采购预算情况</w:t>
      </w:r>
    </w:p>
    <w:p>
      <w:pPr>
        <w:ind w:firstLine="420" w:firstLineChars="200"/>
        <w:jc w:val="left"/>
        <w:outlineLvl w:val="0"/>
        <w:rPr>
          <w:rFonts w:hint="eastAsia" w:ascii="宋体" w:hAnsi="宋体" w:cs="宋体"/>
          <w:szCs w:val="21"/>
        </w:rPr>
      </w:pPr>
      <w:r>
        <w:rPr>
          <w:rFonts w:hint="eastAsia" w:ascii="宋体" w:hAnsi="宋体" w:cs="宋体"/>
          <w:szCs w:val="21"/>
        </w:rPr>
        <w:t>2020年统战部无政府采购预算，空表列示。</w:t>
      </w:r>
    </w:p>
    <w:p>
      <w:pPr>
        <w:ind w:firstLine="420" w:firstLineChars="200"/>
        <w:jc w:val="left"/>
        <w:outlineLvl w:val="0"/>
        <w:rPr>
          <w:rFonts w:hint="eastAsia" w:ascii="宋体" w:hAnsi="宋体" w:cs="宋体"/>
          <w:szCs w:val="21"/>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jc w:val="center"/>
        <w:rPr>
          <w:rFonts w:hint="eastAsia" w:ascii="黑体" w:hAnsi="黑体" w:eastAsia="黑体"/>
          <w:sz w:val="32"/>
          <w:szCs w:val="32"/>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第七部分：国有资产信息情况说明</w:t>
      </w:r>
    </w:p>
    <w:p>
      <w:pPr>
        <w:rPr>
          <w:rFonts w:hint="eastAsia" w:ascii="宋体" w:hAnsi="宋体" w:cs="宋体"/>
          <w:szCs w:val="21"/>
        </w:rPr>
      </w:pPr>
      <w:r>
        <w:rPr>
          <w:rFonts w:hint="eastAsia" w:ascii="宋体" w:hAnsi="宋体" w:cs="宋体"/>
          <w:szCs w:val="21"/>
        </w:rPr>
        <w:t xml:space="preserve">  </w:t>
      </w:r>
    </w:p>
    <w:p>
      <w:pPr>
        <w:spacing w:line="520" w:lineRule="exact"/>
        <w:ind w:firstLine="420" w:firstLineChars="200"/>
        <w:rPr>
          <w:rFonts w:hint="eastAsia" w:ascii="宋体" w:hAnsi="宋体" w:cs="宋体"/>
          <w:szCs w:val="21"/>
        </w:rPr>
      </w:pPr>
      <w:r>
        <w:rPr>
          <w:rFonts w:hint="eastAsia" w:ascii="宋体" w:hAnsi="宋体" w:cs="宋体"/>
          <w:szCs w:val="21"/>
        </w:rPr>
        <w:t>中共保定市满城区委统战部2019年末固定资产总金额20.62万元（详见下表）。 2020年没有拟购置固定资产。</w:t>
      </w:r>
    </w:p>
    <w:tbl>
      <w:tblPr>
        <w:tblStyle w:val="8"/>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宋体" w:hAnsi="宋体" w:cs="宋体"/>
                <w:szCs w:val="21"/>
              </w:rPr>
            </w:pPr>
            <w:r>
              <w:rPr>
                <w:rFonts w:hint="eastAsia" w:ascii="宋体" w:hAnsi="宋体" w:cs="宋体"/>
                <w:szCs w:val="21"/>
              </w:rPr>
              <w:t>中共保定市满城区委统战部固定资产占用情况表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Cs w:val="21"/>
              </w:rPr>
            </w:pPr>
            <w:r>
              <w:rPr>
                <w:rFonts w:hint="eastAsia" w:ascii="宋体" w:hAnsi="宋体" w:cs="宋体"/>
                <w:bCs/>
                <w:color w:val="000000"/>
                <w:kern w:val="0"/>
                <w:szCs w:val="21"/>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Cs w:val="21"/>
              </w:rPr>
            </w:pPr>
            <w:r>
              <w:rPr>
                <w:rFonts w:hint="eastAsia" w:ascii="宋体" w:hAnsi="宋体" w:cs="宋体"/>
                <w:color w:val="000000"/>
                <w:kern w:val="0"/>
                <w:szCs w:val="21"/>
              </w:rPr>
              <w:t>20.62</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 xml:space="preserve">  1、车辆（台、辆）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18.28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 xml:space="preserve"> 2、单价在20万元以上的设备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 xml:space="preserve">  3、其他固定资产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2.335009</w:t>
            </w:r>
          </w:p>
        </w:tc>
      </w:tr>
    </w:tbl>
    <w:p>
      <w:pPr>
        <w:spacing w:line="520" w:lineRule="exact"/>
        <w:ind w:firstLine="420" w:firstLineChars="200"/>
        <w:jc w:val="center"/>
        <w:rPr>
          <w:rFonts w:hint="eastAsia" w:ascii="宋体" w:hAnsi="宋体" w:cs="宋体"/>
          <w:szCs w:val="21"/>
        </w:rPr>
      </w:pPr>
    </w:p>
    <w:p>
      <w:pPr>
        <w:spacing w:line="520" w:lineRule="exact"/>
        <w:jc w:val="center"/>
        <w:outlineLvl w:val="0"/>
        <w:rPr>
          <w:rFonts w:hint="eastAsia" w:ascii="宋体" w:hAnsi="宋体" w:cs="宋体"/>
          <w:szCs w:val="21"/>
        </w:rPr>
      </w:pPr>
    </w:p>
    <w:p>
      <w:pPr>
        <w:spacing w:line="520" w:lineRule="exact"/>
        <w:ind w:firstLine="420" w:firstLineChars="200"/>
        <w:jc w:val="left"/>
        <w:outlineLvl w:val="0"/>
        <w:rPr>
          <w:rFonts w:hint="eastAsia" w:ascii="宋体" w:hAnsi="宋体" w:cs="宋体"/>
          <w:szCs w:val="21"/>
        </w:rPr>
      </w:pPr>
    </w:p>
    <w:p>
      <w:pPr>
        <w:spacing w:line="500" w:lineRule="exact"/>
        <w:jc w:val="center"/>
        <w:outlineLvl w:val="0"/>
        <w:rPr>
          <w:rFonts w:hint="eastAsia" w:ascii="宋体" w:hAnsi="宋体" w:cs="宋体"/>
          <w:szCs w:val="21"/>
        </w:rPr>
      </w:pPr>
      <w:r>
        <w:rPr>
          <w:rFonts w:hint="eastAsia" w:ascii="宋体" w:hAnsi="宋体" w:cs="宋体"/>
          <w:szCs w:val="21"/>
        </w:rPr>
        <w:t>第八部分：名词解释</w:t>
      </w:r>
    </w:p>
    <w:p>
      <w:pPr>
        <w:spacing w:line="500" w:lineRule="exact"/>
        <w:jc w:val="center"/>
        <w:outlineLvl w:val="0"/>
        <w:rPr>
          <w:rFonts w:hint="eastAsia" w:ascii="宋体" w:hAnsi="宋体" w:cs="宋体"/>
          <w:b/>
          <w:szCs w:val="21"/>
        </w:rPr>
      </w:pPr>
    </w:p>
    <w:p>
      <w:pPr>
        <w:spacing w:line="500" w:lineRule="exact"/>
        <w:ind w:firstLine="422" w:firstLineChars="200"/>
        <w:jc w:val="left"/>
        <w:outlineLvl w:val="0"/>
        <w:rPr>
          <w:rFonts w:hint="eastAsia" w:ascii="宋体" w:hAnsi="宋体" w:cs="宋体"/>
          <w:szCs w:val="21"/>
        </w:rPr>
      </w:pPr>
      <w:r>
        <w:rPr>
          <w:rFonts w:hint="eastAsia" w:ascii="宋体" w:hAnsi="宋体" w:cs="宋体"/>
          <w:b/>
          <w:szCs w:val="21"/>
        </w:rPr>
        <w:t>1、财政拨款收入：</w:t>
      </w:r>
      <w:r>
        <w:rPr>
          <w:rFonts w:hint="eastAsia" w:ascii="宋体" w:hAnsi="宋体" w:cs="宋体"/>
          <w:szCs w:val="21"/>
        </w:rPr>
        <w:t>指区级财政当年拨付的资金。</w:t>
      </w:r>
    </w:p>
    <w:p>
      <w:pPr>
        <w:spacing w:line="500" w:lineRule="exact"/>
        <w:ind w:firstLine="422" w:firstLineChars="200"/>
        <w:jc w:val="left"/>
        <w:outlineLvl w:val="0"/>
        <w:rPr>
          <w:rFonts w:hint="eastAsia" w:ascii="宋体" w:hAnsi="宋体" w:cs="宋体"/>
          <w:szCs w:val="21"/>
        </w:rPr>
      </w:pPr>
      <w:r>
        <w:rPr>
          <w:rFonts w:hint="eastAsia" w:ascii="宋体" w:hAnsi="宋体" w:cs="宋体"/>
          <w:b/>
          <w:szCs w:val="21"/>
        </w:rPr>
        <w:t>2、其他收入：</w:t>
      </w:r>
      <w:r>
        <w:rPr>
          <w:rFonts w:hint="eastAsia" w:ascii="宋体" w:hAnsi="宋体" w:cs="宋体"/>
          <w:szCs w:val="21"/>
        </w:rPr>
        <w:t>指除上述“财政拨款收入”、“事业收入”等以外的收入。</w:t>
      </w:r>
    </w:p>
    <w:p>
      <w:pPr>
        <w:spacing w:line="500" w:lineRule="exact"/>
        <w:ind w:firstLine="422" w:firstLineChars="200"/>
        <w:jc w:val="left"/>
        <w:outlineLvl w:val="0"/>
        <w:rPr>
          <w:rFonts w:hint="eastAsia" w:ascii="宋体" w:hAnsi="宋体" w:cs="宋体"/>
          <w:szCs w:val="21"/>
        </w:rPr>
      </w:pPr>
      <w:r>
        <w:rPr>
          <w:rFonts w:hint="eastAsia" w:ascii="宋体" w:hAnsi="宋体" w:cs="宋体"/>
          <w:b/>
          <w:szCs w:val="21"/>
        </w:rPr>
        <w:t>3、基本支出：</w:t>
      </w:r>
      <w:r>
        <w:rPr>
          <w:rFonts w:hint="eastAsia" w:ascii="宋体" w:hAnsi="宋体" w:cs="宋体"/>
          <w:szCs w:val="21"/>
        </w:rPr>
        <w:t>指为保障机构正常运转、完成日常工作任务而发生的人员支出和公用支出。</w:t>
      </w:r>
    </w:p>
    <w:p>
      <w:pPr>
        <w:spacing w:line="500" w:lineRule="exact"/>
        <w:ind w:firstLine="422" w:firstLineChars="200"/>
        <w:jc w:val="left"/>
        <w:outlineLvl w:val="0"/>
        <w:rPr>
          <w:rFonts w:hint="eastAsia" w:ascii="宋体" w:hAnsi="宋体" w:cs="宋体"/>
          <w:szCs w:val="21"/>
        </w:rPr>
      </w:pPr>
      <w:r>
        <w:rPr>
          <w:rFonts w:hint="eastAsia" w:ascii="宋体" w:hAnsi="宋体" w:cs="宋体"/>
          <w:b/>
          <w:szCs w:val="21"/>
        </w:rPr>
        <w:t>4、项目支出：</w:t>
      </w:r>
      <w:r>
        <w:rPr>
          <w:rFonts w:hint="eastAsia" w:ascii="宋体" w:hAnsi="宋体" w:cs="宋体"/>
          <w:szCs w:val="21"/>
        </w:rPr>
        <w:t>指在基本支出之外为完成特定行政任务和事业发展目标所发生的支出。</w:t>
      </w:r>
    </w:p>
    <w:p>
      <w:pPr>
        <w:spacing w:line="500" w:lineRule="exact"/>
        <w:ind w:firstLine="422" w:firstLineChars="200"/>
        <w:jc w:val="left"/>
        <w:outlineLvl w:val="0"/>
        <w:rPr>
          <w:rFonts w:hint="eastAsia" w:ascii="宋体" w:hAnsi="宋体" w:cs="宋体"/>
          <w:szCs w:val="21"/>
        </w:rPr>
      </w:pPr>
      <w:r>
        <w:rPr>
          <w:rFonts w:hint="eastAsia" w:ascii="宋体" w:hAnsi="宋体" w:cs="宋体"/>
          <w:b/>
          <w:szCs w:val="21"/>
        </w:rPr>
        <w:t>5、“三公”经费：</w:t>
      </w:r>
      <w:r>
        <w:rPr>
          <w:rFonts w:hint="eastAsia" w:ascii="宋体" w:hAnsi="宋体" w:cs="宋体"/>
          <w:szCs w:val="21"/>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527" w:firstLineChars="250"/>
        <w:rPr>
          <w:rFonts w:hint="eastAsia" w:ascii="宋体" w:hAnsi="宋体" w:cs="宋体"/>
          <w:szCs w:val="21"/>
        </w:rPr>
      </w:pPr>
      <w:r>
        <w:rPr>
          <w:rFonts w:hint="eastAsia" w:ascii="宋体" w:hAnsi="宋体" w:cs="宋体"/>
          <w:b/>
          <w:szCs w:val="21"/>
        </w:rPr>
        <w:t>6、机关运行费：</w:t>
      </w:r>
      <w:r>
        <w:rPr>
          <w:rFonts w:hint="eastAsia" w:ascii="宋体" w:hAnsi="宋体" w:cs="宋体"/>
          <w:szCs w:val="21"/>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27" w:firstLineChars="250"/>
        <w:rPr>
          <w:rFonts w:hint="eastAsia" w:ascii="宋体" w:hAnsi="宋体" w:cs="宋体"/>
          <w:szCs w:val="21"/>
        </w:rPr>
      </w:pPr>
      <w:r>
        <w:rPr>
          <w:rFonts w:hint="eastAsia" w:ascii="宋体" w:hAnsi="宋体" w:cs="宋体"/>
          <w:b/>
          <w:szCs w:val="21"/>
        </w:rPr>
        <w:t>7、公务费：</w:t>
      </w:r>
      <w:r>
        <w:rPr>
          <w:rFonts w:hint="eastAsia" w:ascii="宋体" w:hAnsi="宋体" w:cs="宋体"/>
          <w:szCs w:val="21"/>
        </w:rPr>
        <w:t>包括办公费、水电费、邮电费、取暖费、交通费、一般会议费和物业管理费之和。</w:t>
      </w:r>
    </w:p>
    <w:p>
      <w:pPr>
        <w:spacing w:line="500" w:lineRule="exact"/>
        <w:ind w:firstLine="411" w:firstLineChars="196"/>
        <w:jc w:val="center"/>
        <w:outlineLvl w:val="0"/>
        <w:rPr>
          <w:rFonts w:hint="eastAsia" w:ascii="宋体" w:hAnsi="宋体" w:cs="宋体"/>
          <w:szCs w:val="21"/>
        </w:rPr>
      </w:pPr>
    </w:p>
    <w:p>
      <w:pPr>
        <w:spacing w:line="500" w:lineRule="exact"/>
        <w:jc w:val="center"/>
        <w:outlineLvl w:val="0"/>
        <w:rPr>
          <w:rFonts w:hint="eastAsia" w:ascii="宋体" w:hAnsi="宋体" w:cs="宋体"/>
          <w:szCs w:val="21"/>
        </w:rPr>
      </w:pPr>
      <w:r>
        <w:rPr>
          <w:rFonts w:hint="eastAsia" w:ascii="宋体" w:hAnsi="宋体" w:cs="宋体"/>
          <w:szCs w:val="21"/>
        </w:rPr>
        <w:t>第九部分：其他需说明的事项</w:t>
      </w:r>
    </w:p>
    <w:p>
      <w:pPr>
        <w:spacing w:line="500" w:lineRule="exact"/>
        <w:ind w:firstLine="829" w:firstLineChars="395"/>
        <w:jc w:val="left"/>
        <w:outlineLvl w:val="0"/>
        <w:rPr>
          <w:rFonts w:hint="eastAsia" w:ascii="宋体" w:hAnsi="宋体" w:cs="宋体"/>
          <w:szCs w:val="21"/>
        </w:rPr>
      </w:pPr>
    </w:p>
    <w:p>
      <w:pPr>
        <w:spacing w:line="500" w:lineRule="exact"/>
        <w:ind w:firstLine="420" w:firstLineChars="200"/>
        <w:jc w:val="left"/>
        <w:outlineLvl w:val="0"/>
        <w:rPr>
          <w:rFonts w:hint="eastAsia" w:ascii="宋体" w:hAnsi="宋体" w:cs="宋体"/>
          <w:szCs w:val="21"/>
        </w:rPr>
      </w:pPr>
      <w:r>
        <w:rPr>
          <w:rFonts w:hint="eastAsia" w:ascii="宋体" w:hAnsi="宋体" w:cs="宋体"/>
          <w:szCs w:val="21"/>
        </w:rPr>
        <w:t>无其他需说明的事项。</w:t>
      </w:r>
    </w:p>
    <w:p>
      <w:pPr>
        <w:ind w:firstLine="525" w:firstLineChars="250"/>
        <w:rPr>
          <w:rFonts w:hint="eastAsia" w:ascii="宋体" w:hAnsi="宋体" w:cs="宋体"/>
          <w:szCs w:val="21"/>
        </w:rPr>
      </w:pPr>
    </w:p>
    <w:p>
      <w:pPr>
        <w:rPr>
          <w:rFonts w:hint="eastAsia" w:ascii="宋体" w:hAnsi="宋体" w:cs="宋体"/>
          <w:szCs w:val="21"/>
        </w:rPr>
      </w:pPr>
      <w:r>
        <w:rPr>
          <w:rFonts w:hint="eastAsia" w:ascii="宋体" w:hAnsi="宋体" w:cs="宋体"/>
          <w:szCs w:val="21"/>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90649"/>
    <w:multiLevelType w:val="singleLevel"/>
    <w:tmpl w:val="030906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ZTAyZjQyZTA3OWQ3MTliMDI5ZTFkYzMwMzIwYzgifQ=="/>
  </w:docVars>
  <w:rsids>
    <w:rsidRoot w:val="00CB60A0"/>
    <w:rsid w:val="00000211"/>
    <w:rsid w:val="00012B0F"/>
    <w:rsid w:val="00027501"/>
    <w:rsid w:val="00041562"/>
    <w:rsid w:val="00055D38"/>
    <w:rsid w:val="00060E04"/>
    <w:rsid w:val="0007278A"/>
    <w:rsid w:val="00095F88"/>
    <w:rsid w:val="000B34B9"/>
    <w:rsid w:val="000C1F05"/>
    <w:rsid w:val="000D7B39"/>
    <w:rsid w:val="000E0ED8"/>
    <w:rsid w:val="000E5258"/>
    <w:rsid w:val="000E70BD"/>
    <w:rsid w:val="000F2552"/>
    <w:rsid w:val="000F517B"/>
    <w:rsid w:val="00101A80"/>
    <w:rsid w:val="00103B47"/>
    <w:rsid w:val="00107BFB"/>
    <w:rsid w:val="00111A67"/>
    <w:rsid w:val="001157C4"/>
    <w:rsid w:val="0013407A"/>
    <w:rsid w:val="00153E57"/>
    <w:rsid w:val="0015667A"/>
    <w:rsid w:val="00165822"/>
    <w:rsid w:val="00181696"/>
    <w:rsid w:val="001859C6"/>
    <w:rsid w:val="00193DCC"/>
    <w:rsid w:val="00197010"/>
    <w:rsid w:val="001B23DF"/>
    <w:rsid w:val="001C2686"/>
    <w:rsid w:val="001C4044"/>
    <w:rsid w:val="001E42EC"/>
    <w:rsid w:val="002042DF"/>
    <w:rsid w:val="002064A6"/>
    <w:rsid w:val="00245F9B"/>
    <w:rsid w:val="00277861"/>
    <w:rsid w:val="00280335"/>
    <w:rsid w:val="00280E47"/>
    <w:rsid w:val="002820E9"/>
    <w:rsid w:val="002A254E"/>
    <w:rsid w:val="002A2D21"/>
    <w:rsid w:val="002B5880"/>
    <w:rsid w:val="002C6748"/>
    <w:rsid w:val="002D4820"/>
    <w:rsid w:val="002D4851"/>
    <w:rsid w:val="002E7948"/>
    <w:rsid w:val="00326CE0"/>
    <w:rsid w:val="00332EED"/>
    <w:rsid w:val="0034678A"/>
    <w:rsid w:val="00355C8F"/>
    <w:rsid w:val="00364B26"/>
    <w:rsid w:val="0037153C"/>
    <w:rsid w:val="003772C6"/>
    <w:rsid w:val="0037794C"/>
    <w:rsid w:val="003923FF"/>
    <w:rsid w:val="003B1792"/>
    <w:rsid w:val="003B7BC9"/>
    <w:rsid w:val="003C5E7E"/>
    <w:rsid w:val="003D524A"/>
    <w:rsid w:val="004152E7"/>
    <w:rsid w:val="0041797A"/>
    <w:rsid w:val="004226CB"/>
    <w:rsid w:val="00430999"/>
    <w:rsid w:val="00432126"/>
    <w:rsid w:val="00450606"/>
    <w:rsid w:val="00453B31"/>
    <w:rsid w:val="00462BFF"/>
    <w:rsid w:val="00474A00"/>
    <w:rsid w:val="00475055"/>
    <w:rsid w:val="004755DD"/>
    <w:rsid w:val="00485D64"/>
    <w:rsid w:val="0049258C"/>
    <w:rsid w:val="00493109"/>
    <w:rsid w:val="004B46D2"/>
    <w:rsid w:val="004B65CB"/>
    <w:rsid w:val="004C4D0E"/>
    <w:rsid w:val="004D0FA7"/>
    <w:rsid w:val="004D7BFB"/>
    <w:rsid w:val="004D7FBB"/>
    <w:rsid w:val="004F0372"/>
    <w:rsid w:val="004F7499"/>
    <w:rsid w:val="00506EF7"/>
    <w:rsid w:val="005078A5"/>
    <w:rsid w:val="005217EF"/>
    <w:rsid w:val="00523598"/>
    <w:rsid w:val="005244FE"/>
    <w:rsid w:val="00546E02"/>
    <w:rsid w:val="005477A5"/>
    <w:rsid w:val="005620BB"/>
    <w:rsid w:val="00570168"/>
    <w:rsid w:val="005821CD"/>
    <w:rsid w:val="00583A3F"/>
    <w:rsid w:val="005875EB"/>
    <w:rsid w:val="00594ED3"/>
    <w:rsid w:val="005B36CF"/>
    <w:rsid w:val="005C321B"/>
    <w:rsid w:val="005C668C"/>
    <w:rsid w:val="005D2750"/>
    <w:rsid w:val="005D4C75"/>
    <w:rsid w:val="00620BF9"/>
    <w:rsid w:val="006238F8"/>
    <w:rsid w:val="006267D4"/>
    <w:rsid w:val="0063487B"/>
    <w:rsid w:val="006366FA"/>
    <w:rsid w:val="0063740A"/>
    <w:rsid w:val="00664D70"/>
    <w:rsid w:val="006835FA"/>
    <w:rsid w:val="006C3105"/>
    <w:rsid w:val="006D20BD"/>
    <w:rsid w:val="006D6061"/>
    <w:rsid w:val="00700AF5"/>
    <w:rsid w:val="007304E6"/>
    <w:rsid w:val="00733E04"/>
    <w:rsid w:val="00733E67"/>
    <w:rsid w:val="00734E26"/>
    <w:rsid w:val="00742AF8"/>
    <w:rsid w:val="00747EA9"/>
    <w:rsid w:val="00761AA7"/>
    <w:rsid w:val="00761B0E"/>
    <w:rsid w:val="00770D77"/>
    <w:rsid w:val="007C3325"/>
    <w:rsid w:val="007D0633"/>
    <w:rsid w:val="007D06DD"/>
    <w:rsid w:val="007E09DA"/>
    <w:rsid w:val="007E3316"/>
    <w:rsid w:val="007E3323"/>
    <w:rsid w:val="007F4960"/>
    <w:rsid w:val="007F50D2"/>
    <w:rsid w:val="00816DC4"/>
    <w:rsid w:val="00833515"/>
    <w:rsid w:val="00837790"/>
    <w:rsid w:val="008472F5"/>
    <w:rsid w:val="00853231"/>
    <w:rsid w:val="00855707"/>
    <w:rsid w:val="008655D6"/>
    <w:rsid w:val="00877B58"/>
    <w:rsid w:val="00881D86"/>
    <w:rsid w:val="00883EA2"/>
    <w:rsid w:val="008875A9"/>
    <w:rsid w:val="0089656B"/>
    <w:rsid w:val="008A5CDC"/>
    <w:rsid w:val="008D5125"/>
    <w:rsid w:val="008E42D3"/>
    <w:rsid w:val="008E7A80"/>
    <w:rsid w:val="008F54EE"/>
    <w:rsid w:val="00911344"/>
    <w:rsid w:val="0093004D"/>
    <w:rsid w:val="00936ED9"/>
    <w:rsid w:val="009454AA"/>
    <w:rsid w:val="00947FCF"/>
    <w:rsid w:val="00952279"/>
    <w:rsid w:val="009546B2"/>
    <w:rsid w:val="00966566"/>
    <w:rsid w:val="00977DA6"/>
    <w:rsid w:val="00986A49"/>
    <w:rsid w:val="009910E0"/>
    <w:rsid w:val="00992755"/>
    <w:rsid w:val="009A2781"/>
    <w:rsid w:val="009B38ED"/>
    <w:rsid w:val="009C0521"/>
    <w:rsid w:val="009C699D"/>
    <w:rsid w:val="009D6ACA"/>
    <w:rsid w:val="009E16AC"/>
    <w:rsid w:val="009E5FAA"/>
    <w:rsid w:val="009F179E"/>
    <w:rsid w:val="009F4E7B"/>
    <w:rsid w:val="00A03B9F"/>
    <w:rsid w:val="00A06E3B"/>
    <w:rsid w:val="00A1052F"/>
    <w:rsid w:val="00A16D22"/>
    <w:rsid w:val="00A66840"/>
    <w:rsid w:val="00A7420E"/>
    <w:rsid w:val="00A81EEB"/>
    <w:rsid w:val="00A94AC4"/>
    <w:rsid w:val="00AD2902"/>
    <w:rsid w:val="00AE1E44"/>
    <w:rsid w:val="00AF256C"/>
    <w:rsid w:val="00B16276"/>
    <w:rsid w:val="00B207A1"/>
    <w:rsid w:val="00B320A0"/>
    <w:rsid w:val="00B44AFA"/>
    <w:rsid w:val="00B45B2D"/>
    <w:rsid w:val="00B46537"/>
    <w:rsid w:val="00B51746"/>
    <w:rsid w:val="00B5436D"/>
    <w:rsid w:val="00B5730F"/>
    <w:rsid w:val="00B7328C"/>
    <w:rsid w:val="00B745D4"/>
    <w:rsid w:val="00B84A64"/>
    <w:rsid w:val="00B8632B"/>
    <w:rsid w:val="00B866BA"/>
    <w:rsid w:val="00BA079F"/>
    <w:rsid w:val="00BA4AE4"/>
    <w:rsid w:val="00BD48FA"/>
    <w:rsid w:val="00BD641C"/>
    <w:rsid w:val="00BD77F4"/>
    <w:rsid w:val="00BE2D2F"/>
    <w:rsid w:val="00BE5BB8"/>
    <w:rsid w:val="00BF5162"/>
    <w:rsid w:val="00BF61B8"/>
    <w:rsid w:val="00C02023"/>
    <w:rsid w:val="00C17DE3"/>
    <w:rsid w:val="00C3689C"/>
    <w:rsid w:val="00C43053"/>
    <w:rsid w:val="00C46F7D"/>
    <w:rsid w:val="00C51C06"/>
    <w:rsid w:val="00C67481"/>
    <w:rsid w:val="00C803F0"/>
    <w:rsid w:val="00C86F43"/>
    <w:rsid w:val="00CA742F"/>
    <w:rsid w:val="00CB60A0"/>
    <w:rsid w:val="00CC6EAD"/>
    <w:rsid w:val="00CE1D8A"/>
    <w:rsid w:val="00CF12F5"/>
    <w:rsid w:val="00CF1C55"/>
    <w:rsid w:val="00D048A8"/>
    <w:rsid w:val="00D155C8"/>
    <w:rsid w:val="00D26332"/>
    <w:rsid w:val="00D344F9"/>
    <w:rsid w:val="00D364CE"/>
    <w:rsid w:val="00D40E54"/>
    <w:rsid w:val="00D41703"/>
    <w:rsid w:val="00D500CD"/>
    <w:rsid w:val="00D520E9"/>
    <w:rsid w:val="00D55C67"/>
    <w:rsid w:val="00D64A8A"/>
    <w:rsid w:val="00D662D1"/>
    <w:rsid w:val="00D82A1A"/>
    <w:rsid w:val="00D92117"/>
    <w:rsid w:val="00DC36BC"/>
    <w:rsid w:val="00DD36BA"/>
    <w:rsid w:val="00DD4279"/>
    <w:rsid w:val="00DF08F9"/>
    <w:rsid w:val="00E07656"/>
    <w:rsid w:val="00E214DE"/>
    <w:rsid w:val="00E263CE"/>
    <w:rsid w:val="00E54661"/>
    <w:rsid w:val="00E5699D"/>
    <w:rsid w:val="00E56CA4"/>
    <w:rsid w:val="00E6451C"/>
    <w:rsid w:val="00EB4F74"/>
    <w:rsid w:val="00EC2EA4"/>
    <w:rsid w:val="00ED2511"/>
    <w:rsid w:val="00ED3A41"/>
    <w:rsid w:val="00ED78F4"/>
    <w:rsid w:val="00EF3BED"/>
    <w:rsid w:val="00F02138"/>
    <w:rsid w:val="00F529D8"/>
    <w:rsid w:val="00F65F33"/>
    <w:rsid w:val="00F66C9F"/>
    <w:rsid w:val="00F74519"/>
    <w:rsid w:val="00F841A4"/>
    <w:rsid w:val="00F92312"/>
    <w:rsid w:val="00FA3702"/>
    <w:rsid w:val="00FC644F"/>
    <w:rsid w:val="00FE6C6A"/>
    <w:rsid w:val="026631F1"/>
    <w:rsid w:val="04C43AB7"/>
    <w:rsid w:val="06633E7F"/>
    <w:rsid w:val="0BFD7782"/>
    <w:rsid w:val="0D503FFE"/>
    <w:rsid w:val="0DA360A0"/>
    <w:rsid w:val="0DF646FD"/>
    <w:rsid w:val="0E8638C6"/>
    <w:rsid w:val="0ED20A41"/>
    <w:rsid w:val="10DA59AA"/>
    <w:rsid w:val="12CF75C1"/>
    <w:rsid w:val="12E63300"/>
    <w:rsid w:val="1435621E"/>
    <w:rsid w:val="184A143F"/>
    <w:rsid w:val="1C433DA2"/>
    <w:rsid w:val="1E974011"/>
    <w:rsid w:val="1EB05178"/>
    <w:rsid w:val="206D039E"/>
    <w:rsid w:val="21BC12FD"/>
    <w:rsid w:val="2358777C"/>
    <w:rsid w:val="26960CC3"/>
    <w:rsid w:val="27C725D2"/>
    <w:rsid w:val="28C64991"/>
    <w:rsid w:val="29542045"/>
    <w:rsid w:val="2A3C5AA9"/>
    <w:rsid w:val="2D14173E"/>
    <w:rsid w:val="2DF97E18"/>
    <w:rsid w:val="2F7B0A67"/>
    <w:rsid w:val="316B6AB9"/>
    <w:rsid w:val="31AA4433"/>
    <w:rsid w:val="3348573B"/>
    <w:rsid w:val="35050095"/>
    <w:rsid w:val="39AD6336"/>
    <w:rsid w:val="3CC527AD"/>
    <w:rsid w:val="3DC22AA0"/>
    <w:rsid w:val="3F154BD1"/>
    <w:rsid w:val="3FA0003D"/>
    <w:rsid w:val="42E944B3"/>
    <w:rsid w:val="453A04DB"/>
    <w:rsid w:val="46230E90"/>
    <w:rsid w:val="47C6023A"/>
    <w:rsid w:val="49D304F0"/>
    <w:rsid w:val="4B4160EB"/>
    <w:rsid w:val="502D0577"/>
    <w:rsid w:val="523C21F9"/>
    <w:rsid w:val="52926494"/>
    <w:rsid w:val="56632DAB"/>
    <w:rsid w:val="56976D9E"/>
    <w:rsid w:val="579B15F5"/>
    <w:rsid w:val="5CAE29B1"/>
    <w:rsid w:val="5CB22BA7"/>
    <w:rsid w:val="5E6D4B8E"/>
    <w:rsid w:val="62D7154F"/>
    <w:rsid w:val="63C6517D"/>
    <w:rsid w:val="64214A80"/>
    <w:rsid w:val="685C0E7C"/>
    <w:rsid w:val="68AC6EA4"/>
    <w:rsid w:val="6AE56FCC"/>
    <w:rsid w:val="6BC876A4"/>
    <w:rsid w:val="708E2C59"/>
    <w:rsid w:val="70DA080D"/>
    <w:rsid w:val="73C44805"/>
    <w:rsid w:val="7ED637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2"/>
    <w:uiPriority w:val="0"/>
    <w:pPr>
      <w:spacing w:line="420" w:lineRule="exact"/>
      <w:ind w:firstLine="630"/>
    </w:pPr>
    <w:rPr>
      <w:rFonts w:eastAsia="仿宋_GB2312"/>
      <w:sz w:val="32"/>
      <w:szCs w:val="24"/>
    </w:rPr>
  </w:style>
  <w:style w:type="paragraph" w:styleId="3">
    <w:name w:val="Balloon Text"/>
    <w:basedOn w:val="1"/>
    <w:link w:val="13"/>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kern w:val="0"/>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qFormat/>
    <w:uiPriority w:val="99"/>
  </w:style>
  <w:style w:type="character" w:customStyle="1" w:styleId="12">
    <w:name w:val="正文文本缩进 Char"/>
    <w:link w:val="2"/>
    <w:uiPriority w:val="0"/>
    <w:rPr>
      <w:rFonts w:ascii="Times New Roman" w:hAnsi="Times New Roman" w:eastAsia="仿宋_GB2312"/>
      <w:kern w:val="2"/>
      <w:sz w:val="32"/>
      <w:szCs w:val="24"/>
    </w:rPr>
  </w:style>
  <w:style w:type="character" w:customStyle="1" w:styleId="13">
    <w:name w:val="批注框文本 Char"/>
    <w:link w:val="3"/>
    <w:semiHidden/>
    <w:qFormat/>
    <w:uiPriority w:val="99"/>
    <w:rPr>
      <w:kern w:val="2"/>
      <w:sz w:val="18"/>
      <w:szCs w:val="18"/>
    </w:rPr>
  </w:style>
  <w:style w:type="character" w:customStyle="1" w:styleId="14">
    <w:name w:val="页脚 Char"/>
    <w:link w:val="4"/>
    <w:uiPriority w:val="99"/>
    <w:rPr>
      <w:sz w:val="18"/>
      <w:szCs w:val="18"/>
    </w:rPr>
  </w:style>
  <w:style w:type="character" w:customStyle="1" w:styleId="15">
    <w:name w:val="页眉 Char"/>
    <w:link w:val="5"/>
    <w:uiPriority w:val="99"/>
    <w:rPr>
      <w:sz w:val="18"/>
      <w:szCs w:val="18"/>
    </w:rPr>
  </w:style>
  <w:style w:type="paragraph" w:styleId="16">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7">
    <w:name w:val="[Normal]"/>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7370</Words>
  <Characters>7649</Characters>
  <Lines>58</Lines>
  <Paragraphs>16</Paragraphs>
  <TotalTime>2</TotalTime>
  <ScaleCrop>false</ScaleCrop>
  <LinksUpToDate>false</LinksUpToDate>
  <CharactersWithSpaces>7753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2021-05-28T12:05:00Z</dcterms:created>
  <dc:creator>suix</dc:creator>
  <cp:lastModifiedBy>纯真天使</cp:lastModifiedBy>
  <cp:lastPrinted>2017-06-21T08:26:00Z</cp:lastPrinted>
  <dcterms:modified xsi:type="dcterms:W3CDTF">2023-11-08T01:39:09Z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AE3EB620C8BC428C8090675682419001</vt:lpwstr>
  </property>
</Properties>
</file>