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p>
    <w:p>
      <w:pPr>
        <w:jc w:val="center"/>
        <w:rPr>
          <w:rFonts w:ascii="宋体" w:hAnsi="宋体"/>
          <w:b/>
          <w:sz w:val="44"/>
          <w:szCs w:val="44"/>
        </w:rPr>
      </w:pPr>
      <w:bookmarkStart w:id="5" w:name="_GoBack"/>
      <w:bookmarkEnd w:id="5"/>
      <w:r>
        <w:rPr>
          <w:rFonts w:hint="eastAsia" w:ascii="宋体" w:hAnsi="宋体"/>
          <w:b/>
          <w:sz w:val="44"/>
          <w:szCs w:val="44"/>
        </w:rPr>
        <w:t>中共保定市满城区委网络安全和信息化委员会办公室</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按照《</w:t>
      </w:r>
      <w:r>
        <w:rPr>
          <w:rFonts w:hint="eastAsia" w:ascii="仿宋_GB2312" w:hAnsi="宋体" w:eastAsia="仿宋_GB2312" w:cs="仿宋_GB2312"/>
          <w:sz w:val="32"/>
          <w:szCs w:val="32"/>
          <w:lang w:val="en-US" w:eastAsia="zh-CN"/>
        </w:rPr>
        <w:t>中华人民共和国</w:t>
      </w:r>
      <w:r>
        <w:rPr>
          <w:rFonts w:hint="eastAsia" w:ascii="仿宋_GB2312" w:hAnsi="宋体" w:eastAsia="仿宋_GB2312" w:cs="仿宋_GB2312"/>
          <w:sz w:val="32"/>
          <w:szCs w:val="32"/>
        </w:rPr>
        <w:t>预算法》、</w:t>
      </w:r>
      <w:r>
        <w:rPr>
          <w:rFonts w:hint="eastAsia" w:ascii="仿宋_GB2312" w:hAnsi="宋体" w:eastAsia="仿宋_GB2312"/>
          <w:sz w:val="32"/>
          <w:szCs w:val="32"/>
        </w:rPr>
        <w:t>《地方预决算公开操作规程》和《河北省省级预算公开办法》</w:t>
      </w:r>
      <w:r>
        <w:rPr>
          <w:rFonts w:hint="eastAsia" w:ascii="仿宋_GB2312" w:hAnsi="宋体" w:eastAsia="仿宋_GB2312" w:cs="仿宋_GB2312"/>
          <w:sz w:val="32"/>
          <w:szCs w:val="32"/>
        </w:rPr>
        <w:t>规定，现将满城区网信办2020年部门预算公开如下：</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一、部门职责</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1.负责处理区委网络安全和信息化委员会日常事务工作，协调督促有关方面落实委员会的有关决定和要求，督促落实涉及全区各个领域网络安全和信息化重要事项。</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2.贯彻执行互联网信息传播方针政策和法规；组织开展全区各个领域的网络安全和信息化重大问题研究；协调研究起草全区网络安全和信息化发展规划和重大政策，统筹推进全区网络安全和信息化法治、标准建设。</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3.统筹协调全区网络安全保障体系和可信体系建设，牵头协调有关部门制定相关行业网络安全规划及保障评价指标体系，协调信息安全保护工作；指导协调全区党政部门、重点行业网络安全保障和信息化工作，协调推动网络安全和信息化核心技术、关键设备等重大科技攻关，统筹指导全区网络安全和信息化推进工作；协调推动全区公共服务和社会治理信息化；统筹协调各行业主管部门加强全区网络安全信息共享和通报工作、做好网络安全和信息化重大突发事件与有关应急工作。</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4.负责全区互联网信息内容管理，统筹组织协调互联网宣传管理和舆论引导工作，组织开展网上评论，指导推动网络评论队伍建设，维护互联网意识形态安全；研究拟订互联网信息传播相关政策；负责互联网信息内容监督管理执法、组织开展网络舆论生态治理，依法指导和管理本区属地网站，会同有关部门处置和封堵网上有害信息，依照相关法律和规定查处违法违规行为和网站。负责指导协调全区网络舆情信息工作，收集、分析、研判、报送和处置网络舆情信息，依法规范舆情服务市场。组织开展互联网违法和不良信息举报工作。</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5.推动全区网络阵地建设和重点新闻网站规划建设，指导协调网络游戏、网络视听、网络出版等相关业务，推动移动互联网发展，会同有关部门推动传统媒体与新兴媒体融合发展；负责全区网站转载新闻稿源的管理。</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6.推动全区网络社会工作和网络文化、网络文明建设；发展、联系、服务网络社会组织，指导互联网行业自律，推进网站党建工作；组织开展相关领域国内国际交流与合作。</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7.落实国家互联网信息服务资本准入和信息网络行业安全审查的有关政策</w:t>
      </w:r>
      <w:r>
        <w:rPr>
          <w:rFonts w:ascii="仿宋_GB2312" w:hAnsi="仿宋_GB2312" w:eastAsia="仿宋_GB2312" w:cs="仿宋_GB2312"/>
          <w:snapToGrid w:val="0"/>
          <w:spacing w:val="-8"/>
          <w:sz w:val="32"/>
          <w:szCs w:val="32"/>
        </w:rPr>
        <w:t>;</w:t>
      </w:r>
      <w:r>
        <w:rPr>
          <w:rFonts w:hint="eastAsia" w:ascii="仿宋_GB2312" w:hAnsi="仿宋_GB2312" w:eastAsia="仿宋_GB2312" w:cs="仿宋_GB2312"/>
          <w:snapToGrid w:val="0"/>
          <w:spacing w:val="-8"/>
          <w:sz w:val="32"/>
          <w:szCs w:val="32"/>
        </w:rPr>
        <w:t>依法负责全区网络新闻业务和论坛、博客、搜索引擎等具有新闻舆论及社会动员功能业务的日常监管；指导协调有关部门推进新技术新应用安全评估，统筹协调全区移动互联网管理。</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8.负责指导推进全区信息化工作，协调信息化建设中的重大问题，协助推进重大信息化工程；拟订全区信息化和电子政务发展规划，负责全区电子政务统筹建设和管理工作，协调推动跨行业、跨部门的互联互通；组织协调规划党政机关网规划建设；会同有关部门推进智慧城市建设；负责协调推动跨行业、跨部门的互联互通，推动重要信息资源的开发利用、共享。</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9.组织开展网信系统干部教育培训和人才队伍建设，规划指导全区互联网信息服务从业人员教育培训和考评工作，组织开展网络媒介素养教育；指导、检查各乡镇和有关部门网络安全和信息化工作，协调推动建立统一高效的网络安全风险报告机制、情报共享机制、研判处置机制。</w:t>
      </w:r>
    </w:p>
    <w:p>
      <w:pPr>
        <w:spacing w:line="600" w:lineRule="exact"/>
        <w:ind w:firstLine="608" w:firstLineChars="200"/>
        <w:rPr>
          <w:rFonts w:ascii="仿宋_GB2312" w:hAnsi="仿宋_GB2312" w:eastAsia="仿宋_GB2312" w:cs="仿宋_GB2312"/>
          <w:snapToGrid w:val="0"/>
          <w:spacing w:val="-8"/>
          <w:sz w:val="32"/>
          <w:szCs w:val="32"/>
        </w:rPr>
      </w:pPr>
      <w:r>
        <w:rPr>
          <w:rFonts w:hint="eastAsia" w:ascii="仿宋_GB2312" w:hAnsi="仿宋_GB2312" w:eastAsia="仿宋_GB2312" w:cs="仿宋_GB2312"/>
          <w:snapToGrid w:val="0"/>
          <w:spacing w:val="-8"/>
          <w:sz w:val="32"/>
          <w:szCs w:val="32"/>
        </w:rPr>
        <w:t>10.完成市委网络安全和信息化委员会办公室（市互联网信息办公室）和区委、区政府及区委网络安全和信息化委员会、区委宣传部交办的其他任务。</w:t>
      </w:r>
    </w:p>
    <w:p>
      <w:pPr>
        <w:spacing w:line="600" w:lineRule="exact"/>
        <w:ind w:firstLine="640" w:firstLineChars="200"/>
        <w:rPr>
          <w:rFonts w:ascii="仿宋_GB2312" w:eastAsia="仿宋_GB2312"/>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p>
      <w:pPr>
        <w:jc w:val="center"/>
        <w:rPr>
          <w:rFonts w:ascii="仿宋_GB2312" w:hAnsi="仿宋" w:eastAsia="仿宋_GB2312" w:cs="仿宋_GB2312"/>
          <w:sz w:val="32"/>
          <w:szCs w:val="32"/>
        </w:rPr>
      </w:pPr>
      <w:r>
        <w:rPr>
          <w:rFonts w:hint="eastAsia" w:ascii="仿宋_GB2312" w:hAnsi="仿宋" w:eastAsia="仿宋_GB2312" w:cs="仿宋_GB2312"/>
          <w:sz w:val="32"/>
          <w:szCs w:val="32"/>
        </w:rPr>
        <w:t>部门机构设置情况</w:t>
      </w:r>
    </w:p>
    <w:tbl>
      <w:tblPr>
        <w:tblStyle w:val="7"/>
        <w:tblW w:w="10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1994"/>
        <w:gridCol w:w="23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111" w:type="dxa"/>
            <w:noWrap w:val="0"/>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单位名称</w:t>
            </w:r>
          </w:p>
        </w:tc>
        <w:tc>
          <w:tcPr>
            <w:tcW w:w="1994" w:type="dxa"/>
            <w:noWrap w:val="0"/>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单位性质</w:t>
            </w:r>
          </w:p>
        </w:tc>
        <w:tc>
          <w:tcPr>
            <w:tcW w:w="2356" w:type="dxa"/>
            <w:noWrap w:val="0"/>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单位规格</w:t>
            </w:r>
          </w:p>
        </w:tc>
        <w:tc>
          <w:tcPr>
            <w:tcW w:w="2356" w:type="dxa"/>
            <w:noWrap w:val="0"/>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1" w:type="dxa"/>
            <w:noWrap w:val="0"/>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中共保定市满城区委网络安全和信息化委员会办公室</w:t>
            </w:r>
          </w:p>
        </w:tc>
        <w:tc>
          <w:tcPr>
            <w:tcW w:w="1994" w:type="dxa"/>
            <w:noWrap w:val="0"/>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行政</w:t>
            </w:r>
          </w:p>
        </w:tc>
        <w:tc>
          <w:tcPr>
            <w:tcW w:w="2356" w:type="dxa"/>
            <w:noWrap w:val="0"/>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正科级</w:t>
            </w:r>
          </w:p>
        </w:tc>
        <w:tc>
          <w:tcPr>
            <w:tcW w:w="2356" w:type="dxa"/>
            <w:noWrap w:val="0"/>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财政拨款</w:t>
            </w:r>
          </w:p>
        </w:tc>
      </w:tr>
    </w:tbl>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第二部分：部门预算安排的总体情况</w:t>
      </w:r>
    </w:p>
    <w:p>
      <w:pPr>
        <w:ind w:firstLine="627" w:firstLineChars="196"/>
        <w:rPr>
          <w:rFonts w:ascii="黑体" w:hAnsi="黑体" w:eastAsia="黑体"/>
          <w:sz w:val="32"/>
          <w:szCs w:val="32"/>
        </w:rPr>
      </w:pPr>
      <w:r>
        <w:rPr>
          <w:rFonts w:hint="eastAsia" w:ascii="黑体" w:hAnsi="黑体" w:eastAsia="黑体"/>
          <w:sz w:val="32"/>
          <w:szCs w:val="32"/>
        </w:rPr>
        <w:t>一、收入说明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2020年网信办年初部门收入预算总额为72.63万元。其中：一般公共预算收入72.63万元。</w:t>
      </w:r>
    </w:p>
    <w:p>
      <w:pPr>
        <w:ind w:firstLine="643" w:firstLineChars="200"/>
        <w:rPr>
          <w:rFonts w:ascii="宋体" w:hAnsi="宋体"/>
          <w:b/>
          <w:sz w:val="32"/>
          <w:szCs w:val="32"/>
        </w:rPr>
      </w:pPr>
      <w:r>
        <w:rPr>
          <w:rFonts w:hint="eastAsia" w:ascii="宋体" w:hAnsi="宋体"/>
          <w:b/>
          <w:sz w:val="32"/>
          <w:szCs w:val="32"/>
        </w:rPr>
        <w:t>二、支出说明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2020年部门支出安排预算总额：72.63万元。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其中：人员经费49.33万元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日常公用经费8.3万元</w:t>
      </w:r>
    </w:p>
    <w:p>
      <w:pPr>
        <w:pStyle w:val="2"/>
        <w:rPr>
          <w:rFonts w:eastAsia="仿宋_GB2312"/>
        </w:rPr>
      </w:pPr>
      <w:r>
        <w:rPr>
          <w:rFonts w:hint="eastAsia" w:ascii="仿宋_GB2312" w:hAnsi="宋体" w:eastAsia="仿宋_GB2312"/>
          <w:sz w:val="32"/>
          <w:szCs w:val="32"/>
        </w:rPr>
        <w:t xml:space="preserve">          年初项目15万元</w:t>
      </w:r>
    </w:p>
    <w:p>
      <w:pPr>
        <w:ind w:firstLine="630" w:firstLineChars="196"/>
        <w:rPr>
          <w:rFonts w:ascii="宋体" w:hAnsi="宋体"/>
          <w:b/>
          <w:sz w:val="32"/>
          <w:szCs w:val="32"/>
        </w:rPr>
      </w:pPr>
      <w:r>
        <w:rPr>
          <w:rFonts w:hint="eastAsia" w:ascii="宋体" w:hAnsi="宋体"/>
          <w:b/>
          <w:sz w:val="32"/>
          <w:szCs w:val="32"/>
        </w:rPr>
        <w:t>三、比上年增减情况</w:t>
      </w:r>
    </w:p>
    <w:p>
      <w:pPr>
        <w:tabs>
          <w:tab w:val="left" w:pos="916"/>
        </w:tabs>
        <w:spacing w:line="560" w:lineRule="exact"/>
        <w:ind w:firstLine="640" w:firstLineChars="200"/>
        <w:jc w:val="left"/>
        <w:rPr>
          <w:rFonts w:ascii="仿宋_GB2312" w:hAnsi="仿宋" w:eastAsia="仿宋_GB2312"/>
          <w:sz w:val="32"/>
          <w:szCs w:val="32"/>
        </w:rPr>
      </w:pPr>
      <w:r>
        <w:rPr>
          <w:rFonts w:hint="eastAsia" w:ascii="仿宋_GB2312" w:hAnsi="宋体" w:eastAsia="仿宋_GB2312" w:cs="宋体"/>
          <w:kern w:val="0"/>
          <w:sz w:val="32"/>
          <w:szCs w:val="32"/>
        </w:rPr>
        <w:t>2019年网信办无预算收支安排，</w:t>
      </w:r>
      <w:r>
        <w:rPr>
          <w:rFonts w:hint="eastAsia" w:ascii="仿宋_GB2312" w:hAnsi="仿宋" w:eastAsia="仿宋_GB2312"/>
          <w:sz w:val="32"/>
          <w:szCs w:val="32"/>
        </w:rPr>
        <w:t>2020年我办的各项支出将以全面贯彻党和国家有关政策、认真遵守财经纪律为准则，严格按预算规定的标准、用途执行，做到经费按进度，专款专用，力争全面提高资金的使用效率。</w:t>
      </w:r>
    </w:p>
    <w:p>
      <w:pPr>
        <w:spacing w:line="500" w:lineRule="exact"/>
        <w:ind w:firstLine="630" w:firstLineChars="196"/>
        <w:jc w:val="left"/>
        <w:outlineLvl w:val="0"/>
        <w:rPr>
          <w:rFonts w:ascii="宋体" w:hAnsi="宋体"/>
          <w:b/>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第三部分：机关运行经费安排情况</w:t>
      </w:r>
    </w:p>
    <w:p>
      <w:pPr>
        <w:widowControl/>
        <w:spacing w:line="540" w:lineRule="exact"/>
        <w:ind w:firstLine="640" w:firstLineChars="200"/>
      </w:pPr>
      <w:r>
        <w:rPr>
          <w:rFonts w:hint="eastAsia" w:ascii="仿宋_GB2312" w:hAnsi="宋体" w:eastAsia="仿宋_GB2312" w:cs="宋体"/>
          <w:kern w:val="0"/>
          <w:sz w:val="32"/>
          <w:szCs w:val="32"/>
        </w:rPr>
        <w:t>2020年机关运行经费安排8.3万元，其中办公费0.3万元，邮电费2.4万元，公务用车运行维护费2.5万元，公务接待费0.16万元，其他交通费2.94万元。</w:t>
      </w: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7"/>
        <w:tblW w:w="9855" w:type="dxa"/>
        <w:jc w:val="center"/>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trHeight w:val="405" w:hRule="atLeast"/>
          <w:jc w:val="center"/>
        </w:trPr>
        <w:tc>
          <w:tcPr>
            <w:tcW w:w="9855" w:type="dxa"/>
            <w:gridSpan w:val="7"/>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trHeight w:val="285" w:hRule="atLeast"/>
          <w:jc w:val="center"/>
        </w:trPr>
        <w:tc>
          <w:tcPr>
            <w:tcW w:w="2136"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72"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3893" w:type="dxa"/>
            <w:noWrap w:val="0"/>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688" w:hRule="atLeast"/>
          <w:jc w:val="center"/>
        </w:trPr>
        <w:tc>
          <w:tcPr>
            <w:tcW w:w="2136"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1275"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2019年度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276"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2020年度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275"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3893"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398"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ascii="宋体" w:hAnsi="宋体" w:cs="宋体"/>
                <w:color w:val="000000"/>
                <w:kern w:val="0"/>
                <w:szCs w:val="21"/>
              </w:rPr>
              <w:t>无增减变化</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98"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2.5</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2.5</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2019年成立，2020年申请配备公车。</w:t>
            </w:r>
          </w:p>
        </w:tc>
      </w:tr>
      <w:tr>
        <w:tblPrEx>
          <w:tblCellMar>
            <w:top w:w="0" w:type="dxa"/>
            <w:left w:w="108" w:type="dxa"/>
            <w:bottom w:w="0" w:type="dxa"/>
            <w:right w:w="108" w:type="dxa"/>
          </w:tblCellMar>
        </w:tblPrEx>
        <w:trPr>
          <w:trHeight w:val="493"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0.16</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0.16</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2019年成立，2020年产生公务接待费。</w:t>
            </w:r>
          </w:p>
        </w:tc>
      </w:tr>
      <w:tr>
        <w:tblPrEx>
          <w:tblCellMar>
            <w:top w:w="0" w:type="dxa"/>
            <w:left w:w="108" w:type="dxa"/>
            <w:bottom w:w="0" w:type="dxa"/>
            <w:right w:w="108" w:type="dxa"/>
          </w:tblCellMar>
        </w:tblPrEx>
        <w:trPr>
          <w:trHeight w:val="737"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2.66</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2.66</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新成立单位，厉行节约，杜绝浪费。</w:t>
            </w:r>
          </w:p>
        </w:tc>
      </w:tr>
    </w:tbl>
    <w:p>
      <w:pPr>
        <w:spacing w:line="240" w:lineRule="exact"/>
        <w:ind w:firstLine="630" w:firstLineChars="196"/>
        <w:jc w:val="left"/>
        <w:outlineLvl w:val="0"/>
        <w:rPr>
          <w:rFonts w:ascii="宋体" w:hAnsi="宋体"/>
          <w:b/>
          <w:sz w:val="32"/>
          <w:szCs w:val="32"/>
        </w:rPr>
      </w:pPr>
    </w:p>
    <w:p>
      <w:pPr>
        <w:jc w:val="center"/>
        <w:rPr>
          <w:rFonts w:ascii="宋体" w:hAnsi="宋体"/>
          <w:b/>
          <w:sz w:val="32"/>
          <w:szCs w:val="32"/>
        </w:rPr>
      </w:pPr>
    </w:p>
    <w:p>
      <w:pPr>
        <w:rPr>
          <w:rFonts w:ascii="宋体" w:hAnsi="宋体"/>
          <w:b/>
          <w:sz w:val="32"/>
          <w:szCs w:val="32"/>
        </w:rPr>
      </w:pPr>
    </w:p>
    <w:p>
      <w:pPr>
        <w:pStyle w:val="2"/>
        <w:rPr>
          <w:rFonts w:hAnsi="宋体"/>
          <w:b/>
          <w:sz w:val="32"/>
          <w:szCs w:val="32"/>
        </w:rPr>
      </w:pPr>
    </w:p>
    <w:p>
      <w:pPr>
        <w:pStyle w:val="2"/>
        <w:rPr>
          <w:rFonts w:hAnsi="宋体"/>
          <w:b/>
          <w:sz w:val="32"/>
          <w:szCs w:val="32"/>
        </w:rPr>
      </w:pPr>
    </w:p>
    <w:p>
      <w:pPr>
        <w:jc w:val="center"/>
        <w:rPr>
          <w:rFonts w:ascii="宋体" w:hAnsi="宋体"/>
          <w:b/>
          <w:sz w:val="32"/>
          <w:szCs w:val="32"/>
        </w:rPr>
      </w:pPr>
      <w:r>
        <w:rPr>
          <w:rFonts w:hint="eastAsia" w:ascii="宋体" w:hAnsi="宋体"/>
          <w:b/>
          <w:sz w:val="32"/>
          <w:szCs w:val="32"/>
        </w:rPr>
        <w:t>第五部分：绩效预算信息</w:t>
      </w:r>
    </w:p>
    <w:p>
      <w:pPr>
        <w:spacing w:line="240" w:lineRule="exact"/>
        <w:jc w:val="center"/>
        <w:rPr>
          <w:rFonts w:ascii="宋体" w:hAnsi="宋体"/>
          <w:b/>
          <w:sz w:val="32"/>
          <w:szCs w:val="32"/>
        </w:rPr>
      </w:pPr>
    </w:p>
    <w:p>
      <w:pPr>
        <w:spacing w:line="520" w:lineRule="exact"/>
        <w:ind w:left="643"/>
        <w:rPr>
          <w:rFonts w:ascii="黑体" w:hAnsi="黑体" w:eastAsia="黑体"/>
          <w:sz w:val="32"/>
          <w:szCs w:val="32"/>
        </w:rPr>
      </w:pPr>
      <w:r>
        <w:rPr>
          <w:rFonts w:hint="eastAsia" w:ascii="黑体" w:hAnsi="黑体" w:eastAsia="黑体"/>
          <w:sz w:val="32"/>
          <w:szCs w:val="32"/>
        </w:rPr>
        <w:t>一、总体绩效目标</w:t>
      </w:r>
    </w:p>
    <w:p>
      <w:pPr>
        <w:spacing w:line="520" w:lineRule="exact"/>
        <w:ind w:firstLine="640" w:firstLineChars="200"/>
        <w:jc w:val="left"/>
        <w:rPr>
          <w:rFonts w:ascii="仿宋_GB2312" w:eastAsia="仿宋_GB2312"/>
          <w:sz w:val="32"/>
          <w:szCs w:val="32"/>
        </w:rPr>
      </w:pPr>
      <w:bookmarkStart w:id="0" w:name="_Toc477963878"/>
      <w:r>
        <w:rPr>
          <w:rFonts w:hint="eastAsia" w:ascii="仿宋_GB2312" w:eastAsia="仿宋_GB2312"/>
          <w:sz w:val="32"/>
          <w:szCs w:val="32"/>
        </w:rPr>
        <w:t>1.总体思路：坚持以习近平新时代中国特色社会主义思想和党的十九大精神为指导，深入学习贯彻全国、全省网信工作会议精神。</w:t>
      </w:r>
      <w:r>
        <w:rPr>
          <w:rStyle w:val="11"/>
          <w:rFonts w:ascii="仿宋_GB2312" w:hAnsi="仿宋" w:eastAsia="仿宋_GB2312"/>
          <w:spacing w:val="-8"/>
          <w:kern w:val="21"/>
          <w:sz w:val="32"/>
          <w:szCs w:val="32"/>
        </w:rPr>
        <w:t>从政治和全局的高度，着力加强网络宣传、净化网络空间、守护网络安全，推动提升网络安全保障能力和构建信息化服务体系“两翼齐飞”，构筑网上网下“同心圆”，为建设新时代宜居乐业新区、厚德尚美满城提供了强大的网上舆论支持、可靠的网络安全保障、有力的信息化支撑</w:t>
      </w:r>
      <w:r>
        <w:rPr>
          <w:rFonts w:hint="eastAsia" w:ascii="仿宋_GB2312" w:eastAsia="仿宋_GB2312"/>
          <w:sz w:val="32"/>
          <w:szCs w:val="32"/>
        </w:rPr>
        <w:t>。</w:t>
      </w:r>
    </w:p>
    <w:p>
      <w:pPr>
        <w:spacing w:line="520" w:lineRule="exact"/>
        <w:ind w:firstLine="640" w:firstLineChars="200"/>
        <w:jc w:val="left"/>
        <w:rPr>
          <w:rStyle w:val="11"/>
          <w:rFonts w:ascii="仿宋_GB2312" w:hAnsi="仿宋" w:eastAsia="仿宋_GB2312"/>
          <w:spacing w:val="-8"/>
          <w:kern w:val="21"/>
          <w:sz w:val="32"/>
          <w:szCs w:val="32"/>
        </w:rPr>
      </w:pPr>
      <w:r>
        <w:rPr>
          <w:rFonts w:hint="eastAsia" w:ascii="仿宋_GB2312" w:eastAsia="仿宋_GB2312"/>
          <w:sz w:val="32"/>
          <w:szCs w:val="32"/>
        </w:rPr>
        <w:t>2.工作方法：贯彻落实习近平总书记关于网络安全思想工作的一系列重要指示和党中央、省委决策部署。</w:t>
      </w:r>
      <w:r>
        <w:rPr>
          <w:rStyle w:val="11"/>
          <w:rFonts w:ascii="仿宋" w:hAnsi="仿宋" w:eastAsia="仿宋_GB2312"/>
          <w:spacing w:val="-8"/>
          <w:sz w:val="32"/>
          <w:szCs w:val="32"/>
        </w:rPr>
        <w:t>立足区域实际，抢抓机遇，强化网络思维，推进网军建设，加强网信宣传，密切舆情监测</w:t>
      </w:r>
      <w:r>
        <w:rPr>
          <w:rStyle w:val="11"/>
          <w:rFonts w:hint="eastAsia" w:ascii="仿宋" w:hAnsi="仿宋" w:eastAsia="仿宋_GB2312"/>
          <w:spacing w:val="-8"/>
          <w:sz w:val="32"/>
          <w:szCs w:val="32"/>
        </w:rPr>
        <w:t>，</w:t>
      </w:r>
      <w:r>
        <w:rPr>
          <w:rStyle w:val="11"/>
          <w:rFonts w:ascii="仿宋" w:hAnsi="仿宋" w:eastAsia="仿宋_GB2312"/>
          <w:spacing w:val="-8"/>
          <w:sz w:val="32"/>
          <w:szCs w:val="32"/>
        </w:rPr>
        <w:t>开创网信工作的新局面。</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（1)加大</w:t>
      </w:r>
      <w:r>
        <w:rPr>
          <w:rFonts w:hint="eastAsia" w:ascii="仿宋_GB2312" w:eastAsia="仿宋_GB2312"/>
          <w:sz w:val="32"/>
          <w:szCs w:val="32"/>
          <w:lang w:eastAsia="zh-CN"/>
        </w:rPr>
        <w:t>党的</w:t>
      </w:r>
      <w:r>
        <w:rPr>
          <w:rFonts w:hint="eastAsia" w:ascii="仿宋_GB2312" w:eastAsia="仿宋_GB2312"/>
          <w:sz w:val="32"/>
          <w:szCs w:val="32"/>
        </w:rPr>
        <w:t>十九大精神的网络宣传教育，凝聚时代正能量。加强习近平总书记重要讲话、重要活动宣传，通过微信公众平台、微信矩阵群等新媒体宣传阵地，将中央和省市区委的主要工作精神传递给每一名党员干部，持续增强党员干部“不忘初心、牢记使命”的责任感、使命感，推进全区党员干部践行网上群众路线。切实利用好社交媒体及时性、交互性的特点，以通俗易懂深入浅出的形式将党的政策精神及时准确的向人民群众转达，加强官方舆论场同群众间舆论的同频共振。(2)加强“网聚满城正能量”宣传，当好满城正能量的瞭望者先锋号。围绕区委、区政府重点工作，组织新媒体大力推介满城悠久的历史人文、秀美的自然资源和经济社会发展变化，推出一批体现满城特色、具有影响力的网络作品；继续加大对创建省级文明城区、经济发展、大气污染治理等重点工作的网络宣传力度，通过网络将满城的优势和特色推介出去。(3)从严管控政治类有害信息，维护网络空间有序表达。对于攻击抹黑中央领导、攻击诋毁我国社会制度的言论；宣扬“港独”“藏独”“台独”类有害信息；鼓吹西方宪政民主、历史虚无主义等错误思潮和观点；对我区大局工作造成严重影响、危害国家安全、社会秩序和公众利益的有害信息要严格依法依规，“稳准狠”开刀整治。(4)加强网络舆论引领，营造清朗的网络空间。推动网络继续深入实施网络舆情监测、研判、报送、预警、处突、引导等工作机制，做到网络舆情发现早、研判准、处置得当；组织全区网评员集中培训，实行网络引领和社会工作奖惩机制。(5)强化网络阵地建设，统一全区思想认识。召开新媒体联盟座谈会，强化对全区新媒体联盟成员单位的组织领导，促进全区新媒体为我所用；扶持建立一批具有地域特色、体现部门特征的政务新媒体，让主流声音牢牢占领网络阵地；大力提倡党员干部践行网上群众路线，打造务实高效、传播有力、引导有方的网络信息传播新格局。(6)坚持依法依规管网治网，维护网络空间安全稳定。继续开展“扫黄打非”专项行动，加大对网络谣言、涉黄、涉恐、涉枪、涉爆、金融诈骗等有害信息的打击力度；落实好属地监管和网络运营商责任，探索建立由网信、公安、工信等部门联合治理的网络管控机制；加大对全区涉网单位、企业关键信息基础设施的检查力度，做好全区网络安全保障工作。</w:t>
      </w:r>
    </w:p>
    <w:p>
      <w:pPr>
        <w:spacing w:line="500" w:lineRule="exact"/>
        <w:ind w:firstLine="560" w:firstLineChars="200"/>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30146348"/>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420" w:firstLineChars="150"/>
        <w:jc w:val="left"/>
        <w:rPr>
          <w:rFonts w:eastAsia="方正仿宋_GBK"/>
          <w:sz w:val="28"/>
        </w:rPr>
      </w:pPr>
      <w:r>
        <w:rPr>
          <w:rFonts w:eastAsia="方正仿宋_GBK"/>
          <w:sz w:val="28"/>
        </w:rPr>
        <w:t>（一）网络意识形态工作</w:t>
      </w:r>
    </w:p>
    <w:p>
      <w:pPr>
        <w:spacing w:line="500" w:lineRule="exact"/>
        <w:ind w:firstLine="560" w:firstLineChars="200"/>
        <w:jc w:val="left"/>
        <w:rPr>
          <w:rFonts w:eastAsia="方正仿宋_GBK"/>
          <w:sz w:val="28"/>
        </w:rPr>
      </w:pPr>
      <w:r>
        <w:rPr>
          <w:rFonts w:eastAsia="方正仿宋_GBK"/>
          <w:sz w:val="28"/>
        </w:rPr>
        <w:t>绩效目标：负责全区互联网信息内容管理，指导协调全区网络舆情工作，推动全区网络阵地建设，推动全区网络社会工作和网络文化、网络文明建设。牢牢掌握网络意识形态工作领导权，积极传播网上正能量，维护网络安全，推动信息化发展，提供强大网上舆论支持、可靠网络安全保障、有力信息化支撑。开展网上思想理论建设传播，广泛开展理论宣传活动；加强网上正面宣传，弘扬社会主义核心价值观，充分展示满城好形象；加强网上舆情监测和应急处置能力，组织开展舆情信息收集、分析、研判；加强网络文化建设，组织开展形式多样的线上线下网络文化活动，发动社会力量参与网络文化建设，营造健康繁荣的网络环境。开展网络管理和执法督察工作，承担组织开展网络舆论生态治理。</w:t>
      </w:r>
    </w:p>
    <w:p>
      <w:pPr>
        <w:spacing w:line="500" w:lineRule="exact"/>
        <w:ind w:firstLine="560" w:firstLineChars="200"/>
        <w:jc w:val="left"/>
        <w:rPr>
          <w:rFonts w:eastAsia="方正仿宋_GBK"/>
          <w:sz w:val="28"/>
        </w:rPr>
      </w:pPr>
      <w:r>
        <w:rPr>
          <w:rFonts w:eastAsia="方正仿宋_GBK"/>
          <w:sz w:val="28"/>
        </w:rPr>
        <w:t>绩效指标：依托互联网开展正面宣传，充分展示满城区良好形象，不断提高满城区知名度、美誉度。牢牢把握正确导向，为全区经济社会发展提供有力的舆论支持；提高舆情研判能力和信息服务水平，及时化解、妥善处理有关涉区负面舆情，做好互联网重大突发事件应急处置工作，处置率到达90%。通过网络文化活动的开展，全区网络文化工作成效显著提升。推进依法治网，使网络环境日益改善，网上违法和不良信息有效减少。</w:t>
      </w:r>
    </w:p>
    <w:p>
      <w:pPr>
        <w:spacing w:line="500" w:lineRule="exact"/>
        <w:ind w:firstLine="560" w:firstLineChars="200"/>
        <w:jc w:val="left"/>
        <w:rPr>
          <w:rFonts w:eastAsia="方正仿宋_GBK"/>
          <w:sz w:val="28"/>
        </w:rPr>
      </w:pPr>
      <w:r>
        <w:rPr>
          <w:rFonts w:eastAsia="方正仿宋_GBK"/>
          <w:sz w:val="28"/>
        </w:rPr>
        <w:t>（二）网络安全和信息化工作</w:t>
      </w:r>
    </w:p>
    <w:p>
      <w:pPr>
        <w:spacing w:line="500" w:lineRule="exact"/>
        <w:ind w:firstLine="560" w:firstLineChars="200"/>
        <w:jc w:val="left"/>
        <w:rPr>
          <w:rFonts w:eastAsia="方正仿宋_GBK"/>
          <w:sz w:val="28"/>
        </w:rPr>
      </w:pPr>
      <w:r>
        <w:rPr>
          <w:rFonts w:eastAsia="方正仿宋_GBK"/>
          <w:sz w:val="28"/>
        </w:rPr>
        <w:t>绩效目标：统筹协调全区网络安全保障体系和可信体系建设，落实国家互联网信息服务资本准入和信息网络行业安全审查的有关政策。进一步统筹协调全区网络安全和信息化工作，推动全区网信事业持续健康有序发展。负责督促落实涉及全区各个领域网络安全重大事项；指导全区党政部门、重点行业网络安全保障工作；组织开展网络安全应急处置培训、开展应急处置演练、建立网络安全事件应急管理体制。组织开展网络安全培训，组织网络安全常态化基层宣传，举办网络安全周等宣传活动。</w:t>
      </w:r>
    </w:p>
    <w:p>
      <w:pPr>
        <w:spacing w:line="500" w:lineRule="exact"/>
        <w:ind w:firstLine="560" w:firstLineChars="200"/>
        <w:jc w:val="left"/>
        <w:rPr>
          <w:rFonts w:eastAsia="方正仿宋_GBK"/>
          <w:sz w:val="28"/>
        </w:rPr>
      </w:pPr>
      <w:r>
        <w:rPr>
          <w:rFonts w:eastAsia="方正仿宋_GBK"/>
          <w:sz w:val="28"/>
        </w:rPr>
        <w:t>绩效指标：全区网络安全保障体系不断完善，网络安全能力和水平显著提升，网络安全防护水平显著提升。通过开展各类网络安全培训、宣传、专题讲座等活动，更好提升全区人民网络安全意识；提升信息化工作水平，使群众对信息化便民服务满意度≥90%。</w:t>
      </w:r>
    </w:p>
    <w:p>
      <w:pPr>
        <w:spacing w:line="500" w:lineRule="exact"/>
        <w:ind w:firstLine="560" w:firstLineChars="200"/>
        <w:jc w:val="left"/>
        <w:rPr>
          <w:rFonts w:eastAsia="方正仿宋_GBK"/>
          <w:sz w:val="28"/>
        </w:rPr>
      </w:pPr>
      <w:r>
        <w:rPr>
          <w:rFonts w:eastAsia="方正仿宋_GBK"/>
          <w:sz w:val="28"/>
        </w:rPr>
        <w:t>（三）网信事务管理</w:t>
      </w:r>
    </w:p>
    <w:p>
      <w:pPr>
        <w:spacing w:line="500" w:lineRule="exact"/>
        <w:ind w:firstLine="560" w:firstLineChars="200"/>
        <w:jc w:val="left"/>
        <w:rPr>
          <w:rFonts w:eastAsia="方正仿宋_GBK"/>
          <w:sz w:val="28"/>
        </w:rPr>
      </w:pPr>
      <w:r>
        <w:rPr>
          <w:rFonts w:eastAsia="方正仿宋_GBK"/>
          <w:sz w:val="28"/>
        </w:rPr>
        <w:t>绩效目标：负责处理区委网络安全和信息化委员会日常事务工作；组织研究起草我区网络安全和信息化发展战略、宏观目标和相关政策；指导、检查推动各乡（镇）街道和有关部门网络安全和信息化工作。研究拟订全区网络安全和信息化发展战略规划、政策制度，协调推进全区网络安全和信息化法制化、标准建设工作。开展会议组织管理财务资产管理、干部教育培训和人才队伍建设、机关党建、机关外事等工作。</w:t>
      </w:r>
    </w:p>
    <w:p>
      <w:pPr>
        <w:spacing w:line="500" w:lineRule="exact"/>
        <w:ind w:firstLine="560" w:firstLineChars="200"/>
        <w:jc w:val="left"/>
        <w:rPr>
          <w:rFonts w:eastAsia="方正仿宋_GBK"/>
          <w:sz w:val="28"/>
        </w:rPr>
      </w:pPr>
      <w:r>
        <w:rPr>
          <w:rFonts w:eastAsia="方正仿宋_GBK"/>
          <w:sz w:val="28"/>
        </w:rPr>
        <w:t>绩效指标：通过重点工作督察督办，为全区网络安全和信息化重点工作顺利开展提供保障，通过对机关文件报送、会议组织、财务管理、后勤保障等环节加强管理，确保机关工作正常、高效运转。</w:t>
      </w:r>
    </w:p>
    <w:p>
      <w:pPr>
        <w:spacing w:line="500" w:lineRule="exact"/>
        <w:ind w:firstLine="560" w:firstLineChars="200"/>
        <w:jc w:val="left"/>
        <w:outlineLvl w:val="1"/>
        <w:rPr>
          <w:rFonts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30146349"/>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（一）理论武装头脑，提高政治站位</w:t>
      </w:r>
    </w:p>
    <w:p>
      <w:pPr>
        <w:spacing w:line="500" w:lineRule="exact"/>
        <w:ind w:firstLine="560" w:firstLineChars="200"/>
        <w:jc w:val="left"/>
        <w:rPr>
          <w:rFonts w:eastAsia="方正仿宋_GBK"/>
          <w:sz w:val="28"/>
        </w:rPr>
      </w:pPr>
      <w:r>
        <w:rPr>
          <w:rFonts w:eastAsia="方正仿宋_GBK"/>
          <w:sz w:val="28"/>
        </w:rPr>
        <w:t>学习贯彻习近平新时代中国特色社会主义思想，抓好网络意识形态工作责任制、网络安全工作责任制落实，以网络意识形态安全和网络安全维护政治安全。</w:t>
      </w:r>
    </w:p>
    <w:p>
      <w:pPr>
        <w:spacing w:line="500" w:lineRule="exact"/>
        <w:ind w:firstLine="560" w:firstLineChars="200"/>
        <w:jc w:val="left"/>
        <w:rPr>
          <w:rFonts w:eastAsia="方正仿宋_GBK"/>
          <w:sz w:val="28"/>
        </w:rPr>
      </w:pPr>
      <w:r>
        <w:rPr>
          <w:rFonts w:eastAsia="方正仿宋_GBK"/>
          <w:sz w:val="28"/>
        </w:rPr>
        <w:t>（二）坚持正能量，唱响网上满城好声音</w:t>
      </w:r>
    </w:p>
    <w:p>
      <w:pPr>
        <w:spacing w:line="500" w:lineRule="exact"/>
        <w:ind w:firstLine="560" w:firstLineChars="200"/>
        <w:jc w:val="left"/>
        <w:rPr>
          <w:rFonts w:eastAsia="方正仿宋_GBK"/>
          <w:sz w:val="28"/>
        </w:rPr>
      </w:pPr>
      <w:r>
        <w:rPr>
          <w:rFonts w:eastAsia="方正仿宋_GBK"/>
          <w:sz w:val="28"/>
        </w:rPr>
        <w:t>以</w:t>
      </w:r>
      <w:r>
        <w:rPr>
          <w:rFonts w:hint="eastAsia" w:eastAsia="方正仿宋_GBK"/>
          <w:sz w:val="28"/>
          <w:lang w:eastAsia="zh-CN"/>
        </w:rPr>
        <w:t>党的</w:t>
      </w:r>
      <w:r>
        <w:rPr>
          <w:rFonts w:eastAsia="方正仿宋_GBK"/>
          <w:sz w:val="28"/>
        </w:rPr>
        <w:t>十九大精神为指导，紧紧围绕区委、区政府中心工作，深化社会主义核心价值观网上宣传，壮大网上主流舆论。</w:t>
      </w:r>
    </w:p>
    <w:p>
      <w:pPr>
        <w:spacing w:line="500" w:lineRule="exact"/>
        <w:ind w:firstLine="560" w:firstLineChars="200"/>
        <w:jc w:val="left"/>
        <w:rPr>
          <w:rFonts w:eastAsia="方正仿宋_GBK"/>
          <w:sz w:val="28"/>
        </w:rPr>
      </w:pPr>
      <w:r>
        <w:rPr>
          <w:rFonts w:eastAsia="方正仿宋_GBK"/>
          <w:sz w:val="28"/>
        </w:rPr>
        <w:t>（三）综合分析研判，服务工作大局</w:t>
      </w:r>
    </w:p>
    <w:p>
      <w:pPr>
        <w:spacing w:line="500" w:lineRule="exact"/>
        <w:ind w:firstLine="560" w:firstLineChars="200"/>
        <w:jc w:val="left"/>
        <w:rPr>
          <w:rFonts w:eastAsia="方正仿宋_GBK"/>
          <w:sz w:val="28"/>
        </w:rPr>
      </w:pPr>
      <w:r>
        <w:rPr>
          <w:rFonts w:eastAsia="方正仿宋_GBK"/>
          <w:sz w:val="28"/>
        </w:rPr>
        <w:t>加强对涉区重大突发敏感舆情的监测、研判、处置、引导，健全网络舆情应急处置工作机制，网络舆情工作坚持把畅通舆情信息、加强综合分析、及时处置作为重点。</w:t>
      </w:r>
    </w:p>
    <w:p>
      <w:pPr>
        <w:spacing w:line="500" w:lineRule="exact"/>
        <w:ind w:firstLine="560" w:firstLineChars="200"/>
        <w:jc w:val="left"/>
        <w:rPr>
          <w:rFonts w:eastAsia="方正仿宋_GBK"/>
          <w:sz w:val="28"/>
        </w:rPr>
      </w:pPr>
      <w:r>
        <w:rPr>
          <w:rFonts w:eastAsia="方正仿宋_GBK"/>
          <w:sz w:val="28"/>
        </w:rPr>
        <w:t>（四）开展网络社会工作，提高服务大众质量</w:t>
      </w:r>
    </w:p>
    <w:p>
      <w:pPr>
        <w:spacing w:line="500" w:lineRule="exact"/>
        <w:ind w:firstLine="560" w:firstLineChars="200"/>
        <w:jc w:val="left"/>
        <w:rPr>
          <w:rFonts w:eastAsia="方正仿宋_GBK"/>
          <w:sz w:val="28"/>
        </w:rPr>
      </w:pPr>
      <w:r>
        <w:rPr>
          <w:rFonts w:eastAsia="方正仿宋_GBK"/>
          <w:sz w:val="28"/>
        </w:rPr>
        <w:t>组织开展网络公益扶贫、网络安全培训、网络安全周等线上线下宣传活动，发动社会力量参与网络文化建设，营造健康繁荣的网络环境。</w:t>
      </w:r>
    </w:p>
    <w:p>
      <w:pPr>
        <w:spacing w:line="500" w:lineRule="exact"/>
        <w:ind w:firstLine="560" w:firstLineChars="200"/>
        <w:jc w:val="left"/>
        <w:rPr>
          <w:rFonts w:eastAsia="方正仿宋_GBK"/>
          <w:sz w:val="28"/>
        </w:rPr>
      </w:pPr>
      <w:r>
        <w:rPr>
          <w:rFonts w:eastAsia="方正仿宋_GBK"/>
          <w:sz w:val="28"/>
        </w:rPr>
        <w:t>（五）提升素质能力，锻造过硬队伍</w:t>
      </w:r>
    </w:p>
    <w:p>
      <w:pPr>
        <w:spacing w:line="500" w:lineRule="exact"/>
        <w:ind w:firstLine="560" w:firstLineChars="200"/>
        <w:jc w:val="left"/>
        <w:rPr>
          <w:rFonts w:eastAsia="方正仿宋_GBK"/>
          <w:sz w:val="28"/>
        </w:rPr>
      </w:pPr>
      <w:r>
        <w:rPr>
          <w:rFonts w:eastAsia="方正仿宋_GBK"/>
          <w:sz w:val="28"/>
        </w:rPr>
        <w:t>做好新形势下的网络安全和信息化工作，组织系列培训，推进网评员队伍建设，主动认识新形势、适应新形势，锻造一支高素质的网信干部队伍。</w:t>
      </w:r>
    </w:p>
    <w:p>
      <w:pPr>
        <w:spacing w:line="500" w:lineRule="exact"/>
        <w:ind w:firstLine="560" w:firstLineChars="200"/>
        <w:jc w:val="left"/>
        <w:rPr>
          <w:rFonts w:eastAsia="方正仿宋_GBK"/>
          <w:sz w:val="28"/>
        </w:rPr>
      </w:pPr>
    </w:p>
    <w:p>
      <w:pPr>
        <w:pStyle w:val="2"/>
        <w:rPr>
          <w:rFonts w:hint="eastAsia"/>
        </w:rPr>
      </w:pPr>
    </w:p>
    <w:p>
      <w:pPr>
        <w:spacing w:line="520" w:lineRule="exact"/>
        <w:ind w:firstLine="640" w:firstLineChars="200"/>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spacing w:after="156" w:afterLines="50" w:line="500" w:lineRule="exact"/>
        <w:jc w:val="center"/>
        <w:outlineLvl w:val="0"/>
        <w:rPr>
          <w:rFonts w:ascii="宋体" w:hAnsi="宋体" w:cs="宋体"/>
          <w:b/>
          <w:sz w:val="32"/>
          <w:szCs w:val="32"/>
        </w:rPr>
      </w:pPr>
      <w:r>
        <w:rPr>
          <w:rFonts w:hint="eastAsia" w:ascii="宋体" w:hAnsi="宋体" w:cs="宋体"/>
          <w:b/>
          <w:sz w:val="32"/>
          <w:szCs w:val="32"/>
        </w:rPr>
        <w:t>部门职责-工作活动绩效目标</w:t>
      </w:r>
      <w:bookmarkEnd w:id="0"/>
    </w:p>
    <w:p>
      <w:pPr>
        <w:ind w:firstLine="562" w:firstLineChars="200"/>
        <w:jc w:val="left"/>
        <w:outlineLvl w:val="1"/>
        <w:rPr>
          <w:rFonts w:hAnsi="宋体"/>
          <w:b/>
          <w:sz w:val="28"/>
        </w:rPr>
      </w:pPr>
      <w:r>
        <w:rPr>
          <w:rFonts w:hint="eastAsia" w:ascii="方正仿宋_GBK" w:eastAsia="方正仿宋_GBK"/>
          <w:b/>
          <w:sz w:val="28"/>
        </w:rPr>
        <w:t>1、网络舆情监测绩效目标表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494463"/>
      <w:r>
        <w:rPr>
          <w:rFonts w:hint="eastAsia" w:ascii="方正仿宋_GBK" w:eastAsia="方正仿宋_GBK"/>
          <w:b/>
          <w:sz w:val="28"/>
        </w:rPr>
        <w:instrText xml:space="preserve">1、网络舆情监测绩效目标表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224002</w:t>
            </w:r>
            <w:r>
              <w:rPr>
                <w:rFonts w:hint="eastAsia" w:ascii="方正书宋_GBK" w:eastAsia="方正书宋_GBK"/>
                <w:b/>
              </w:rPr>
              <w:t>中共保定市满城区委网络安全和信息化委员会办公室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224-0302-JXN-I8F2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网络舆情监测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用于满城区网络舆情监测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、建立统一高效的网络安全风险报告机制、情报共享机制、研判处置机制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、统筹重大突发事件网络舆情预警、报告处置</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对于涉及满城区舆情的信息抓取量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项目持续发挥作用的年限</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群众对于反映问题处置反馈的满意度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满意率≥</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2、中共保定市满城区委网信办办公设备费用绩效目标表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494464"/>
      <w:r>
        <w:rPr>
          <w:rFonts w:hint="eastAsia" w:ascii="方正仿宋_GBK" w:eastAsia="方正仿宋_GBK"/>
          <w:b/>
          <w:sz w:val="28"/>
        </w:rPr>
        <w:instrText xml:space="preserve">2、中共保定市满城区委网信办办公设备费用绩效目标表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224002</w:t>
            </w:r>
            <w:r>
              <w:rPr>
                <w:rFonts w:hint="eastAsia" w:ascii="方正书宋_GBK" w:eastAsia="方正书宋_GBK"/>
                <w:b/>
              </w:rPr>
              <w:t>中共保定市满城区委网络安全和信息化委员会办公室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224-0302-YXN-S7BB</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中共保定市满城区委网信办办公设备费用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中共保定市满城区网信办办公设备购置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、办公室装修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、办公设备购置</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办公设备数量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办公桌椅等</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套</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办公设备数量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电脑打印机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套</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所购买办公设备的合格数量占全部购置的办公设备数量的比重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能够长期较好地为网络舆情监测、网络宣传提供基本的办公条件</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装修的办公用房及设备购置可长期使用</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jc w:val="center"/>
        <w:rPr>
          <w:rFonts w:ascii="宋体" w:hAnsi="宋体"/>
          <w:b/>
          <w:sz w:val="32"/>
          <w:szCs w:val="32"/>
        </w:rPr>
      </w:pPr>
      <w:r>
        <w:rPr>
          <w:rFonts w:hint="eastAsia" w:ascii="宋体" w:hAnsi="宋体"/>
          <w:b/>
          <w:sz w:val="32"/>
          <w:szCs w:val="32"/>
        </w:rPr>
        <w:t>第六部分 政府采购预算情况</w:t>
      </w:r>
    </w:p>
    <w:p>
      <w:pPr>
        <w:ind w:firstLine="640" w:firstLineChars="200"/>
        <w:rPr>
          <w:rFonts w:ascii="宋体" w:hAnsi="宋体"/>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2020年度没有政府采购预算，空表列示。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7"/>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spacing w:line="560" w:lineRule="exact"/>
        <w:ind w:firstLine="560" w:firstLineChars="200"/>
        <w:outlineLvl w:val="0"/>
        <w:rPr>
          <w:rFonts w:hint="eastAsia" w:ascii="宋体" w:hAnsi="宋体"/>
          <w:sz w:val="28"/>
          <w:szCs w:val="28"/>
        </w:rPr>
        <w:sectPr>
          <w:pgSz w:w="16839" w:h="11907" w:orient="landscape"/>
          <w:pgMar w:top="1134" w:right="1531" w:bottom="1134" w:left="1474" w:header="851" w:footer="992" w:gutter="0"/>
          <w:cols w:space="720" w:num="1"/>
          <w:docGrid w:linePitch="312" w:charSpace="0"/>
        </w:sectPr>
      </w:pPr>
    </w:p>
    <w:p>
      <w:pPr>
        <w:pStyle w:val="2"/>
        <w:rPr>
          <w:rFonts w:hint="eastAsia"/>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ascii="宋体" w:hAnsi="宋体"/>
          <w:sz w:val="32"/>
          <w:szCs w:val="32"/>
        </w:rPr>
      </w:pPr>
    </w:p>
    <w:p>
      <w:pPr>
        <w:spacing w:line="520" w:lineRule="exact"/>
        <w:ind w:firstLine="640" w:firstLineChars="200"/>
        <w:rPr>
          <w:rFonts w:ascii="仿宋_GB2312" w:hAnsi="宋体" w:eastAsia="仿宋_GB2312"/>
          <w:sz w:val="32"/>
          <w:szCs w:val="32"/>
        </w:rPr>
      </w:pPr>
      <w:r>
        <w:rPr>
          <w:rFonts w:hint="eastAsia" w:ascii="宋体" w:hAnsi="宋体"/>
          <w:sz w:val="32"/>
          <w:szCs w:val="32"/>
        </w:rPr>
        <w:t xml:space="preserve">  </w:t>
      </w:r>
      <w:r>
        <w:rPr>
          <w:rFonts w:hint="eastAsia" w:ascii="仿宋_GB2312" w:hAnsi="仿宋" w:eastAsia="仿宋_GB2312" w:cs="仿宋_GB2312"/>
          <w:sz w:val="32"/>
          <w:szCs w:val="32"/>
        </w:rPr>
        <w:t>中共保定市满城区委网络安全和信息化委员会办公室</w:t>
      </w:r>
      <w:r>
        <w:rPr>
          <w:rFonts w:hint="eastAsia" w:ascii="仿宋_GB2312" w:hAnsi="宋体" w:eastAsia="仿宋_GB2312"/>
          <w:sz w:val="32"/>
          <w:szCs w:val="32"/>
        </w:rPr>
        <w:t xml:space="preserve">2019年末固定资产总金额0万元（详见下表）。 </w:t>
      </w:r>
      <w:r>
        <w:rPr>
          <w:rFonts w:hint="eastAsia" w:ascii="宋体" w:hAnsi="宋体"/>
          <w:sz w:val="32"/>
          <w:szCs w:val="32"/>
        </w:rPr>
        <w:t>2020年无拟购置固定资产。</w:t>
      </w:r>
    </w:p>
    <w:tbl>
      <w:tblPr>
        <w:tblStyle w:val="7"/>
        <w:tblpPr w:leftFromText="180" w:rightFromText="180" w:vertAnchor="text" w:horzAnchor="page" w:tblpX="1755" w:tblpY="157"/>
        <w:tblOverlap w:val="never"/>
        <w:tblW w:w="8804" w:type="dxa"/>
        <w:tblInd w:w="0"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b/>
                <w:sz w:val="32"/>
                <w:szCs w:val="32"/>
              </w:rPr>
            </w:pPr>
            <w:r>
              <w:rPr>
                <w:rFonts w:hint="eastAsia" w:ascii="宋体" w:hAnsi="宋体"/>
                <w:b/>
                <w:sz w:val="32"/>
                <w:szCs w:val="32"/>
              </w:rPr>
              <w:t>中共保定市满城区委网络安全和信息化委员会办公室</w:t>
            </w:r>
          </w:p>
          <w:p>
            <w:pPr>
              <w:widowControl/>
              <w:jc w:val="center"/>
              <w:rPr>
                <w:rFonts w:ascii="宋体" w:hAnsi="宋体" w:cs="宋体"/>
                <w:b/>
                <w:color w:val="000000"/>
                <w:kern w:val="0"/>
                <w:sz w:val="28"/>
                <w:szCs w:val="28"/>
              </w:rPr>
            </w:pPr>
            <w:r>
              <w:rPr>
                <w:rFonts w:hint="eastAsia" w:ascii="宋体" w:hAnsi="宋体"/>
                <w:b/>
                <w:sz w:val="32"/>
                <w:szCs w:val="32"/>
              </w:rPr>
              <w:t>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宋体" w:hAnsi="宋体" w:cs="宋体"/>
                <w:color w:val="000000"/>
                <w:kern w:val="0"/>
                <w:sz w:val="32"/>
                <w:szCs w:val="32"/>
              </w:rPr>
            </w:pPr>
            <w:r>
              <w:rPr>
                <w:rFonts w:hint="eastAsia" w:ascii="宋体" w:hAnsi="宋体" w:cs="宋体"/>
                <w:bCs/>
                <w:color w:val="000000"/>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r>
    </w:tbl>
    <w:p>
      <w:pPr>
        <w:ind w:left="640" w:hanging="640" w:hangingChars="200"/>
        <w:rPr>
          <w:rFonts w:ascii="宋体" w:hAnsi="宋体"/>
          <w:sz w:val="32"/>
          <w:szCs w:val="32"/>
        </w:rPr>
      </w:pPr>
      <w:r>
        <w:rPr>
          <w:rFonts w:ascii="宋体" w:hAnsi="宋体"/>
          <w:sz w:val="32"/>
          <w:szCs w:val="32"/>
        </w:rPr>
        <w:br w:type="textWrapping" w:clear="all"/>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1、一般公共预算拨款收入：指区级财政当年拨付的资金。</w:t>
      </w: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2、其他收入：指除上述“财政拨款收入”、“事业收入”等以外的收入。</w:t>
      </w: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3、基本支出：指为保障机构正常运转、完成日常工作任务而发生的人员支出和公用支出。</w:t>
      </w: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4、项目支出：指在基本支出之外为完成特定行政任务和事业发展目标所发生的支出。</w:t>
      </w: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仿宋_GB2312" w:hAnsi="宋体" w:eastAsia="仿宋_GB2312"/>
          <w:sz w:val="32"/>
          <w:szCs w:val="32"/>
        </w:rPr>
      </w:pPr>
      <w:r>
        <w:rPr>
          <w:rFonts w:hint="eastAsia" w:ascii="仿宋_GB2312" w:eastAsia="仿宋_GB2312"/>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宋体" w:eastAsia="仿宋_GB2312"/>
          <w:sz w:val="32"/>
          <w:szCs w:val="32"/>
        </w:rPr>
        <w:t xml:space="preserve">    </w:t>
      </w:r>
    </w:p>
    <w:p>
      <w:pPr>
        <w:ind w:firstLine="800" w:firstLineChars="250"/>
        <w:rPr>
          <w:rFonts w:ascii="宋体" w:hAnsi="宋体"/>
          <w:sz w:val="32"/>
          <w:szCs w:val="32"/>
        </w:rPr>
      </w:pPr>
    </w:p>
    <w:p>
      <w:pPr>
        <w:ind w:firstLine="803" w:firstLineChars="250"/>
        <w:jc w:val="center"/>
        <w:rPr>
          <w:rFonts w:ascii="宋体" w:hAnsi="宋体"/>
          <w:b/>
          <w:sz w:val="32"/>
          <w:szCs w:val="32"/>
        </w:rPr>
      </w:pPr>
      <w:r>
        <w:rPr>
          <w:rFonts w:hint="eastAsia" w:ascii="宋体" w:hAnsi="宋体"/>
          <w:b/>
          <w:sz w:val="32"/>
          <w:szCs w:val="32"/>
        </w:rPr>
        <w:t>第九部分：其他需说明的事项</w:t>
      </w:r>
    </w:p>
    <w:p>
      <w:pPr>
        <w:ind w:firstLine="800" w:firstLineChars="250"/>
        <w:rPr>
          <w:rFonts w:ascii="宋体" w:hAnsi="宋体"/>
          <w:sz w:val="32"/>
          <w:szCs w:val="32"/>
        </w:rPr>
      </w:pPr>
    </w:p>
    <w:p>
      <w:pPr>
        <w:ind w:firstLine="800" w:firstLineChars="250"/>
        <w:rPr>
          <w:rFonts w:ascii="仿宋_GB2312" w:hAnsi="宋体" w:eastAsia="仿宋_GB2312"/>
          <w:sz w:val="32"/>
          <w:szCs w:val="32"/>
        </w:rPr>
      </w:pPr>
      <w:r>
        <w:rPr>
          <w:rFonts w:hint="eastAsia" w:ascii="仿宋_GB2312" w:hAnsi="宋体" w:eastAsia="仿宋_GB2312"/>
          <w:sz w:val="32"/>
          <w:szCs w:val="32"/>
        </w:rPr>
        <w:t xml:space="preserve">无其他需说明的事项。           </w:t>
      </w:r>
    </w:p>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ZmNlYjU1NDZiODU2MzI3NzYxYjg0OWMxNjYzNjIifQ=="/>
  </w:docVars>
  <w:rsids>
    <w:rsidRoot w:val="34B423C5"/>
    <w:rsid w:val="000753D2"/>
    <w:rsid w:val="000C229B"/>
    <w:rsid w:val="000E23DD"/>
    <w:rsid w:val="00110DF2"/>
    <w:rsid w:val="0016781B"/>
    <w:rsid w:val="001913EE"/>
    <w:rsid w:val="001C07D1"/>
    <w:rsid w:val="001C7148"/>
    <w:rsid w:val="002031AD"/>
    <w:rsid w:val="00206872"/>
    <w:rsid w:val="002131A6"/>
    <w:rsid w:val="002F15F4"/>
    <w:rsid w:val="003315F6"/>
    <w:rsid w:val="003352F7"/>
    <w:rsid w:val="00395BF5"/>
    <w:rsid w:val="003F1CFD"/>
    <w:rsid w:val="004E5428"/>
    <w:rsid w:val="00520D78"/>
    <w:rsid w:val="00591276"/>
    <w:rsid w:val="005B0C05"/>
    <w:rsid w:val="00756A1F"/>
    <w:rsid w:val="0078670E"/>
    <w:rsid w:val="008324A3"/>
    <w:rsid w:val="008407B0"/>
    <w:rsid w:val="008A784E"/>
    <w:rsid w:val="00991BBA"/>
    <w:rsid w:val="009C0EAC"/>
    <w:rsid w:val="00A060EA"/>
    <w:rsid w:val="00A27CEF"/>
    <w:rsid w:val="00A62008"/>
    <w:rsid w:val="00AB2310"/>
    <w:rsid w:val="00B233BF"/>
    <w:rsid w:val="00B6080B"/>
    <w:rsid w:val="00BC22B1"/>
    <w:rsid w:val="00CD134E"/>
    <w:rsid w:val="00CE415E"/>
    <w:rsid w:val="00D23A3B"/>
    <w:rsid w:val="00D36982"/>
    <w:rsid w:val="00D51BA8"/>
    <w:rsid w:val="00D80618"/>
    <w:rsid w:val="00E94333"/>
    <w:rsid w:val="00F559C1"/>
    <w:rsid w:val="00FE669D"/>
    <w:rsid w:val="043F33F6"/>
    <w:rsid w:val="04C24B29"/>
    <w:rsid w:val="04CA537E"/>
    <w:rsid w:val="0665379A"/>
    <w:rsid w:val="070D1C67"/>
    <w:rsid w:val="07BB737A"/>
    <w:rsid w:val="07C26F98"/>
    <w:rsid w:val="08F6428A"/>
    <w:rsid w:val="0BED7237"/>
    <w:rsid w:val="0D0F7033"/>
    <w:rsid w:val="14DF3F7C"/>
    <w:rsid w:val="18421CC7"/>
    <w:rsid w:val="19246DA5"/>
    <w:rsid w:val="19BB004A"/>
    <w:rsid w:val="19F048E0"/>
    <w:rsid w:val="1B1C1EA6"/>
    <w:rsid w:val="1B4E7AEA"/>
    <w:rsid w:val="1C1C1B66"/>
    <w:rsid w:val="1D6B3ADA"/>
    <w:rsid w:val="1DDC352C"/>
    <w:rsid w:val="1E532863"/>
    <w:rsid w:val="1F151B4F"/>
    <w:rsid w:val="201D5774"/>
    <w:rsid w:val="20585809"/>
    <w:rsid w:val="24256DC6"/>
    <w:rsid w:val="250C111B"/>
    <w:rsid w:val="266C544C"/>
    <w:rsid w:val="26B77A6F"/>
    <w:rsid w:val="285C6CF6"/>
    <w:rsid w:val="2A03778B"/>
    <w:rsid w:val="2DBC0DF1"/>
    <w:rsid w:val="2DF1181E"/>
    <w:rsid w:val="2E3F2841"/>
    <w:rsid w:val="307945AF"/>
    <w:rsid w:val="33316805"/>
    <w:rsid w:val="34B423C5"/>
    <w:rsid w:val="3B8131B8"/>
    <w:rsid w:val="3D605DF8"/>
    <w:rsid w:val="3DA86854"/>
    <w:rsid w:val="4230371D"/>
    <w:rsid w:val="438B6F48"/>
    <w:rsid w:val="46475942"/>
    <w:rsid w:val="466947FF"/>
    <w:rsid w:val="485D0489"/>
    <w:rsid w:val="4916745D"/>
    <w:rsid w:val="492647E0"/>
    <w:rsid w:val="4A5B7A20"/>
    <w:rsid w:val="4BAC4A3D"/>
    <w:rsid w:val="4D232226"/>
    <w:rsid w:val="4E5038A2"/>
    <w:rsid w:val="507A687E"/>
    <w:rsid w:val="516250D8"/>
    <w:rsid w:val="53DB5F90"/>
    <w:rsid w:val="56431A19"/>
    <w:rsid w:val="564D1CFB"/>
    <w:rsid w:val="568B3A0E"/>
    <w:rsid w:val="587D6CF9"/>
    <w:rsid w:val="5BBA1B99"/>
    <w:rsid w:val="5C591D67"/>
    <w:rsid w:val="5FDF284C"/>
    <w:rsid w:val="61A26E7C"/>
    <w:rsid w:val="66E41654"/>
    <w:rsid w:val="66F14966"/>
    <w:rsid w:val="66FF744F"/>
    <w:rsid w:val="69B11210"/>
    <w:rsid w:val="6B19348B"/>
    <w:rsid w:val="6CDF1C0B"/>
    <w:rsid w:val="6D535020"/>
    <w:rsid w:val="6DBC14EF"/>
    <w:rsid w:val="70220F26"/>
    <w:rsid w:val="732C07BC"/>
    <w:rsid w:val="73F91324"/>
    <w:rsid w:val="75781678"/>
    <w:rsid w:val="75B40963"/>
    <w:rsid w:val="776A2B1F"/>
    <w:rsid w:val="7B5254BE"/>
    <w:rsid w:val="7D59255A"/>
    <w:rsid w:val="7E5662ED"/>
    <w:rsid w:val="7E7701FD"/>
    <w:rsid w:val="7EB0024A"/>
    <w:rsid w:val="7F0E4C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uiPriority w:val="99"/>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cs="Courier New"/>
      <w:szCs w:val="21"/>
    </w:rPr>
  </w:style>
  <w:style w:type="paragraph" w:styleId="3">
    <w:name w:val="Balloon Text"/>
    <w:basedOn w:val="1"/>
    <w:link w:val="13"/>
    <w:qFormat/>
    <w:uiPriority w:val="0"/>
    <w:rPr>
      <w:sz w:val="18"/>
      <w:szCs w:val="18"/>
    </w:rPr>
  </w:style>
  <w:style w:type="paragraph" w:styleId="4">
    <w:name w:val="footer"/>
    <w:basedOn w:val="1"/>
    <w:link w:val="18"/>
    <w:uiPriority w:val="0"/>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2"/>
    <w:qFormat/>
    <w:uiPriority w:val="0"/>
    <w:pPr>
      <w:snapToGrid w:val="0"/>
      <w:jc w:val="left"/>
    </w:pPr>
    <w:rPr>
      <w:sz w:val="18"/>
      <w:szCs w:val="18"/>
    </w:rPr>
  </w:style>
  <w:style w:type="table" w:styleId="8">
    <w:name w:val="Table Grid"/>
    <w:basedOn w:val="7"/>
    <w:qFormat/>
    <w:uiPriority w:val="5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qFormat/>
    <w:uiPriority w:val="0"/>
    <w:rPr>
      <w:vertAlign w:val="superscript"/>
    </w:rPr>
  </w:style>
  <w:style w:type="character" w:customStyle="1" w:styleId="11">
    <w:name w:val="NormalCharacter"/>
    <w:semiHidden/>
    <w:qFormat/>
    <w:uiPriority w:val="0"/>
    <w:rPr>
      <w:rFonts w:ascii="Calibri" w:hAnsi="Calibri" w:eastAsia="宋体" w:cs="Times New Roman"/>
      <w:kern w:val="2"/>
      <w:sz w:val="21"/>
      <w:szCs w:val="22"/>
      <w:lang w:val="en-US" w:eastAsia="zh-CN" w:bidi="ar-SA"/>
    </w:rPr>
  </w:style>
  <w:style w:type="character" w:customStyle="1" w:styleId="12">
    <w:name w:val="脚注文本 Char"/>
    <w:link w:val="6"/>
    <w:qFormat/>
    <w:uiPriority w:val="0"/>
    <w:rPr>
      <w:rFonts w:ascii="Times New Roman" w:hAnsi="Times New Roman" w:eastAsia="宋体" w:cs="Times New Roman"/>
      <w:kern w:val="2"/>
      <w:sz w:val="18"/>
      <w:szCs w:val="18"/>
    </w:rPr>
  </w:style>
  <w:style w:type="character" w:customStyle="1" w:styleId="13">
    <w:name w:val="批注框文本 Char"/>
    <w:link w:val="3"/>
    <w:qFormat/>
    <w:uiPriority w:val="0"/>
    <w:rPr>
      <w:kern w:val="2"/>
      <w:sz w:val="18"/>
      <w:szCs w:val="18"/>
    </w:rPr>
  </w:style>
  <w:style w:type="paragraph" w:customStyle="1" w:styleId="14">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5">
    <w:name w:val="UserStyle_0"/>
    <w:basedOn w:val="1"/>
    <w:uiPriority w:val="0"/>
    <w:pPr>
      <w:spacing w:line="240" w:lineRule="auto"/>
      <w:jc w:val="both"/>
      <w:textAlignment w:val="baseline"/>
    </w:pPr>
    <w:rPr>
      <w:rFonts w:ascii="宋体" w:hAnsi="Courier New" w:eastAsia="宋体"/>
      <w:kern w:val="2"/>
      <w:sz w:val="21"/>
      <w:szCs w:val="21"/>
      <w:lang w:val="en-US" w:eastAsia="zh-CN" w:bidi="ar-SA"/>
    </w:rPr>
  </w:style>
  <w:style w:type="paragraph" w:styleId="16">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7">
    <w:name w:val="页眉 Char"/>
    <w:basedOn w:val="9"/>
    <w:link w:val="5"/>
    <w:qFormat/>
    <w:uiPriority w:val="0"/>
    <w:rPr>
      <w:kern w:val="2"/>
      <w:sz w:val="18"/>
      <w:szCs w:val="18"/>
    </w:rPr>
  </w:style>
  <w:style w:type="character" w:customStyle="1" w:styleId="18">
    <w:name w:val="页脚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15</Pages>
  <Words>1035</Words>
  <Characters>5904</Characters>
  <Lines>49</Lines>
  <Paragraphs>13</Paragraphs>
  <TotalTime>7</TotalTime>
  <ScaleCrop>false</ScaleCrop>
  <LinksUpToDate>false</LinksUpToDate>
  <CharactersWithSpaces>6926</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2021-05-31T09:41:00Z</dcterms:created>
  <dc:creator>lenovo</dc:creator>
  <cp:lastModifiedBy>赵敏</cp:lastModifiedBy>
  <cp:lastPrinted>2019-03-19T09:23:00Z</cp:lastPrinted>
  <dcterms:modified xsi:type="dcterms:W3CDTF">2023-11-08T06:58:40Z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0736D8AE1D15427C96B35280218E1106</vt:lpwstr>
  </property>
</Properties>
</file>