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52"/>
        </w:rPr>
      </w:pPr>
      <w:r>
        <w:rPr>
          <w:rFonts w:hint="eastAsia" w:ascii="宋体" w:hAnsi="宋体" w:eastAsia="宋体" w:cs="宋体"/>
          <w:b w:val="0"/>
          <w:bCs w:val="0"/>
          <w:sz w:val="52"/>
        </w:rPr>
        <w:t xml:space="preserve"> </w:t>
      </w:r>
      <w:r>
        <w:rPr>
          <w:rFonts w:hint="eastAsia" w:ascii="宋体" w:hAnsi="宋体" w:eastAsia="宋体" w:cs="宋体"/>
          <w:b w:val="0"/>
          <w:bCs w:val="0"/>
          <w:color w:val="000000"/>
          <w:kern w:val="0"/>
          <w:sz w:val="44"/>
          <w:szCs w:val="44"/>
        </w:rPr>
        <w:t>满城区刘家台乡人民政府</w:t>
      </w:r>
    </w:p>
    <w:p>
      <w:pPr>
        <w:widowControl/>
        <w:snapToGrid w:val="0"/>
        <w:spacing w:before="100" w:beforeAutospacing="1" w:after="100" w:afterAutospacing="1" w:line="640" w:lineRule="exact"/>
        <w:jc w:val="center"/>
        <w:rPr>
          <w:rFonts w:hint="eastAsia" w:ascii="宋体" w:hAnsi="宋体" w:eastAsia="宋体" w:cs="宋体"/>
          <w:b w:val="0"/>
          <w:bCs w:val="0"/>
          <w:color w:val="000000"/>
          <w:kern w:val="0"/>
          <w:sz w:val="44"/>
          <w:szCs w:val="44"/>
        </w:rPr>
      </w:pPr>
      <w:r>
        <w:rPr>
          <w:rFonts w:hint="eastAsia" w:ascii="宋体" w:hAnsi="宋体" w:eastAsia="宋体" w:cs="宋体"/>
          <w:b w:val="0"/>
          <w:bCs w:val="0"/>
          <w:color w:val="000000"/>
          <w:kern w:val="0"/>
          <w:sz w:val="44"/>
          <w:szCs w:val="44"/>
        </w:rPr>
        <w:t>2021年部门预算信息公开说明</w:t>
      </w:r>
    </w:p>
    <w:p>
      <w:pPr>
        <w:widowControl/>
        <w:snapToGrid w:val="0"/>
        <w:spacing w:before="100" w:beforeAutospacing="1" w:after="100" w:afterAutospacing="1" w:line="640" w:lineRule="exact"/>
        <w:jc w:val="left"/>
        <w:rPr>
          <w:rFonts w:hint="eastAsia" w:ascii="宋体" w:hAnsi="宋体" w:eastAsia="宋体" w:cs="宋体"/>
          <w:b w:val="0"/>
          <w:bCs w:val="0"/>
          <w:sz w:val="32"/>
          <w:szCs w:val="32"/>
        </w:rPr>
      </w:pPr>
      <w:r>
        <w:rPr>
          <w:rFonts w:hint="eastAsia" w:ascii="宋体" w:hAnsi="宋体" w:eastAsia="宋体" w:cs="宋体"/>
          <w:b w:val="0"/>
          <w:bCs w:val="0"/>
          <w:color w:val="000000"/>
          <w:kern w:val="0"/>
          <w:sz w:val="44"/>
          <w:szCs w:val="44"/>
        </w:rPr>
        <w:t xml:space="preserve">   </w:t>
      </w:r>
      <w:r>
        <w:rPr>
          <w:rFonts w:hint="eastAsia" w:ascii="宋体" w:hAnsi="宋体" w:eastAsia="宋体" w:cs="宋体"/>
          <w:b w:val="0"/>
          <w:bCs w:val="0"/>
          <w:sz w:val="32"/>
          <w:szCs w:val="32"/>
        </w:rPr>
        <w:t>按照《</w:t>
      </w:r>
      <w:r>
        <w:rPr>
          <w:rFonts w:hint="eastAsia" w:ascii="宋体" w:hAnsi="宋体" w:eastAsia="宋体" w:cs="宋体"/>
          <w:b w:val="0"/>
          <w:bCs w:val="0"/>
          <w:sz w:val="32"/>
          <w:szCs w:val="32"/>
          <w:lang w:eastAsia="zh-CN"/>
        </w:rPr>
        <w:t>中华人民共和国</w:t>
      </w:r>
      <w:r>
        <w:rPr>
          <w:rFonts w:hint="eastAsia" w:ascii="宋体" w:hAnsi="宋体" w:eastAsia="宋体" w:cs="宋体"/>
          <w:b w:val="0"/>
          <w:bCs w:val="0"/>
          <w:sz w:val="32"/>
          <w:szCs w:val="32"/>
        </w:rPr>
        <w:t>预算法》、《地方预决算公开操作规程》和《河北省省级预算公开办法》规定，现将满城区刘家台乡部门预算公开如下：</w:t>
      </w:r>
    </w:p>
    <w:p>
      <w:pPr>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第一部分:部门职责及机构设置</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一、部门职责</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kern w:val="0"/>
          <w:sz w:val="32"/>
          <w:szCs w:val="32"/>
        </w:rPr>
        <w:t>满城区刘家台乡由行政编制和事业编制组成，满城区刘家台乡主要职责是：</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1.党政综合</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2.党建</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3.应急管理。</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4.自然资源和生态环境</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5.综合行政执法队（综合指挥和信息化网络中心、社会治安综合治理中心）</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主要职责：负责乡综合行政执法工作，承担乡本级、区直部门下放乡和区直部门委托乡的行政处罚工作；负责本区域内执法工作的日常巡查监管；负责协助区直部门在本行政区域内进行的其他行政执法工作。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6.行政综合服务中心（综合文化服务站）</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7.农业综合服务中心（乡村经济发展服务中心）</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8.刘家台乡单独设置退役军人服务。</w:t>
      </w:r>
    </w:p>
    <w:p>
      <w:pPr>
        <w:spacing w:line="500" w:lineRule="exact"/>
        <w:ind w:firstLine="560" w:firstLineChars="200"/>
        <w:jc w:val="left"/>
        <w:rPr>
          <w:rFonts w:hint="eastAsia" w:ascii="宋体" w:hAnsi="宋体" w:eastAsia="宋体" w:cs="宋体"/>
          <w:b w:val="0"/>
          <w:bCs w:val="0"/>
          <w:sz w:val="32"/>
          <w:szCs w:val="32"/>
        </w:rPr>
      </w:pPr>
      <w:r>
        <w:rPr>
          <w:rFonts w:hint="eastAsia" w:ascii="宋体" w:hAnsi="宋体" w:eastAsia="宋体" w:cs="宋体"/>
          <w:b w:val="0"/>
          <w:bCs w:val="0"/>
          <w:sz w:val="28"/>
        </w:rP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14"/>
        <w:spacing w:line="520" w:lineRule="exact"/>
        <w:ind w:firstLine="643"/>
        <w:rPr>
          <w:rFonts w:hint="eastAsia" w:ascii="宋体" w:hAnsi="宋体" w:eastAsia="宋体" w:cs="宋体"/>
          <w:b w:val="0"/>
          <w:bCs w:val="0"/>
          <w:sz w:val="32"/>
          <w:szCs w:val="32"/>
        </w:rPr>
      </w:pPr>
      <w:r>
        <w:rPr>
          <w:rFonts w:hint="eastAsia" w:ascii="宋体" w:hAnsi="宋体" w:eastAsia="宋体" w:cs="宋体"/>
          <w:b w:val="0"/>
          <w:bCs w:val="0"/>
          <w:sz w:val="32"/>
          <w:szCs w:val="32"/>
        </w:rPr>
        <w:t>二、机构设置</w:t>
      </w:r>
    </w:p>
    <w:tbl>
      <w:tblPr>
        <w:tblStyle w:val="9"/>
        <w:tblW w:w="9900" w:type="dxa"/>
        <w:tblInd w:w="93" w:type="dxa"/>
        <w:tblLayout w:type="fixed"/>
        <w:tblCellMar>
          <w:top w:w="0" w:type="dxa"/>
          <w:left w:w="108" w:type="dxa"/>
          <w:bottom w:w="0" w:type="dxa"/>
          <w:right w:w="108" w:type="dxa"/>
        </w:tblCellMar>
      </w:tblPr>
      <w:tblGrid>
        <w:gridCol w:w="1091"/>
        <w:gridCol w:w="2344"/>
        <w:gridCol w:w="2142"/>
        <w:gridCol w:w="1920"/>
        <w:gridCol w:w="2403"/>
      </w:tblGrid>
      <w:tr>
        <w:tblPrEx>
          <w:tblCellMar>
            <w:top w:w="0" w:type="dxa"/>
            <w:left w:w="108" w:type="dxa"/>
            <w:bottom w:w="0" w:type="dxa"/>
            <w:right w:w="108" w:type="dxa"/>
          </w:tblCellMar>
        </w:tblPrEx>
        <w:trPr>
          <w:trHeight w:val="90" w:hRule="atLeast"/>
        </w:trPr>
        <w:tc>
          <w:tcPr>
            <w:tcW w:w="9900" w:type="dxa"/>
            <w:gridSpan w:val="5"/>
            <w:tcBorders>
              <w:top w:val="nil"/>
              <w:left w:val="nil"/>
              <w:bottom w:val="single" w:color="auto" w:sz="4" w:space="0"/>
              <w:right w:val="nil"/>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部门机构设置情况</w:t>
            </w:r>
          </w:p>
        </w:tc>
      </w:tr>
      <w:tr>
        <w:tblPrEx>
          <w:tblCellMar>
            <w:top w:w="0" w:type="dxa"/>
            <w:left w:w="108" w:type="dxa"/>
            <w:bottom w:w="0" w:type="dxa"/>
            <w:right w:w="108" w:type="dxa"/>
          </w:tblCellMar>
        </w:tblPrEx>
        <w:trPr>
          <w:trHeight w:val="312" w:hRule="atLeast"/>
        </w:trPr>
        <w:tc>
          <w:tcPr>
            <w:tcW w:w="1091"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序号</w:t>
            </w:r>
          </w:p>
        </w:tc>
        <w:tc>
          <w:tcPr>
            <w:tcW w:w="2344"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单位名称</w:t>
            </w:r>
          </w:p>
        </w:tc>
        <w:tc>
          <w:tcPr>
            <w:tcW w:w="2142"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单位性质</w:t>
            </w:r>
          </w:p>
        </w:tc>
        <w:tc>
          <w:tcPr>
            <w:tcW w:w="1920"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单位规格</w:t>
            </w:r>
          </w:p>
        </w:tc>
        <w:tc>
          <w:tcPr>
            <w:tcW w:w="2403"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经费保障形式</w:t>
            </w:r>
          </w:p>
        </w:tc>
      </w:tr>
      <w:tr>
        <w:tblPrEx>
          <w:tblCellMar>
            <w:top w:w="0" w:type="dxa"/>
            <w:left w:w="108" w:type="dxa"/>
            <w:bottom w:w="0" w:type="dxa"/>
            <w:right w:w="108" w:type="dxa"/>
          </w:tblCellMar>
        </w:tblPrEx>
        <w:trPr>
          <w:trHeight w:val="312" w:hRule="atLeast"/>
        </w:trPr>
        <w:tc>
          <w:tcPr>
            <w:tcW w:w="1091"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2344"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2142"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2403"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r>
      <w:tr>
        <w:tblPrEx>
          <w:tblCellMar>
            <w:top w:w="0" w:type="dxa"/>
            <w:left w:w="108" w:type="dxa"/>
            <w:bottom w:w="0" w:type="dxa"/>
            <w:right w:w="108" w:type="dxa"/>
          </w:tblCellMar>
        </w:tblPrEx>
        <w:trPr>
          <w:trHeight w:val="90" w:hRule="atLeast"/>
        </w:trPr>
        <w:tc>
          <w:tcPr>
            <w:tcW w:w="1091" w:type="dxa"/>
            <w:tcBorders>
              <w:top w:val="nil"/>
              <w:left w:val="single" w:color="auto" w:sz="4" w:space="0"/>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w:t>
            </w:r>
          </w:p>
        </w:tc>
        <w:tc>
          <w:tcPr>
            <w:tcW w:w="2344"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保定市满城区刘家台乡人民政府</w:t>
            </w:r>
          </w:p>
        </w:tc>
        <w:tc>
          <w:tcPr>
            <w:tcW w:w="2142"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行政</w:t>
            </w:r>
          </w:p>
        </w:tc>
        <w:tc>
          <w:tcPr>
            <w:tcW w:w="1920" w:type="dxa"/>
            <w:tcBorders>
              <w:top w:val="nil"/>
              <w:left w:val="nil"/>
              <w:bottom w:val="single" w:color="auto" w:sz="4" w:space="0"/>
              <w:right w:val="single" w:color="auto" w:sz="4" w:space="0"/>
            </w:tcBorders>
            <w:noWrap w:val="0"/>
            <w:vAlign w:val="center"/>
          </w:tcPr>
          <w:p>
            <w:pPr>
              <w:widowControl/>
              <w:spacing w:line="540" w:lineRule="exact"/>
              <w:ind w:firstLine="320" w:firstLineChars="100"/>
              <w:rPr>
                <w:rFonts w:hint="eastAsia" w:ascii="宋体" w:hAnsi="宋体" w:eastAsia="宋体" w:cs="宋体"/>
                <w:b w:val="0"/>
                <w:bCs w:val="0"/>
                <w:sz w:val="32"/>
                <w:szCs w:val="32"/>
              </w:rPr>
            </w:pPr>
            <w:r>
              <w:rPr>
                <w:rFonts w:hint="eastAsia" w:ascii="宋体" w:hAnsi="宋体" w:eastAsia="宋体" w:cs="宋体"/>
                <w:b w:val="0"/>
                <w:bCs w:val="0"/>
                <w:sz w:val="32"/>
                <w:szCs w:val="32"/>
              </w:rPr>
              <w:t>正科级</w:t>
            </w:r>
          </w:p>
        </w:tc>
        <w:tc>
          <w:tcPr>
            <w:tcW w:w="2403"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财政拨款</w:t>
            </w:r>
          </w:p>
        </w:tc>
      </w:tr>
    </w:tbl>
    <w:p>
      <w:pPr>
        <w:spacing w:line="520" w:lineRule="exact"/>
        <w:ind w:left="1713" w:firstLine="320" w:firstLineChars="100"/>
        <w:rPr>
          <w:rFonts w:hint="eastAsia" w:ascii="宋体" w:hAnsi="宋体" w:eastAsia="宋体" w:cs="宋体"/>
          <w:b w:val="0"/>
          <w:bCs w:val="0"/>
          <w:sz w:val="32"/>
          <w:szCs w:val="32"/>
        </w:rPr>
      </w:pPr>
    </w:p>
    <w:p>
      <w:pPr>
        <w:numPr>
          <w:ilvl w:val="0"/>
          <w:numId w:val="1"/>
        </w:numPr>
        <w:spacing w:line="520" w:lineRule="exact"/>
        <w:ind w:left="1713" w:firstLine="320" w:firstLineChars="100"/>
        <w:rPr>
          <w:rFonts w:hint="eastAsia" w:ascii="宋体" w:hAnsi="宋体" w:eastAsia="宋体" w:cs="宋体"/>
          <w:b w:val="0"/>
          <w:bCs w:val="0"/>
          <w:sz w:val="32"/>
          <w:szCs w:val="32"/>
        </w:rPr>
      </w:pPr>
      <w:r>
        <w:rPr>
          <w:rFonts w:hint="eastAsia" w:ascii="宋体" w:hAnsi="宋体" w:eastAsia="宋体" w:cs="宋体"/>
          <w:b w:val="0"/>
          <w:bCs w:val="0"/>
          <w:sz w:val="32"/>
          <w:szCs w:val="32"/>
        </w:rPr>
        <w:t>分：部门预算安排的总体情况</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1、收入说明</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2021年保定市满城区刘家台乡人民政府年初部门收入预算总额为765.27万元，全部为一般公共预算收入为765.27万元。</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2、支出说明</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收支预算总表支出栏、基本支出表按经济分类和支出功能分类科目编制，反映保定市满城区刘家台乡人民政府2021年度预算中支出预算的总体情况。</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2021年部门支出安排预算总额765.27万万元。</w:t>
      </w:r>
    </w:p>
    <w:p>
      <w:pPr>
        <w:ind w:firstLine="640" w:firstLineChars="20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基本支出 574.07万元</w:t>
      </w:r>
    </w:p>
    <w:p>
      <w:pPr>
        <w:jc w:val="left"/>
        <w:rPr>
          <w:rFonts w:hint="eastAsia" w:ascii="宋体" w:hAnsi="宋体" w:eastAsia="宋体" w:cs="宋体"/>
          <w:b w:val="0"/>
          <w:bCs w:val="0"/>
          <w:sz w:val="32"/>
          <w:szCs w:val="32"/>
        </w:rPr>
      </w:pPr>
      <w:r>
        <w:rPr>
          <w:rFonts w:hint="eastAsia" w:ascii="宋体" w:hAnsi="宋体" w:eastAsia="宋体" w:cs="宋体"/>
          <w:b w:val="0"/>
          <w:bCs w:val="0"/>
        </w:rPr>
        <w:t xml:space="preserve">        </w:t>
      </w:r>
      <w:r>
        <w:rPr>
          <w:rFonts w:hint="eastAsia" w:ascii="宋体" w:hAnsi="宋体" w:eastAsia="宋体" w:cs="宋体"/>
          <w:b w:val="0"/>
          <w:bCs w:val="0"/>
          <w:sz w:val="32"/>
          <w:szCs w:val="32"/>
        </w:rPr>
        <w:t xml:space="preserve">    其中：人员经费517.35万元</w:t>
      </w:r>
    </w:p>
    <w:p>
      <w:pPr>
        <w:jc w:val="left"/>
        <w:rPr>
          <w:rFonts w:hint="eastAsia" w:ascii="宋体" w:hAnsi="宋体" w:eastAsia="宋体" w:cs="宋体"/>
          <w:b w:val="0"/>
          <w:bCs w:val="0"/>
          <w:sz w:val="18"/>
          <w:szCs w:val="18"/>
        </w:rPr>
      </w:pPr>
      <w:r>
        <w:rPr>
          <w:rFonts w:hint="eastAsia" w:ascii="宋体" w:hAnsi="宋体" w:eastAsia="宋体" w:cs="宋体"/>
          <w:b w:val="0"/>
          <w:bCs w:val="0"/>
          <w:sz w:val="32"/>
          <w:szCs w:val="32"/>
        </w:rPr>
        <w:t xml:space="preserve">              日常公用经费56.72万元</w:t>
      </w:r>
    </w:p>
    <w:p>
      <w:pPr>
        <w:ind w:firstLine="480" w:firstLineChars="15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项目支出191.2万元</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3、比上年增减情况</w:t>
      </w:r>
    </w:p>
    <w:p>
      <w:pPr>
        <w:pStyle w:val="15"/>
        <w:widowControl/>
        <w:spacing w:line="520" w:lineRule="exact"/>
        <w:ind w:left="160" w:leftChars="76" w:firstLine="480" w:firstLineChars="15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2021年度预算收支安排765.27元，较2020年增加204.86万元,其中:基本支出增加132.16万元，增加了34.31%,增加原因为人员调入工资加、日常公用经费增加所致，项目支出增加57.56万元，增加主要原因为村干部工资增加开支。</w:t>
      </w:r>
    </w:p>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2021年我乡的各项支出以将全面贯彻党和国家的有关政策、认真遵守财经纪律为准则，严格按预算规定的标准、用途执行，做到经费按进度，专款专用，力争全面提高资金的使用效率。</w:t>
      </w:r>
    </w:p>
    <w:p>
      <w:pPr>
        <w:widowControl/>
        <w:spacing w:line="540" w:lineRule="exact"/>
        <w:ind w:firstLine="2560" w:firstLineChars="800"/>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第三部分：机关运行经费安排情况</w:t>
      </w:r>
    </w:p>
    <w:p>
      <w:pPr>
        <w:spacing w:line="500" w:lineRule="exact"/>
        <w:ind w:firstLine="627" w:firstLineChars="196"/>
        <w:jc w:val="left"/>
        <w:outlineLvl w:val="0"/>
        <w:rPr>
          <w:rFonts w:hint="eastAsia" w:ascii="宋体" w:hAnsi="宋体" w:eastAsia="宋体" w:cs="宋体"/>
          <w:b w:val="0"/>
          <w:bCs w:val="0"/>
          <w:sz w:val="32"/>
          <w:szCs w:val="32"/>
        </w:rPr>
      </w:pPr>
    </w:p>
    <w:p>
      <w:pPr>
        <w:ind w:firstLine="640" w:firstLineChars="200"/>
        <w:rPr>
          <w:rFonts w:hint="eastAsia" w:ascii="宋体" w:hAnsi="宋体" w:eastAsia="宋体" w:cs="宋体"/>
          <w:b w:val="0"/>
          <w:bCs w:val="0"/>
          <w:sz w:val="18"/>
          <w:szCs w:val="18"/>
        </w:rPr>
      </w:pPr>
      <w:r>
        <w:rPr>
          <w:rFonts w:hint="eastAsia" w:ascii="宋体" w:hAnsi="宋体" w:eastAsia="宋体" w:cs="宋体"/>
          <w:b w:val="0"/>
          <w:bCs w:val="0"/>
          <w:sz w:val="32"/>
          <w:szCs w:val="32"/>
        </w:rPr>
        <w:t>2021年机关运行经费安排56.72万元，其中办公费2.94万元，公务移动通讯费用补贴9.18万元，办公取暖费9万元，水费0.63万元，电费2.1万元，公务用车运行维护费6万元，其他商品和服务支出2万元，公务交通补贴11.88万元，公务接待费0.97万元，差旅费0.63万元等。</w:t>
      </w:r>
    </w:p>
    <w:p>
      <w:pPr>
        <w:spacing w:line="520" w:lineRule="exact"/>
        <w:rPr>
          <w:rFonts w:hint="eastAsia" w:ascii="宋体" w:hAnsi="宋体" w:eastAsia="宋体" w:cs="宋体"/>
          <w:b w:val="0"/>
          <w:bCs w:val="0"/>
          <w:sz w:val="32"/>
          <w:szCs w:val="32"/>
        </w:rPr>
      </w:pPr>
    </w:p>
    <w:p>
      <w:pPr>
        <w:ind w:firstLine="360" w:firstLineChars="200"/>
        <w:rPr>
          <w:rFonts w:hint="eastAsia" w:ascii="宋体" w:hAnsi="宋体" w:eastAsia="宋体" w:cs="宋体"/>
          <w:b w:val="0"/>
          <w:bCs w:val="0"/>
          <w:sz w:val="18"/>
          <w:szCs w:val="18"/>
        </w:rPr>
      </w:pPr>
    </w:p>
    <w:p>
      <w:pPr>
        <w:widowControl/>
        <w:spacing w:before="100" w:beforeAutospacing="1" w:after="100" w:afterAutospacing="1" w:line="420" w:lineRule="atLeast"/>
        <w:ind w:firstLine="2560" w:firstLineChars="800"/>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32"/>
          <w:szCs w:val="32"/>
        </w:rPr>
        <w:t>第四部分：财政拨款“三公”经费预算情况</w:t>
      </w:r>
    </w:p>
    <w:tbl>
      <w:tblPr>
        <w:tblStyle w:val="9"/>
        <w:tblW w:w="0" w:type="auto"/>
        <w:tblInd w:w="0" w:type="dxa"/>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405" w:hRule="atLeast"/>
        </w:trPr>
        <w:tc>
          <w:tcPr>
            <w:tcW w:w="9855" w:type="dxa"/>
            <w:gridSpan w:val="7"/>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32"/>
                <w:szCs w:val="32"/>
              </w:rPr>
              <w:t>“三公”经费预算情况</w:t>
            </w:r>
          </w:p>
        </w:tc>
      </w:tr>
      <w:tr>
        <w:tblPrEx>
          <w:tblCellMar>
            <w:top w:w="0" w:type="dxa"/>
            <w:left w:w="108" w:type="dxa"/>
            <w:bottom w:w="0" w:type="dxa"/>
            <w:right w:w="108" w:type="dxa"/>
          </w:tblCellMar>
        </w:tblPrEx>
        <w:trPr>
          <w:trHeight w:val="285" w:hRule="atLeast"/>
        </w:trPr>
        <w:tc>
          <w:tcPr>
            <w:tcW w:w="2136" w:type="dxa"/>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1577" w:type="dxa"/>
            <w:gridSpan w:val="2"/>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1577" w:type="dxa"/>
            <w:gridSpan w:val="2"/>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672" w:type="dxa"/>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3893" w:type="dxa"/>
            <w:noWrap w:val="0"/>
            <w:vAlign w:val="center"/>
          </w:tcPr>
          <w:p>
            <w:pPr>
              <w:widowControl/>
              <w:spacing w:before="100" w:beforeAutospacing="1" w:after="100" w:afterAutospacing="1"/>
              <w:jc w:val="righ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单位：万元</w:t>
            </w:r>
          </w:p>
        </w:tc>
      </w:tr>
      <w:tr>
        <w:tblPrEx>
          <w:tblCellMar>
            <w:top w:w="0" w:type="dxa"/>
            <w:left w:w="108" w:type="dxa"/>
            <w:bottom w:w="0" w:type="dxa"/>
            <w:right w:w="108" w:type="dxa"/>
          </w:tblCellMar>
        </w:tblPrEx>
        <w:trPr>
          <w:trHeight w:val="688" w:hRule="atLeast"/>
        </w:trPr>
        <w:tc>
          <w:tcPr>
            <w:tcW w:w="213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项目名称</w:t>
            </w:r>
          </w:p>
        </w:tc>
        <w:tc>
          <w:tcPr>
            <w:tcW w:w="1275"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2020年度</w:t>
            </w:r>
          </w:p>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预算</w:t>
            </w:r>
          </w:p>
        </w:tc>
        <w:tc>
          <w:tcPr>
            <w:tcW w:w="1276"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2021年度</w:t>
            </w:r>
          </w:p>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预算</w:t>
            </w:r>
          </w:p>
        </w:tc>
        <w:tc>
          <w:tcPr>
            <w:tcW w:w="1275"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增减金额</w:t>
            </w:r>
          </w:p>
        </w:tc>
        <w:tc>
          <w:tcPr>
            <w:tcW w:w="3893"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变化原因</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因公出国经费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ind w:firstLine="840" w:firstLineChars="400"/>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无增减变化</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公务用车购置经费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ind w:firstLine="840" w:firstLineChars="400"/>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7.2</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ind w:firstLine="600" w:firstLineChars="250"/>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6</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-1.2</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szCs w:val="21"/>
              </w:rPr>
              <w:t>2021年严控</w:t>
            </w:r>
            <w:r>
              <w:rPr>
                <w:rFonts w:hint="eastAsia" w:ascii="宋体" w:hAnsi="宋体" w:eastAsia="宋体" w:cs="宋体"/>
                <w:b w:val="0"/>
                <w:bCs w:val="0"/>
                <w:color w:val="000000"/>
                <w:kern w:val="0"/>
                <w:sz w:val="24"/>
              </w:rPr>
              <w:t>公务用车运行经费</w:t>
            </w:r>
            <w:r>
              <w:rPr>
                <w:rFonts w:hint="eastAsia" w:ascii="宋体" w:hAnsi="宋体" w:eastAsia="宋体" w:cs="宋体"/>
                <w:b w:val="0"/>
                <w:bCs w:val="0"/>
                <w:color w:val="000000"/>
                <w:szCs w:val="21"/>
              </w:rPr>
              <w:t>预算。</w:t>
            </w:r>
          </w:p>
        </w:tc>
      </w:tr>
      <w:tr>
        <w:tblPrEx>
          <w:tblCellMar>
            <w:top w:w="0" w:type="dxa"/>
            <w:left w:w="108" w:type="dxa"/>
            <w:bottom w:w="0" w:type="dxa"/>
            <w:right w:w="108" w:type="dxa"/>
          </w:tblCellMar>
        </w:tblPrEx>
        <w:trPr>
          <w:trHeight w:val="605"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公务接待费支出</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0.8632</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0.97</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0.1068</w:t>
            </w:r>
          </w:p>
        </w:tc>
        <w:tc>
          <w:tcPr>
            <w:tcW w:w="3893" w:type="dxa"/>
            <w:tcBorders>
              <w:top w:val="nil"/>
              <w:left w:val="nil"/>
              <w:bottom w:val="single" w:color="auto" w:sz="4" w:space="0"/>
              <w:right w:val="single" w:color="auto" w:sz="4" w:space="0"/>
            </w:tcBorders>
            <w:noWrap w:val="0"/>
            <w:vAlign w:val="center"/>
          </w:tcPr>
          <w:p>
            <w:pPr>
              <w:pStyle w:val="8"/>
              <w:widowControl/>
              <w:rPr>
                <w:rFonts w:hint="eastAsia" w:ascii="宋体" w:hAnsi="宋体" w:eastAsia="宋体" w:cs="宋体"/>
                <w:b w:val="0"/>
                <w:bCs w:val="0"/>
                <w:color w:val="000000"/>
                <w:szCs w:val="21"/>
              </w:rPr>
            </w:pPr>
            <w:r>
              <w:rPr>
                <w:rFonts w:hint="eastAsia" w:ascii="宋体" w:hAnsi="宋体" w:eastAsia="宋体" w:cs="宋体"/>
                <w:b w:val="0"/>
                <w:bCs w:val="0"/>
                <w:color w:val="000000"/>
                <w:sz w:val="21"/>
                <w:szCs w:val="21"/>
              </w:rPr>
              <w:t>公务接待费按比例提取。</w:t>
            </w:r>
          </w:p>
        </w:tc>
      </w:tr>
      <w:tr>
        <w:tblPrEx>
          <w:tblCellMar>
            <w:top w:w="0" w:type="dxa"/>
            <w:left w:w="108" w:type="dxa"/>
            <w:bottom w:w="0" w:type="dxa"/>
            <w:right w:w="108" w:type="dxa"/>
          </w:tblCellMar>
        </w:tblPrEx>
        <w:trPr>
          <w:trHeight w:val="114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合计</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8.0632</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6.97</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-1.0932</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按比例计提</w:t>
            </w:r>
          </w:p>
        </w:tc>
      </w:tr>
    </w:tbl>
    <w:p>
      <w:pPr>
        <w:jc w:val="center"/>
        <w:rPr>
          <w:rFonts w:hint="eastAsia" w:ascii="宋体" w:hAnsi="宋体" w:eastAsia="宋体" w:cs="宋体"/>
          <w:b w:val="0"/>
          <w:bCs w:val="0"/>
          <w:sz w:val="32"/>
          <w:szCs w:val="32"/>
        </w:rPr>
      </w:pPr>
    </w:p>
    <w:p>
      <w:pPr>
        <w:jc w:val="center"/>
        <w:rPr>
          <w:rFonts w:hint="eastAsia" w:ascii="宋体" w:hAnsi="宋体" w:eastAsia="宋体" w:cs="宋体"/>
          <w:b w:val="0"/>
          <w:bCs w:val="0"/>
          <w:sz w:val="32"/>
          <w:szCs w:val="32"/>
        </w:rPr>
      </w:pPr>
    </w:p>
    <w:p>
      <w:pPr>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第五部分：绩效预算信息</w:t>
      </w:r>
    </w:p>
    <w:p>
      <w:pPr>
        <w:spacing w:line="240" w:lineRule="exact"/>
        <w:jc w:val="center"/>
        <w:rPr>
          <w:rFonts w:hint="eastAsia" w:ascii="宋体" w:hAnsi="宋体" w:eastAsia="宋体" w:cs="宋体"/>
          <w:b w:val="0"/>
          <w:bCs w:val="0"/>
          <w:sz w:val="32"/>
          <w:szCs w:val="32"/>
        </w:rPr>
      </w:pPr>
    </w:p>
    <w:p>
      <w:pPr>
        <w:spacing w:line="500" w:lineRule="exact"/>
        <w:ind w:firstLine="560"/>
        <w:rPr>
          <w:rFonts w:hint="eastAsia" w:ascii="宋体" w:hAnsi="宋体" w:eastAsia="宋体" w:cs="宋体"/>
          <w:b w:val="0"/>
          <w:bCs w:val="0"/>
          <w:sz w:val="28"/>
        </w:rPr>
      </w:pPr>
      <w:bookmarkStart w:id="0" w:name="_Toc70332434"/>
      <w:r>
        <w:rPr>
          <w:rFonts w:hint="eastAsia" w:ascii="宋体" w:hAnsi="宋体" w:eastAsia="宋体" w:cs="宋体"/>
          <w:b w:val="0"/>
          <w:bCs w:val="0"/>
          <w:sz w:val="32"/>
          <w:szCs w:val="32"/>
        </w:rPr>
        <w:t>一、总体绩效目标</w:t>
      </w:r>
      <w:r>
        <w:rPr>
          <w:rFonts w:hint="eastAsia" w:ascii="宋体" w:hAnsi="宋体" w:eastAsia="宋体" w:cs="宋体"/>
          <w:b w:val="0"/>
          <w:bCs w:val="0"/>
          <w:sz w:val="28"/>
        </w:rPr>
        <w:t xml:space="preserve"> </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 xml:space="preserve"> 我乡将以党的十九大精神为指导，紧紧围绕区委、区政府，继续以人民群众利益为根本，定目标、赶进度,以项目建设为重点，抢抓机遇促发展，坚持夯实党建基础，挖掘弘扬红色文化主旋律，认真抓好生态资源保护，主动适应新常态，全力打造红色革命老区、绿色山水画廊、美丽和谐家园，推进全乡各项工作进一步开展。</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一是强化保护全乡生态环境态势。继续坚持“绿水青山就是金山银山”，以高压态势维护全乡生态环境。积极谋划推进“造林造风景”的植树造林工作，在绿化山坡荒地的基础上，为全域旅游发展打下坚实基础。</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二是谋划推进全域旅游发展。大力推进高士生态水镇建设，同时积极谋划推进全域旅游建设。按照九寨沟模式，规划三沟互通，整体打造，分步分区域实施，逐步迁出，集中配置，设施共享，公字当先，民生为主，集体运作，资源入股，全员就业，推进小城镇建设或中心村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三是进一步进行精准扶贫工作。针对各贫户不同情况，进一步强化精准扶贫举措。以面包虫饲养、林下菌种植为载体，以免费发放虫苗、菌种，专人指导教学，成品集体收购的方式，支持帮扶贫困户，切实改善贫困户生活环境，达到贫困人员脱真贫的效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四是加大村集体经济发展力度。继续推进慈家台村集体经济发展项目，并以此为契机，辐射周边，形成发展村集体经济，促进农民增收，推进精准扶贫发展的良好循环。</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 xml:space="preserve">       </w:t>
      </w:r>
    </w:p>
    <w:p>
      <w:pPr>
        <w:jc w:val="left"/>
        <w:rPr>
          <w:rFonts w:hint="eastAsia" w:ascii="宋体" w:hAnsi="宋体" w:eastAsia="宋体" w:cs="宋体"/>
          <w:b w:val="0"/>
          <w:bCs w:val="0"/>
          <w:sz w:val="28"/>
        </w:rPr>
      </w:pPr>
      <w:r>
        <w:rPr>
          <w:rFonts w:hint="eastAsia" w:ascii="宋体" w:hAnsi="宋体" w:eastAsia="宋体" w:cs="宋体"/>
          <w:b w:val="0"/>
          <w:bCs w:val="0"/>
          <w:sz w:val="28"/>
        </w:rPr>
        <w:t xml:space="preserve">    二、职责分类绩效目标：</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 xml:space="preserve"> 职责分类绩效目标情况说明</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部门职责1人大监督、人大代表。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部门职责2民族宗教事务管理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部门职责3党政事务管理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完成党委、人大、纪检、组织、宣传、统计、妇联等工作，协调各办公室的工作关系，完成政府日常事务和机关后勤工作，完成党委政府交办的其他事项。</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部门职责4政法综治稳定和国家安全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部门职责5社会管理与服务</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组织指导乡镇、村民委员会和基层群众自治组织；指导村民委员会民主选举、民主决策、民主管理和民主监督，村务公开；指导乡镇村民委员会建设及服务管理工作。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部门职责6政府专项工作服务与管理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政府采购、农村综合改革、政府债务、综合治税、政府购买服务、规范津补贴等政府专项工作的服务与管理.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部门职责7财政</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负责编制乡财政预算、决算预算，财政工作加强财务会计管理工作，依法按照财经制度管理会计事务。维护财经制度，办理好各项财经事项。</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部门职责8水利水电项目建设与管理</w:t>
      </w:r>
      <w:r>
        <w:rPr>
          <w:rFonts w:hint="eastAsia" w:ascii="宋体" w:hAnsi="宋体" w:eastAsia="宋体" w:cs="宋体"/>
          <w:b w:val="0"/>
          <w:bCs w:val="0"/>
          <w:sz w:val="28"/>
        </w:rPr>
        <w:tab/>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部门职责9城乡建设管理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乡镇公用设施建设、安全和应急管理；落实村庄和小城镇建设政策；指导农村住房建设、住房安全和危房改造；改善小城镇和村庄人居环境。</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部门职责10交通运输基础设施建设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完成路基路面大中型维修，加固桥梁，治理隐患；农村公路养护实施“以奖代补”。</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部门职责11政务管理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部门职责12医疗保障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组织、引导、支持，农民自愿参加新型农村合作医疗，提高农村居民的医疗保障水平；建立大病保险制度；对城乡居民因患大病发生的高额医疗费用给予报销。</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部门职责13计划生育</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提供各类计划生育技术服务，建立利益导向机制，开展出生人口性别比治理以及流动人口计划生育管理等各项工作。</w:t>
      </w:r>
      <w:r>
        <w:rPr>
          <w:rFonts w:hint="eastAsia" w:ascii="宋体" w:hAnsi="宋体" w:eastAsia="宋体" w:cs="宋体"/>
          <w:b w:val="0"/>
          <w:bCs w:val="0"/>
          <w:sz w:val="28"/>
        </w:rPr>
        <w:tab/>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ab/>
      </w:r>
      <w:r>
        <w:rPr>
          <w:rFonts w:hint="eastAsia" w:ascii="宋体" w:hAnsi="宋体" w:eastAsia="宋体" w:cs="宋体"/>
          <w:b w:val="0"/>
          <w:bCs w:val="0"/>
          <w:sz w:val="28"/>
        </w:rPr>
        <w:t>部门职责14农村文化建设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部门职责15环境污染综合防治</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部门职责16信访问题处理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负责正常信访、非访、突发性及群体性事件的办理；提供相关服务保障；协助区信访局处理群众进京上访；信访事项督查、复查、复核、听证。</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部门职责17民兵训练和专武干部培训</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根据上级要求，认真制定基干民兵和专武干部培训计划和方案，严格组织人员按质按量完成训练任务。保证装备器材的良好状态，随时执行紧急拉动和应急任务。</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部门职责18义务教育</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提高义务教育公用经费保障水平，改善办学条件，均衡配置基础教育资源，缩小城乡、区域、校际之间办学差距，落实学生资助政策。</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部门职责19食品药品安全管理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对食品制作流通各环节进行监管，及时发现和排除食品安全问题，确保大型活动期间的餐饮安全。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部门职责20安全生产综合监督管理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承担全乡安全生产综合监督管理责任，依法行使综合监督管理职权；根据《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部门职责21防灾减灾救灾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组织开展乡镇防灾减灾救灾工作；组织救灾捐赠工作，负责救灾捐赠款物的接收和分配。</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部门职责22扶持农产品生产</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对生产者采取直接补贴的办法，支持推广优良品种、先进适用种养技术，实施科学管理，提高农产品质量、产量，提高生产经营效益</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部门职责23完善农村经营管理体制</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推进农村集体产权制度改革，完善农村土地承包制度，引导农村土地合理流转。创新农业经营主体。</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部门职责24林业生态建设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部门职责25推进新农村建设</w:t>
      </w:r>
    </w:p>
    <w:p>
      <w:pPr>
        <w:spacing w:after="156" w:afterLines="50" w:line="500" w:lineRule="exact"/>
        <w:jc w:val="left"/>
        <w:outlineLvl w:val="0"/>
        <w:rPr>
          <w:rFonts w:hint="eastAsia" w:ascii="宋体" w:hAnsi="宋体" w:eastAsia="宋体" w:cs="宋体"/>
          <w:b w:val="0"/>
          <w:bCs w:val="0"/>
          <w:sz w:val="28"/>
        </w:rPr>
      </w:pPr>
      <w:r>
        <w:rPr>
          <w:rFonts w:hint="eastAsia" w:ascii="宋体" w:hAnsi="宋体" w:eastAsia="宋体" w:cs="宋体"/>
          <w:b w:val="0"/>
          <w:bCs w:val="0"/>
          <w:sz w:val="28"/>
        </w:rPr>
        <w:t>通过实施农村面貌改造提升行动和开展新民居中心村示范点建设，加快建设社会主义新农村。改善农村环境面貌，提升农民生产生活条件。</w:t>
      </w:r>
    </w:p>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三、实现年度发展规划目标的保障措施</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年度发展规划目标的保障措施</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一是抓学习，提高政策把握能力。继续坚持乡机关干部每周五集中学习制度，乡党委中心组每季度一次集中学习制度，村党员干部“三会一课”制度。不定期邀请有关领导、业务骨干，解读政策法规、各级重点会议精神，提高乡村干部政策把握能力。</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二是重培养，提高干事担当能力。着重加强后备干部培养，建立健全规章制度，提高政治业务素质、组织领导能力，为基层组织建设储足“马力”。组织开展乡村干部工作“大比武”。晒成绩，分享经验，互看互学；亮不足，查找原因，总结提升。</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三是强服务，提高为民办事能力。以“手续简、服务优、效率高”为宗旨，建设乡政府便民服务大厅，将计生、民政、社保、医保、法律援助等服务项目，统一纳入大厅集中办公，打通服务群众“最后一公里”。</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四是重民生，谋发展。继续落实“村务公开、村财乡代管”、村民代表代表大会制度”等行之有效的措施，加大教育、计生、卫生、扶贫、社保等工作力度，将各项惠民政策落到实处。</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五是保稳定。持之以恒固基础，团结稳</w:t>
      </w:r>
      <w:bookmarkStart w:id="11" w:name="_GoBack"/>
      <w:bookmarkEnd w:id="11"/>
      <w:r>
        <w:rPr>
          <w:rFonts w:hint="eastAsia" w:ascii="宋体" w:hAnsi="宋体" w:eastAsia="宋体" w:cs="宋体"/>
          <w:b w:val="0"/>
          <w:bCs w:val="0"/>
          <w:sz w:val="28"/>
        </w:rPr>
        <w:t>定促和谐。全力构建平安，创建一个良好的发展环境和人居环境。</w:t>
      </w:r>
    </w:p>
    <w:p>
      <w:pPr>
        <w:ind w:firstLine="560" w:firstLineChars="200"/>
        <w:jc w:val="left"/>
        <w:outlineLvl w:val="3"/>
        <w:rPr>
          <w:rFonts w:hint="eastAsia" w:ascii="宋体" w:hAnsi="宋体" w:eastAsia="宋体" w:cs="宋体"/>
          <w:b w:val="0"/>
          <w:bCs w:val="0"/>
          <w:sz w:val="28"/>
        </w:rPr>
      </w:pPr>
      <w:r>
        <w:rPr>
          <w:rFonts w:hint="eastAsia" w:ascii="宋体" w:hAnsi="宋体" w:eastAsia="宋体" w:cs="宋体"/>
          <w:b w:val="0"/>
          <w:bCs w:val="0"/>
          <w:sz w:val="28"/>
        </w:rPr>
        <w:t>1.2016年刘家台村改厕农民工工资绩效目标表</w:t>
      </w:r>
      <w:bookmarkEnd w:id="0"/>
      <w:r>
        <w:fldChar w:fldCharType="begin"/>
      </w:r>
      <w:r>
        <w:rPr>
          <w:rFonts w:hint="eastAsia" w:ascii="宋体" w:hAnsi="宋体" w:eastAsia="宋体" w:cs="宋体"/>
          <w:b w:val="0"/>
          <w:bCs w:val="0"/>
          <w:sz w:val="28"/>
        </w:rPr>
        <w:instrText xml:space="preserve"> TC 1、2016年刘家台村改厕农民工工资绩效目标表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130621216375GLGYHUOHW</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2016年刘家台村改厕农民工工资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5.52</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5.52</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用于改厕工程中的工资支付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1.完成改厕和污水收集与处理的示范作用</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2.让群众满意</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工资发放人数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享受农民工工资的具体人数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35人</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实际发放工资占应发工资的比例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农民工工资发放的具体时间</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3月底前</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平均人均工资金额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0.08万元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得到农民工的充分认可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受益群体满意度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享受工资的农民工的满意数量占总数的比例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1" w:name="_Toc70332435"/>
      <w:r>
        <w:rPr>
          <w:rFonts w:hint="eastAsia" w:ascii="宋体" w:hAnsi="宋体" w:eastAsia="宋体" w:cs="宋体"/>
          <w:b w:val="0"/>
          <w:bCs w:val="0"/>
          <w:sz w:val="28"/>
        </w:rPr>
        <w:t>2.正常离任村干部生活补贴绩效目标表</w:t>
      </w:r>
      <w:bookmarkEnd w:id="1"/>
      <w:r>
        <w:fldChar w:fldCharType="begin"/>
      </w:r>
      <w:r>
        <w:rPr>
          <w:rFonts w:hint="eastAsia" w:ascii="宋体" w:hAnsi="宋体" w:eastAsia="宋体" w:cs="宋体"/>
          <w:b w:val="0"/>
          <w:bCs w:val="0"/>
          <w:sz w:val="28"/>
        </w:rPr>
        <w:instrText xml:space="preserve"> TC 2、正常离任村干部生活补贴绩效目标表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130621216GLP1HGKWNG3Z</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5.76</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5.76</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为正常离任的村干部发放补贴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1.保障离任干部的正常生活</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2.体现党对离任干部的关怀</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实际发放的补助占应发补助的比率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补助人员率概率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享受补贴的人数占应享受补贴人数的比率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按时拨付的资金占总体资金的比率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平均每人每月补助金额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0.04万元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享受的干部充分认可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明显提高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享受补贴的干部的满意程度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2" w:name="_Toc70332436"/>
      <w:r>
        <w:rPr>
          <w:rFonts w:hint="eastAsia" w:ascii="宋体" w:hAnsi="宋体" w:eastAsia="宋体" w:cs="宋体"/>
          <w:b w:val="0"/>
          <w:bCs w:val="0"/>
          <w:sz w:val="28"/>
        </w:rPr>
        <w:t>3.黃龙寺学校崩塌地质灾害治理经费绩效目标表</w:t>
      </w:r>
      <w:bookmarkEnd w:id="2"/>
      <w:r>
        <w:fldChar w:fldCharType="begin"/>
      </w:r>
      <w:r>
        <w:rPr>
          <w:rFonts w:hint="eastAsia" w:ascii="宋体" w:hAnsi="宋体" w:eastAsia="宋体" w:cs="宋体"/>
          <w:b w:val="0"/>
          <w:bCs w:val="0"/>
          <w:sz w:val="28"/>
        </w:rPr>
        <w:instrText xml:space="preserve"> TC 3、黃龙寺学校崩塌地质灾害治理经费绩效目标表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13062121BEFGM91PGM4IF</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黃龙寺学校崩塌地质灾害治理经费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33.28</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33.28</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用于刘家台乡崩塌地址灾害治理工程款</w:t>
            </w:r>
          </w:p>
          <w:p>
            <w:pPr>
              <w:spacing w:line="300" w:lineRule="exact"/>
              <w:jc w:val="left"/>
              <w:rPr>
                <w:rFonts w:hint="eastAsia" w:ascii="宋体" w:hAnsi="宋体" w:eastAsia="宋体" w:cs="宋体"/>
                <w:b w:val="0"/>
                <w:bCs w:val="0"/>
              </w:rPr>
            </w:pP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1.及时完成工程项目</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2.防止自然灾害的发生</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完成项目数量</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工程完成项目数量</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1项</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项目合格率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合格项目占总项目的比率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完工及时率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工程完工及时率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控制在批复概算内</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项目完成总成本</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83.19万元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自然灾害防治能力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提升我乡自然灾害防治能力</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明显提高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公众安全感指数(%)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公众安全感指数(%)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群众满意度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3" w:name="_Toc70332437"/>
      <w:r>
        <w:rPr>
          <w:rFonts w:hint="eastAsia" w:ascii="宋体" w:hAnsi="宋体" w:eastAsia="宋体" w:cs="宋体"/>
          <w:b w:val="0"/>
          <w:bCs w:val="0"/>
          <w:sz w:val="28"/>
        </w:rPr>
        <w:t>4.村党组织活动经费绩效目标表</w:t>
      </w:r>
      <w:bookmarkEnd w:id="3"/>
      <w:r>
        <w:fldChar w:fldCharType="begin"/>
      </w:r>
      <w:r>
        <w:rPr>
          <w:rFonts w:hint="eastAsia" w:ascii="宋体" w:hAnsi="宋体" w:eastAsia="宋体" w:cs="宋体"/>
          <w:b w:val="0"/>
          <w:bCs w:val="0"/>
          <w:sz w:val="28"/>
        </w:rPr>
        <w:instrText xml:space="preserve"> TC 4、村党组织活动经费绩效目标表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13062121KIF2K1WYG2VGG</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4.09</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4.09</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拨付到村，发展农村集体经济，加强基层组织建设，村党员干部教育培训，村党组织</w:t>
            </w:r>
            <w:r>
              <w:rPr>
                <w:rFonts w:hint="eastAsia" w:ascii="宋体" w:hAnsi="宋体" w:eastAsia="宋体" w:cs="宋体"/>
                <w:b w:val="0"/>
                <w:bCs w:val="0"/>
                <w:cs/>
              </w:rPr>
              <w:t>“</w:t>
            </w:r>
            <w:r>
              <w:rPr>
                <w:rFonts w:hint="eastAsia" w:ascii="宋体" w:hAnsi="宋体" w:eastAsia="宋体" w:cs="宋体"/>
                <w:b w:val="0"/>
                <w:bCs w:val="0"/>
              </w:rPr>
              <w:t>三会一课</w:t>
            </w:r>
            <w:r>
              <w:rPr>
                <w:rFonts w:hint="eastAsia" w:ascii="宋体" w:hAnsi="宋体" w:eastAsia="宋体" w:cs="宋体"/>
                <w:b w:val="0"/>
                <w:bCs w:val="0"/>
                <w:cs/>
              </w:rPr>
              <w:t>”</w:t>
            </w:r>
            <w:r>
              <w:rPr>
                <w:rFonts w:hint="eastAsia" w:ascii="宋体" w:hAnsi="宋体" w:eastAsia="宋体" w:cs="宋体"/>
                <w:b w:val="0"/>
                <w:bCs w:val="0"/>
              </w:rPr>
              <w:t>主题教育培训</w:t>
            </w: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乡村个数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享受党组织活动经费村数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覆盖率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享受政策村数占符合条件村数比例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0.45万元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改善基层党组织活动环境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4" w:name="_Toc70332438"/>
      <w:r>
        <w:rPr>
          <w:rFonts w:hint="eastAsia" w:ascii="宋体" w:hAnsi="宋体" w:eastAsia="宋体" w:cs="宋体"/>
          <w:b w:val="0"/>
          <w:bCs w:val="0"/>
          <w:sz w:val="28"/>
        </w:rPr>
        <w:t>5.九年一贯制学校租地款绩效目标表</w:t>
      </w:r>
      <w:bookmarkEnd w:id="4"/>
      <w:r>
        <w:fldChar w:fldCharType="begin"/>
      </w:r>
      <w:r>
        <w:rPr>
          <w:rFonts w:hint="eastAsia" w:ascii="宋体" w:hAnsi="宋体" w:eastAsia="宋体" w:cs="宋体"/>
          <w:b w:val="0"/>
          <w:bCs w:val="0"/>
          <w:sz w:val="28"/>
        </w:rPr>
        <w:instrText xml:space="preserve"> TC 5、九年一贯制学校租地款绩效目标表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13062121LDWMTYZWRPB4Z</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九年一贯制学校租地款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6.00</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6.00</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支付乡九年一贯学校租地费</w:t>
            </w: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1.及时支付租地款让租户满意</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2.保证学校正常教学</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租地费发放亩数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享受租地户发放地款亩数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20亩</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实际发放额占应发放额的比例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租地款具体发放时间</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平均每年补助金额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0.3万元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得到租地户的充分认可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受益人员满意数量占总数的比例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5" w:name="_Toc70332439"/>
      <w:r>
        <w:rPr>
          <w:rFonts w:hint="eastAsia" w:ascii="宋体" w:hAnsi="宋体" w:eastAsia="宋体" w:cs="宋体"/>
          <w:b w:val="0"/>
          <w:bCs w:val="0"/>
          <w:sz w:val="28"/>
        </w:rPr>
        <w:t>6.基层组织运转经费和党建提升绩效目标表</w:t>
      </w:r>
      <w:bookmarkEnd w:id="5"/>
      <w:r>
        <w:fldChar w:fldCharType="begin"/>
      </w:r>
      <w:r>
        <w:rPr>
          <w:rFonts w:hint="eastAsia" w:ascii="宋体" w:hAnsi="宋体" w:eastAsia="宋体" w:cs="宋体"/>
          <w:b w:val="0"/>
          <w:bCs w:val="0"/>
          <w:sz w:val="28"/>
        </w:rPr>
        <w:instrText xml:space="preserve"> TC 6、基层组织运转经费和党建提升绩效目标表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13062121S6DL9OMXPEWHL</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基层组织运转经费和党建提升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2.56</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2.56</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用于保障基层组织运转</w:t>
            </w: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享受基层组织经费经费村数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经费按时拨付比例</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基层组织运转和党建提升经费按时拨付情况</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每个村补贴标准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0.28万元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改善基层党组织活动环境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6" w:name="_Toc70332440"/>
      <w:r>
        <w:rPr>
          <w:rFonts w:hint="eastAsia" w:ascii="宋体" w:hAnsi="宋体" w:eastAsia="宋体" w:cs="宋体"/>
          <w:b w:val="0"/>
          <w:bCs w:val="0"/>
          <w:sz w:val="28"/>
        </w:rPr>
        <w:t>7.村级组织办公经费绩效目标表</w:t>
      </w:r>
      <w:bookmarkEnd w:id="6"/>
      <w:r>
        <w:fldChar w:fldCharType="begin"/>
      </w:r>
      <w:r>
        <w:rPr>
          <w:rFonts w:hint="eastAsia" w:ascii="宋体" w:hAnsi="宋体" w:eastAsia="宋体" w:cs="宋体"/>
          <w:b w:val="0"/>
          <w:bCs w:val="0"/>
          <w:sz w:val="28"/>
        </w:rPr>
        <w:instrText xml:space="preserve"> TC 7、村级组织办公经费绩效目标表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13062121T3I9U9AYUL813</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2.97</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2.97</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拨付到村，发展农村集体经济，加强基层组织建设，村党员干部教育培训，村党组织</w:t>
            </w:r>
            <w:r>
              <w:rPr>
                <w:rFonts w:hint="eastAsia" w:ascii="宋体" w:hAnsi="宋体" w:eastAsia="宋体" w:cs="宋体"/>
                <w:b w:val="0"/>
                <w:bCs w:val="0"/>
                <w:cs/>
              </w:rPr>
              <w:t>“</w:t>
            </w:r>
            <w:r>
              <w:rPr>
                <w:rFonts w:hint="eastAsia" w:ascii="宋体" w:hAnsi="宋体" w:eastAsia="宋体" w:cs="宋体"/>
                <w:b w:val="0"/>
                <w:bCs w:val="0"/>
              </w:rPr>
              <w:t>三会一课</w:t>
            </w:r>
            <w:r>
              <w:rPr>
                <w:rFonts w:hint="eastAsia" w:ascii="宋体" w:hAnsi="宋体" w:eastAsia="宋体" w:cs="宋体"/>
                <w:b w:val="0"/>
                <w:bCs w:val="0"/>
                <w:cs/>
              </w:rPr>
              <w:t>”</w:t>
            </w:r>
            <w:r>
              <w:rPr>
                <w:rFonts w:hint="eastAsia" w:ascii="宋体" w:hAnsi="宋体" w:eastAsia="宋体" w:cs="宋体"/>
                <w:b w:val="0"/>
                <w:bCs w:val="0"/>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享受村级组织部办公经费村数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覆盖率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享受政策村数占符合条件村数比例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0.33万元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改善基层党组织活动环境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7" w:name="_Toc70332441"/>
      <w:r>
        <w:rPr>
          <w:rFonts w:hint="eastAsia" w:ascii="宋体" w:hAnsi="宋体" w:eastAsia="宋体" w:cs="宋体"/>
          <w:b w:val="0"/>
          <w:bCs w:val="0"/>
          <w:sz w:val="28"/>
        </w:rPr>
        <w:t>8.农村文化建设资金绩效目标表</w:t>
      </w:r>
      <w:bookmarkEnd w:id="7"/>
      <w:r>
        <w:fldChar w:fldCharType="begin"/>
      </w:r>
      <w:r>
        <w:rPr>
          <w:rFonts w:hint="eastAsia" w:ascii="宋体" w:hAnsi="宋体" w:eastAsia="宋体" w:cs="宋体"/>
          <w:b w:val="0"/>
          <w:bCs w:val="0"/>
          <w:sz w:val="28"/>
        </w:rPr>
        <w:instrText xml:space="preserve"> TC 8、农村文化建设资金绩效目标表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13062121UFNLO11IPQVV5</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4.50</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4.50</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提升农村文化水平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享受文化建设资金村数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覆盖率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享受政策村数占符合条件村数比例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0.5万元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改善文化环境</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改善基层文化环境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8" w:name="_Toc70332442"/>
      <w:r>
        <w:rPr>
          <w:rFonts w:hint="eastAsia" w:ascii="宋体" w:hAnsi="宋体" w:eastAsia="宋体" w:cs="宋体"/>
          <w:b w:val="0"/>
          <w:bCs w:val="0"/>
          <w:sz w:val="28"/>
        </w:rPr>
        <w:t>9.村干部基础职务补贴绩效目标表</w:t>
      </w:r>
      <w:bookmarkEnd w:id="8"/>
      <w:r>
        <w:fldChar w:fldCharType="begin"/>
      </w:r>
      <w:r>
        <w:rPr>
          <w:rFonts w:hint="eastAsia" w:ascii="宋体" w:hAnsi="宋体" w:eastAsia="宋体" w:cs="宋体"/>
          <w:b w:val="0"/>
          <w:bCs w:val="0"/>
          <w:sz w:val="28"/>
        </w:rPr>
        <w:instrText xml:space="preserve"> TC 9、村干部基础职务补贴绩效目标表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13062121V7ZFTX70REHFP</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121.12</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121.12</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发放村级两委干部职务补贴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1.保障村干部正常生活</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2.提高村干部工作效率</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工资发放人数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享受人员发放工资人数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实际发放额占应发放额的比例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村干部人员工资具体发放时间</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每季度发放</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平均每人每月补助金额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0.19万元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得到村两委干部的充分认可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受益人员满意数量占总数的比例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9" w:name="_Toc70332443"/>
      <w:r>
        <w:rPr>
          <w:rFonts w:hint="eastAsia" w:ascii="宋体" w:hAnsi="宋体" w:eastAsia="宋体" w:cs="宋体"/>
          <w:b w:val="0"/>
          <w:bCs w:val="0"/>
          <w:sz w:val="28"/>
        </w:rPr>
        <w:t>10.村干部保险绩效目标表</w:t>
      </w:r>
      <w:bookmarkEnd w:id="9"/>
      <w:r>
        <w:fldChar w:fldCharType="begin"/>
      </w:r>
      <w:r>
        <w:rPr>
          <w:rFonts w:hint="eastAsia" w:ascii="宋体" w:hAnsi="宋体" w:eastAsia="宋体" w:cs="宋体"/>
          <w:b w:val="0"/>
          <w:bCs w:val="0"/>
          <w:sz w:val="28"/>
        </w:rPr>
        <w:instrText xml:space="preserve"> TC 10、村干部保险绩效目标表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13062121X0ZFZ8W24A5DZ</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5.40</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5.40</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为村干部缴纳保险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1.保障村干部自身利益</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2.调动村干部工作积极性</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享受保险的人数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村干部享受养老保险政策的人数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人</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缴纳保险时间</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缴纳村干部养老保险及时性</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保险缴纳率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享受补贴人员的保险缴纳率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保险标准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平均每人每年保险金额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及时缴纳保险,维护社会稳定</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生活保障</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生活是否得到保障</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受益群众满意度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村干部满意度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outlineLvl w:val="1"/>
        <w:rPr>
          <w:rFonts w:hint="eastAsia" w:ascii="宋体" w:hAnsi="宋体" w:eastAsia="宋体" w:cs="宋体"/>
          <w:b w:val="0"/>
          <w:bCs w:val="0"/>
          <w:sz w:val="28"/>
        </w:rPr>
      </w:pPr>
    </w:p>
    <w:p>
      <w:pPr>
        <w:spacing w:line="300" w:lineRule="exact"/>
        <w:jc w:val="left"/>
        <w:outlineLvl w:val="1"/>
        <w:rPr>
          <w:rFonts w:hint="eastAsia" w:ascii="宋体" w:hAnsi="宋体" w:eastAsia="宋体" w:cs="宋体"/>
          <w:b w:val="0"/>
          <w:bCs w:val="0"/>
          <w:sz w:val="28"/>
        </w:rPr>
      </w:pPr>
    </w:p>
    <w:p>
      <w:pPr>
        <w:ind w:firstLine="1744" w:firstLineChars="545"/>
        <w:outlineLvl w:val="0"/>
        <w:rPr>
          <w:rFonts w:hint="eastAsia" w:ascii="宋体" w:hAnsi="宋体" w:eastAsia="宋体" w:cs="宋体"/>
          <w:b w:val="0"/>
          <w:bCs w:val="0"/>
          <w:sz w:val="32"/>
          <w:szCs w:val="32"/>
        </w:rPr>
      </w:pPr>
      <w:bookmarkStart w:id="10" w:name="_Toc3295340"/>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第六部分：政府采购预算情况</w:t>
      </w:r>
    </w:p>
    <w:p>
      <w:pPr>
        <w:ind w:firstLine="480" w:firstLineChars="15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2021年，本部门无政府采购预算，空表列示。</w:t>
      </w:r>
    </w:p>
    <w:p>
      <w:pPr>
        <w:spacing w:line="360" w:lineRule="auto"/>
        <w:jc w:val="center"/>
        <w:rPr>
          <w:rFonts w:hint="eastAsia" w:ascii="宋体" w:hAnsi="宋体" w:eastAsia="宋体" w:cs="宋体"/>
          <w:b w:val="0"/>
          <w:bCs w:val="0"/>
          <w:sz w:val="32"/>
        </w:rPr>
      </w:pPr>
      <w:r>
        <w:rPr>
          <w:rFonts w:hint="eastAsia" w:ascii="宋体" w:hAnsi="宋体" w:eastAsia="宋体" w:cs="宋体"/>
          <w:b w:val="0"/>
          <w:bCs w:val="0"/>
          <w:sz w:val="32"/>
        </w:rPr>
        <w:t>部门政府采购预算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b w:val="0"/>
                <w:bCs w:val="0"/>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rPr>
            </w:pPr>
            <w:r>
              <w:rPr>
                <w:rFonts w:hint="eastAsia" w:ascii="宋体" w:hAnsi="宋体" w:eastAsia="宋体" w:cs="宋体"/>
                <w:b w:val="0"/>
                <w:bCs w:val="0"/>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b w:val="0"/>
                <w:bCs w:val="0"/>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 w:val="22"/>
              </w:rPr>
            </w:pPr>
            <w:r>
              <w:rPr>
                <w:rFonts w:hint="eastAsia" w:ascii="宋体" w:hAnsi="宋体" w:eastAsia="宋体" w:cs="宋体"/>
                <w:b w:val="0"/>
                <w:bCs w:val="0"/>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r>
    </w:tbl>
    <w:p>
      <w:pPr>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第七部分：国有资产信息情况说明</w:t>
      </w:r>
    </w:p>
    <w:p>
      <w:pPr>
        <w:spacing w:line="52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满城区刘家台乡</w:t>
      </w:r>
      <w:r>
        <w:rPr>
          <w:rFonts w:hint="eastAsia" w:ascii="宋体" w:hAnsi="宋体" w:eastAsia="宋体" w:cs="宋体"/>
          <w:b w:val="0"/>
          <w:bCs w:val="0"/>
          <w:sz w:val="32"/>
          <w:szCs w:val="32"/>
          <w:lang w:eastAsia="zh-CN"/>
        </w:rPr>
        <w:t>人</w:t>
      </w:r>
      <w:r>
        <w:rPr>
          <w:rFonts w:hint="eastAsia" w:ascii="宋体" w:hAnsi="宋体" w:eastAsia="宋体" w:cs="宋体"/>
          <w:b w:val="0"/>
          <w:bCs w:val="0"/>
          <w:sz w:val="32"/>
          <w:szCs w:val="32"/>
        </w:rPr>
        <w:t>民政府2020年末固定资产总金额172.99万元（详见下表）。2021年无拟购置固定资产计划。</w:t>
      </w:r>
    </w:p>
    <w:tbl>
      <w:tblPr>
        <w:tblStyle w:val="9"/>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sz w:val="32"/>
                <w:szCs w:val="32"/>
              </w:rPr>
              <w:t>满城区刘家台乡人民政府固定资产占用情况表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172.99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1210</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83.07</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1210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83.07</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47.02</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42.9</w:t>
            </w:r>
          </w:p>
        </w:tc>
      </w:tr>
    </w:tbl>
    <w:p>
      <w:pPr>
        <w:spacing w:line="500" w:lineRule="exact"/>
        <w:jc w:val="center"/>
        <w:outlineLvl w:val="0"/>
        <w:rPr>
          <w:rFonts w:hint="eastAsia" w:ascii="宋体" w:hAnsi="宋体" w:eastAsia="宋体" w:cs="宋体"/>
          <w:b w:val="0"/>
          <w:bCs w:val="0"/>
          <w:sz w:val="32"/>
          <w:szCs w:val="32"/>
        </w:rPr>
      </w:pPr>
    </w:p>
    <w:p>
      <w:pPr>
        <w:spacing w:line="50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第八部分：名词解释</w:t>
      </w:r>
    </w:p>
    <w:p>
      <w:pPr>
        <w:spacing w:line="500" w:lineRule="exact"/>
        <w:jc w:val="center"/>
        <w:outlineLvl w:val="0"/>
        <w:rPr>
          <w:rFonts w:hint="eastAsia" w:ascii="宋体" w:hAnsi="宋体" w:eastAsia="宋体" w:cs="宋体"/>
          <w:b w:val="0"/>
          <w:bCs w:val="0"/>
          <w:sz w:val="32"/>
          <w:szCs w:val="32"/>
        </w:rPr>
      </w:pP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1、财政拨款收入：指区级财政当年拨付的资金。</w:t>
      </w: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2、基本支出：指为保障机构正常运转、完成日常工作任务而发生的人员支出和公用支出。</w:t>
      </w: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3、项目支出：指在基本支出之外为完成特定行政任务和事业发展目标所发生的支出。</w:t>
      </w: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4、“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奖励费用等支出；公务接待费反映单位按规定开支的各类公务接待（含外宾接待）支出。</w:t>
      </w:r>
    </w:p>
    <w:p>
      <w:pPr>
        <w:ind w:firstLine="800" w:firstLineChars="250"/>
        <w:rPr>
          <w:rFonts w:hint="eastAsia" w:ascii="宋体" w:hAnsi="宋体" w:eastAsia="宋体" w:cs="宋体"/>
          <w:b w:val="0"/>
          <w:bCs w:val="0"/>
          <w:sz w:val="32"/>
          <w:szCs w:val="32"/>
        </w:rPr>
      </w:pPr>
      <w:r>
        <w:rPr>
          <w:rFonts w:hint="eastAsia" w:ascii="宋体" w:hAnsi="宋体" w:eastAsia="宋体" w:cs="宋体"/>
          <w:b w:val="0"/>
          <w:bCs w:val="0"/>
          <w:sz w:val="32"/>
          <w:szCs w:val="32"/>
        </w:rPr>
        <w:t>5、公务费：包括办公费、水电费、邮电费、取暖费、交通费、一般会议费和物业管理费之和。</w:t>
      </w:r>
    </w:p>
    <w:p>
      <w:pPr>
        <w:ind w:firstLine="800" w:firstLineChars="250"/>
        <w:rPr>
          <w:rFonts w:hint="eastAsia" w:ascii="宋体" w:hAnsi="宋体" w:eastAsia="宋体" w:cs="宋体"/>
          <w:b w:val="0"/>
          <w:bCs w:val="0"/>
          <w:sz w:val="32"/>
          <w:szCs w:val="32"/>
        </w:rPr>
      </w:pPr>
      <w:r>
        <w:rPr>
          <w:rFonts w:hint="eastAsia" w:ascii="宋体" w:hAnsi="宋体" w:eastAsia="宋体" w:cs="宋体"/>
          <w:b w:val="0"/>
          <w:bCs w:val="0"/>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27" w:firstLineChars="196"/>
        <w:jc w:val="center"/>
        <w:outlineLvl w:val="0"/>
        <w:rPr>
          <w:rFonts w:hint="eastAsia" w:ascii="宋体" w:hAnsi="宋体" w:eastAsia="宋体" w:cs="宋体"/>
          <w:b w:val="0"/>
          <w:bCs w:val="0"/>
          <w:sz w:val="32"/>
          <w:szCs w:val="32"/>
        </w:rPr>
      </w:pPr>
    </w:p>
    <w:p>
      <w:pPr>
        <w:spacing w:line="50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第九部分：其他需说明的事项</w:t>
      </w:r>
    </w:p>
    <w:p>
      <w:pPr>
        <w:spacing w:line="500" w:lineRule="exact"/>
        <w:ind w:firstLine="1264" w:firstLineChars="395"/>
        <w:jc w:val="left"/>
        <w:outlineLvl w:val="0"/>
        <w:rPr>
          <w:rFonts w:hint="eastAsia" w:ascii="宋体" w:hAnsi="宋体" w:eastAsia="宋体" w:cs="宋体"/>
          <w:b w:val="0"/>
          <w:bCs w:val="0"/>
          <w:sz w:val="32"/>
          <w:szCs w:val="32"/>
        </w:rPr>
      </w:pP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无其他需说明的事项。</w:t>
      </w:r>
    </w:p>
    <w:bookmarkEnd w:id="10"/>
    <w:p>
      <w:pPr>
        <w:widowControl/>
        <w:spacing w:line="540" w:lineRule="exact"/>
        <w:rPr>
          <w:rFonts w:hint="eastAsia" w:ascii="宋体" w:hAnsi="宋体" w:eastAsia="宋体" w:cs="宋体"/>
          <w:b w:val="0"/>
          <w:bCs w:val="0"/>
          <w:sz w:val="32"/>
          <w:szCs w:val="32"/>
        </w:rPr>
      </w:pPr>
    </w:p>
    <w:sectPr>
      <w:headerReference r:id="rId5" w:type="default"/>
      <w:footerReference r:id="rId6" w:type="default"/>
      <w:pgSz w:w="11907" w:h="16839"/>
      <w:pgMar w:top="1361" w:right="1020" w:bottom="1361" w:left="102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23</w: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47184"/>
    <w:multiLevelType w:val="singleLevel"/>
    <w:tmpl w:val="5AC47184"/>
    <w:lvl w:ilvl="0" w:tentative="0">
      <w:start w:val="2"/>
      <w:numFmt w:val="chineseCounting"/>
      <w:suff w:val="nothing"/>
      <w:lvlText w:val="第%1部"/>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zMwZjUxNjg5OTM3YTRhMDk3ZDQxMjk0Mjk2MjgifQ=="/>
  </w:docVars>
  <w:rsids>
    <w:rsidRoot w:val="00727B2E"/>
    <w:rsid w:val="000606B2"/>
    <w:rsid w:val="000A0E9C"/>
    <w:rsid w:val="000D1C48"/>
    <w:rsid w:val="000F1AF8"/>
    <w:rsid w:val="00104B61"/>
    <w:rsid w:val="00133429"/>
    <w:rsid w:val="00146A7B"/>
    <w:rsid w:val="00153538"/>
    <w:rsid w:val="00184D39"/>
    <w:rsid w:val="001C75E8"/>
    <w:rsid w:val="0026207B"/>
    <w:rsid w:val="002B4192"/>
    <w:rsid w:val="002C366C"/>
    <w:rsid w:val="002D5472"/>
    <w:rsid w:val="00355423"/>
    <w:rsid w:val="003A7846"/>
    <w:rsid w:val="003E60B3"/>
    <w:rsid w:val="0040705C"/>
    <w:rsid w:val="004B2CE0"/>
    <w:rsid w:val="004E77F6"/>
    <w:rsid w:val="00543A5E"/>
    <w:rsid w:val="00610C01"/>
    <w:rsid w:val="006D0331"/>
    <w:rsid w:val="00712C89"/>
    <w:rsid w:val="00727B2E"/>
    <w:rsid w:val="00751BCA"/>
    <w:rsid w:val="007A719C"/>
    <w:rsid w:val="007F21FE"/>
    <w:rsid w:val="0081357C"/>
    <w:rsid w:val="008523E0"/>
    <w:rsid w:val="008527C6"/>
    <w:rsid w:val="008D5E39"/>
    <w:rsid w:val="009209B8"/>
    <w:rsid w:val="00963156"/>
    <w:rsid w:val="00997180"/>
    <w:rsid w:val="009C097A"/>
    <w:rsid w:val="009E0712"/>
    <w:rsid w:val="00A14AE4"/>
    <w:rsid w:val="00B40739"/>
    <w:rsid w:val="00B65BA5"/>
    <w:rsid w:val="00C863FB"/>
    <w:rsid w:val="00D00964"/>
    <w:rsid w:val="00D34B29"/>
    <w:rsid w:val="00D52070"/>
    <w:rsid w:val="00DD0C7D"/>
    <w:rsid w:val="00E17CAA"/>
    <w:rsid w:val="00F2605E"/>
    <w:rsid w:val="00F92AFA"/>
    <w:rsid w:val="00FF6F4E"/>
    <w:rsid w:val="02922DB8"/>
    <w:rsid w:val="045E6B7F"/>
    <w:rsid w:val="05AA38F1"/>
    <w:rsid w:val="08282823"/>
    <w:rsid w:val="13F06A30"/>
    <w:rsid w:val="1B9C1127"/>
    <w:rsid w:val="2ABC02B3"/>
    <w:rsid w:val="34C53AE3"/>
    <w:rsid w:val="4165130D"/>
    <w:rsid w:val="4A534E7D"/>
    <w:rsid w:val="5011668B"/>
    <w:rsid w:val="5600560B"/>
    <w:rsid w:val="5CE04939"/>
    <w:rsid w:val="672D42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39"/>
  </w:style>
  <w:style w:type="paragraph" w:styleId="6">
    <w:name w:val="footnote text"/>
    <w:basedOn w:val="1"/>
    <w:semiHidden/>
    <w:uiPriority w:val="0"/>
    <w:pPr>
      <w:snapToGrid w:val="0"/>
      <w:jc w:val="left"/>
    </w:pPr>
    <w:rPr>
      <w:sz w:val="18"/>
      <w:szCs w:val="18"/>
    </w:rPr>
  </w:style>
  <w:style w:type="paragraph" w:styleId="7">
    <w:name w:val="toc 2"/>
    <w:basedOn w:val="1"/>
    <w:next w:val="1"/>
    <w:qFormat/>
    <w:uiPriority w:val="39"/>
    <w:pPr>
      <w:ind w:left="420" w:leftChars="200"/>
    </w:pPr>
  </w:style>
  <w:style w:type="paragraph" w:styleId="8">
    <w:name w:val="Normal (Web)"/>
    <w:basedOn w:val="1"/>
    <w:uiPriority w:val="0"/>
    <w:pPr>
      <w:spacing w:before="100" w:beforeAutospacing="1" w:after="100" w:afterAutospacing="1"/>
      <w:jc w:val="left"/>
    </w:pPr>
    <w:rPr>
      <w:kern w:val="0"/>
      <w:sz w:val="24"/>
    </w:rPr>
  </w:style>
  <w:style w:type="character" w:styleId="11">
    <w:name w:val="page number"/>
    <w:basedOn w:val="10"/>
    <w:uiPriority w:val="0"/>
  </w:style>
  <w:style w:type="character" w:styleId="12">
    <w:name w:val="Hyperlink"/>
    <w:basedOn w:val="10"/>
    <w:uiPriority w:val="99"/>
    <w:rPr>
      <w:color w:val="0000FF"/>
      <w:u w:val="single"/>
    </w:rPr>
  </w:style>
  <w:style w:type="character" w:styleId="13">
    <w:name w:val="footnote reference"/>
    <w:basedOn w:val="10"/>
    <w:semiHidden/>
    <w:uiPriority w:val="0"/>
    <w:rPr>
      <w:vertAlign w:val="superscript"/>
    </w:rPr>
  </w:style>
  <w:style w:type="paragraph" w:styleId="14">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15">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24</Pages>
  <Words>2138</Words>
  <Characters>12188</Characters>
  <Lines>101</Lines>
  <Paragraphs>28</Paragraphs>
  <TotalTime>4</TotalTime>
  <ScaleCrop>false</ScaleCrop>
  <LinksUpToDate>false</LinksUpToDate>
  <CharactersWithSpaces>14298</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2021-08-17T07:24:00Z</dcterms:created>
  <dc:creator>郭维曦</dc:creator>
  <cp:lastModifiedBy>人生如茶</cp:lastModifiedBy>
  <cp:lastPrinted>2019-03-13T10:54:00Z</cp:lastPrinted>
  <dcterms:modified xsi:type="dcterms:W3CDTF">2023-11-09T03:50:58Z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7B20ABFC1AA54D888074063F951F6E9E</vt:lpwstr>
  </property>
</Properties>
</file>