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rPr>
          <w:rFonts w:ascii="Times New Roman"/>
          <w:sz w:val="19"/>
        </w:rPr>
      </w:pPr>
    </w:p>
    <w:p>
      <w:pPr>
        <w:pStyle w:val="11"/>
      </w:pPr>
      <w:bookmarkStart w:id="0" w:name="2022年部门预算信息公开目录"/>
      <w:bookmarkEnd w:id="0"/>
      <w:r>
        <w:rPr>
          <w:w w:val="95"/>
        </w:rPr>
        <w:t>2022</w:t>
      </w:r>
      <w:r>
        <w:rPr>
          <w:spacing w:val="5"/>
          <w:w w:val="95"/>
        </w:rPr>
        <w:t xml:space="preserve"> 年</w:t>
      </w:r>
      <w:r>
        <w:rPr>
          <w:rFonts w:hint="eastAsia"/>
          <w:spacing w:val="5"/>
          <w:w w:val="95"/>
        </w:rPr>
        <w:t>单位</w:t>
      </w:r>
      <w:r>
        <w:rPr>
          <w:spacing w:val="5"/>
          <w:w w:val="95"/>
        </w:rPr>
        <w:t>预算信息公开目录</w:t>
      </w:r>
    </w:p>
    <w:p>
      <w:pPr>
        <w:pStyle w:val="4"/>
        <w:spacing w:before="6"/>
        <w:rPr>
          <w:rFonts w:ascii="Microsoft YaHei UI"/>
          <w:b/>
          <w:sz w:val="37"/>
        </w:rPr>
      </w:pPr>
    </w:p>
    <w:p>
      <w:pPr>
        <w:ind w:left="720"/>
        <w:rPr>
          <w:b/>
          <w:sz w:val="28"/>
        </w:rPr>
      </w:pPr>
      <w:r>
        <w:rPr>
          <w:rFonts w:hint="eastAsia"/>
          <w:b/>
          <w:sz w:val="28"/>
        </w:rPr>
        <w:t>单位</w:t>
      </w:r>
      <w:r>
        <w:rPr>
          <w:b/>
          <w:sz w:val="28"/>
        </w:rPr>
        <w:t>预算公开表</w:t>
      </w:r>
    </w:p>
    <w:sdt>
      <w:sdtPr>
        <w:id w:val="1"/>
        <w:docPartObj>
          <w:docPartGallery w:val="Table of Contents"/>
          <w:docPartUnique/>
        </w:docPartObj>
      </w:sdtPr>
      <w:sdtContent>
        <w:p>
          <w:pPr>
            <w:pStyle w:val="9"/>
            <w:tabs>
              <w:tab w:val="right" w:leader="dot" w:pos="15282"/>
            </w:tabs>
            <w:rPr>
              <w:rFonts w:ascii="Times New Roman" w:eastAsia="Times New Roman"/>
            </w:rPr>
          </w:pPr>
          <w:r>
            <w:fldChar w:fldCharType="begin"/>
          </w:r>
          <w:r>
            <w:instrText xml:space="preserve"> HYPERLINK \l "_bookmark0" </w:instrText>
          </w:r>
          <w:r>
            <w:fldChar w:fldCharType="separate"/>
          </w:r>
          <w:r>
            <w:rPr>
              <w:rFonts w:hint="eastAsia"/>
            </w:rPr>
            <w:t>单位</w:t>
          </w:r>
          <w:r>
            <w:t>预算收支总表</w:t>
          </w:r>
          <w:r>
            <w:rPr>
              <w:rFonts w:ascii="Times New Roman" w:eastAsia="Times New Roman"/>
            </w:rPr>
            <w:tab/>
          </w:r>
          <w:r>
            <w:rPr>
              <w:rFonts w:ascii="Times New Roman" w:eastAsia="Times New Roman"/>
            </w:rPr>
            <w:t>3</w:t>
          </w:r>
          <w:r>
            <w:rPr>
              <w:rFonts w:ascii="Times New Roman" w:eastAsia="Times New Roman"/>
            </w:rPr>
            <w:fldChar w:fldCharType="end"/>
          </w:r>
        </w:p>
        <w:p>
          <w:pPr>
            <w:pStyle w:val="9"/>
            <w:tabs>
              <w:tab w:val="right" w:leader="dot" w:pos="15282"/>
            </w:tabs>
            <w:spacing w:before="83"/>
            <w:rPr>
              <w:rFonts w:ascii="Times New Roman" w:eastAsia="Times New Roman"/>
            </w:rPr>
          </w:pPr>
          <w:r>
            <w:fldChar w:fldCharType="begin"/>
          </w:r>
          <w:r>
            <w:instrText xml:space="preserve"> HYPERLINK \l "_bookmark1" </w:instrText>
          </w:r>
          <w:r>
            <w:fldChar w:fldCharType="separate"/>
          </w:r>
          <w:r>
            <w:rPr>
              <w:rFonts w:hint="eastAsia"/>
            </w:rPr>
            <w:t>单位</w:t>
          </w:r>
          <w:r>
            <w:t>预算收入总表</w:t>
          </w:r>
          <w:r>
            <w:rPr>
              <w:rFonts w:ascii="Times New Roman" w:eastAsia="Times New Roman"/>
            </w:rPr>
            <w:tab/>
          </w:r>
          <w:r>
            <w:rPr>
              <w:rFonts w:ascii="Times New Roman" w:eastAsia="Times New Roman"/>
            </w:rPr>
            <w:t>5</w:t>
          </w:r>
          <w:r>
            <w:rPr>
              <w:rFonts w:ascii="Times New Roman" w:eastAsia="Times New Roman"/>
            </w:rPr>
            <w:fldChar w:fldCharType="end"/>
          </w:r>
        </w:p>
        <w:p>
          <w:pPr>
            <w:pStyle w:val="9"/>
            <w:tabs>
              <w:tab w:val="right" w:leader="dot" w:pos="15282"/>
            </w:tabs>
            <w:rPr>
              <w:rFonts w:ascii="Times New Roman" w:eastAsia="Times New Roman"/>
            </w:rPr>
          </w:pPr>
          <w:r>
            <w:fldChar w:fldCharType="begin"/>
          </w:r>
          <w:r>
            <w:instrText xml:space="preserve"> HYPERLINK \l "_bookmark2" </w:instrText>
          </w:r>
          <w:r>
            <w:fldChar w:fldCharType="separate"/>
          </w:r>
          <w:r>
            <w:rPr>
              <w:rFonts w:hint="eastAsia"/>
            </w:rPr>
            <w:t>单位</w:t>
          </w:r>
          <w:r>
            <w:t>预算支出总表</w:t>
          </w:r>
          <w:r>
            <w:rPr>
              <w:rFonts w:ascii="Times New Roman" w:eastAsia="Times New Roman"/>
            </w:rPr>
            <w:tab/>
          </w:r>
          <w:r>
            <w:rPr>
              <w:rFonts w:hint="eastAsia" w:ascii="Times New Roman" w:eastAsia="宋体"/>
            </w:rPr>
            <w:t>6</w:t>
          </w:r>
          <w:r>
            <w:rPr>
              <w:rFonts w:hint="eastAsia" w:ascii="Times New Roman" w:eastAsia="宋体"/>
            </w:rPr>
            <w:fldChar w:fldCharType="end"/>
          </w:r>
        </w:p>
        <w:p>
          <w:pPr>
            <w:pStyle w:val="9"/>
            <w:tabs>
              <w:tab w:val="right" w:leader="dot" w:pos="15282"/>
            </w:tabs>
            <w:rPr>
              <w:rFonts w:ascii="Times New Roman" w:eastAsia="Times New Roman"/>
            </w:rPr>
          </w:pPr>
          <w:r>
            <w:fldChar w:fldCharType="begin"/>
          </w:r>
          <w:r>
            <w:instrText xml:space="preserve"> HYPERLINK \l "_bookmark3" </w:instrText>
          </w:r>
          <w:r>
            <w:fldChar w:fldCharType="separate"/>
          </w:r>
          <w:r>
            <w:rPr>
              <w:rFonts w:hint="eastAsia"/>
            </w:rPr>
            <w:t>单位</w:t>
          </w:r>
          <w:r>
            <w:t>预算财政拨款收支总表</w:t>
          </w:r>
          <w:r>
            <w:rPr>
              <w:rFonts w:ascii="Times New Roman" w:eastAsia="Times New Roman"/>
            </w:rPr>
            <w:tab/>
          </w:r>
          <w:r>
            <w:rPr>
              <w:rFonts w:hint="eastAsia" w:ascii="Times New Roman" w:eastAsia="宋体"/>
            </w:rPr>
            <w:t>7</w:t>
          </w:r>
          <w:r>
            <w:rPr>
              <w:rFonts w:hint="eastAsia" w:ascii="Times New Roman" w:eastAsia="宋体"/>
            </w:rPr>
            <w:fldChar w:fldCharType="end"/>
          </w:r>
        </w:p>
        <w:p>
          <w:pPr>
            <w:pStyle w:val="9"/>
            <w:tabs>
              <w:tab w:val="right" w:leader="dot" w:pos="15282"/>
            </w:tabs>
            <w:spacing w:before="87"/>
            <w:rPr>
              <w:rFonts w:ascii="Times New Roman" w:eastAsiaTheme="minorEastAsia"/>
            </w:rPr>
          </w:pPr>
          <w:r>
            <w:fldChar w:fldCharType="begin"/>
          </w:r>
          <w:r>
            <w:instrText xml:space="preserve"> HYPERLINK \l "_bookmark4" </w:instrText>
          </w:r>
          <w:r>
            <w:fldChar w:fldCharType="separate"/>
          </w:r>
          <w:r>
            <w:rPr>
              <w:rFonts w:hint="eastAsia"/>
            </w:rPr>
            <w:t>单位</w:t>
          </w:r>
          <w:r>
            <w:t>预算一般公共预算财政拨款支出表</w:t>
          </w:r>
          <w:r>
            <w:rPr>
              <w:rFonts w:ascii="Times New Roman" w:eastAsia="Times New Roman"/>
            </w:rPr>
            <w:tab/>
          </w:r>
          <w:r>
            <w:rPr>
              <w:rFonts w:hint="eastAsia" w:ascii="Times New Roman" w:eastAsia="宋体"/>
            </w:rPr>
            <w:t>9</w:t>
          </w:r>
          <w:r>
            <w:rPr>
              <w:rFonts w:hint="eastAsia" w:ascii="Times New Roman" w:eastAsia="宋体"/>
            </w:rPr>
            <w:fldChar w:fldCharType="end"/>
          </w:r>
        </w:p>
        <w:p>
          <w:pPr>
            <w:pStyle w:val="9"/>
            <w:tabs>
              <w:tab w:val="right" w:leader="dot" w:pos="15282"/>
            </w:tabs>
            <w:spacing w:before="83"/>
            <w:rPr>
              <w:rFonts w:ascii="Times New Roman" w:eastAsia="宋体"/>
            </w:rPr>
          </w:pPr>
          <w:r>
            <w:fldChar w:fldCharType="begin"/>
          </w:r>
          <w:r>
            <w:instrText xml:space="preserve"> HYPERLINK \l "_bookmark5" </w:instrText>
          </w:r>
          <w:r>
            <w:fldChar w:fldCharType="separate"/>
          </w:r>
          <w:r>
            <w:rPr>
              <w:rFonts w:hint="eastAsia"/>
            </w:rPr>
            <w:t>单位</w:t>
          </w:r>
          <w:r>
            <w:t>预算一般公共预算财政拨款基本支出表</w:t>
          </w:r>
          <w:r>
            <w:rPr>
              <w:rFonts w:ascii="Times New Roman" w:eastAsia="Times New Roman"/>
            </w:rPr>
            <w:tab/>
          </w:r>
          <w:r>
            <w:rPr>
              <w:rFonts w:ascii="Times New Roman" w:eastAsia="Times New Roman"/>
            </w:rPr>
            <w:t>1</w:t>
          </w:r>
          <w:r>
            <w:rPr>
              <w:rFonts w:ascii="Times New Roman" w:eastAsia="Times New Roman"/>
            </w:rPr>
            <w:fldChar w:fldCharType="end"/>
          </w:r>
          <w:r>
            <w:rPr>
              <w:rFonts w:hint="eastAsia" w:ascii="Times New Roman" w:eastAsiaTheme="minorEastAsia"/>
            </w:rPr>
            <w:t>0</w:t>
          </w:r>
        </w:p>
        <w:p>
          <w:pPr>
            <w:pStyle w:val="9"/>
            <w:tabs>
              <w:tab w:val="right" w:leader="dot" w:pos="15284"/>
            </w:tabs>
            <w:rPr>
              <w:rFonts w:ascii="Times New Roman" w:eastAsiaTheme="minorEastAsia"/>
            </w:rPr>
          </w:pPr>
          <w:r>
            <w:fldChar w:fldCharType="begin"/>
          </w:r>
          <w:r>
            <w:instrText xml:space="preserve"> HYPERLINK \l "_bookmark6" </w:instrText>
          </w:r>
          <w:r>
            <w:fldChar w:fldCharType="separate"/>
          </w:r>
          <w:r>
            <w:rPr>
              <w:rFonts w:hint="eastAsia"/>
            </w:rPr>
            <w:t>单位</w:t>
          </w:r>
          <w:r>
            <w:t>预算政府基金预算财政拨款支出表</w:t>
          </w:r>
          <w:r>
            <w:rPr>
              <w:rFonts w:ascii="Times New Roman" w:eastAsia="Times New Roman"/>
            </w:rPr>
            <w:tab/>
          </w:r>
          <w:r>
            <w:rPr>
              <w:rFonts w:ascii="Times New Roman" w:eastAsia="Times New Roman"/>
            </w:rPr>
            <w:t>1</w:t>
          </w:r>
          <w:r>
            <w:rPr>
              <w:rFonts w:hint="eastAsia" w:ascii="Times New Roman" w:eastAsiaTheme="minorEastAsia"/>
            </w:rPr>
            <w:t>1</w:t>
          </w:r>
          <w:r>
            <w:rPr>
              <w:rFonts w:hint="eastAsia" w:ascii="Times New Roman" w:eastAsiaTheme="minorEastAsia"/>
            </w:rPr>
            <w:fldChar w:fldCharType="end"/>
          </w:r>
        </w:p>
        <w:p>
          <w:pPr>
            <w:pStyle w:val="9"/>
            <w:tabs>
              <w:tab w:val="right" w:leader="dot" w:pos="15284"/>
            </w:tabs>
            <w:rPr>
              <w:rFonts w:ascii="Times New Roman" w:eastAsia="Times New Roman"/>
            </w:rPr>
          </w:pPr>
          <w:r>
            <w:fldChar w:fldCharType="begin"/>
          </w:r>
          <w:r>
            <w:instrText xml:space="preserve"> HYPERLINK \l "_bookmark7" </w:instrText>
          </w:r>
          <w:r>
            <w:fldChar w:fldCharType="separate"/>
          </w:r>
          <w:r>
            <w:rPr>
              <w:rFonts w:hint="eastAsia"/>
            </w:rPr>
            <w:t>单位</w:t>
          </w:r>
          <w:r>
            <w:t>预算国有资本经营预算财政拨款支出表</w:t>
          </w:r>
          <w:r>
            <w:rPr>
              <w:rFonts w:ascii="Times New Roman" w:eastAsia="Times New Roman"/>
            </w:rPr>
            <w:tab/>
          </w:r>
          <w:r>
            <w:rPr>
              <w:rFonts w:ascii="Times New Roman" w:eastAsia="Times New Roman"/>
            </w:rPr>
            <w:t>1</w:t>
          </w:r>
          <w:r>
            <w:rPr>
              <w:rFonts w:hint="eastAsia" w:ascii="Times New Roman" w:eastAsiaTheme="minorEastAsia"/>
            </w:rPr>
            <w:t>1</w:t>
          </w:r>
          <w:r>
            <w:rPr>
              <w:rFonts w:hint="eastAsia" w:ascii="Times New Roman" w:eastAsiaTheme="minorEastAsia"/>
            </w:rPr>
            <w:fldChar w:fldCharType="end"/>
          </w:r>
        </w:p>
        <w:p>
          <w:pPr>
            <w:pStyle w:val="9"/>
            <w:tabs>
              <w:tab w:val="right" w:leader="dot" w:pos="15284"/>
            </w:tabs>
            <w:rPr>
              <w:rFonts w:ascii="Times New Roman" w:hAnsi="Times New Roman" w:eastAsia="宋体"/>
            </w:rPr>
          </w:pPr>
          <w:r>
            <w:fldChar w:fldCharType="begin"/>
          </w:r>
          <w:r>
            <w:instrText xml:space="preserve"> HYPERLINK \l "_bookmark8" </w:instrText>
          </w:r>
          <w:r>
            <w:fldChar w:fldCharType="separate"/>
          </w:r>
          <w:r>
            <w:rPr>
              <w:rFonts w:hint="eastAsia"/>
            </w:rPr>
            <w:t>单位</w:t>
          </w:r>
          <w:r>
            <w:t>预算财政拨款</w:t>
          </w:r>
          <w:r>
            <w:rPr>
              <w:rFonts w:ascii="Times New Roman" w:hAnsi="Times New Roman" w:eastAsia="Times New Roman"/>
            </w:rPr>
            <w:t>“</w:t>
          </w:r>
          <w:r>
            <w:t>三公</w:t>
          </w:r>
          <w:r>
            <w:rPr>
              <w:rFonts w:ascii="Times New Roman" w:hAnsi="Times New Roman" w:eastAsia="Times New Roman"/>
            </w:rPr>
            <w:t>”</w:t>
          </w:r>
          <w:r>
            <w:t>经费支出表</w:t>
          </w:r>
          <w:r>
            <w:fldChar w:fldCharType="end"/>
          </w:r>
          <w:r>
            <w:rPr>
              <w:rFonts w:ascii="Times New Roman" w:hAnsi="Times New Roman" w:eastAsia="Times New Roman"/>
            </w:rPr>
            <w:tab/>
          </w:r>
          <w:r>
            <w:rPr>
              <w:rFonts w:ascii="Times New Roman" w:hAnsi="Times New Roman" w:eastAsia="Times New Roman"/>
            </w:rPr>
            <w:t>1</w:t>
          </w:r>
          <w:r>
            <w:rPr>
              <w:rFonts w:hint="eastAsia" w:ascii="Times New Roman" w:hAnsi="Times New Roman" w:eastAsiaTheme="minorEastAsia"/>
            </w:rPr>
            <w:t>2</w:t>
          </w:r>
        </w:p>
        <w:p>
          <w:pPr>
            <w:pStyle w:val="8"/>
          </w:pPr>
          <w:r>
            <w:rPr>
              <w:rFonts w:hint="eastAsia"/>
            </w:rPr>
            <w:t>单位</w:t>
          </w:r>
          <w:r>
            <w:t>预算信息公开情况说明</w:t>
          </w:r>
        </w:p>
        <w:p>
          <w:pPr>
            <w:pStyle w:val="9"/>
            <w:tabs>
              <w:tab w:val="right" w:leader="dot" w:pos="15282"/>
            </w:tabs>
            <w:rPr>
              <w:rFonts w:ascii="Times New Roman" w:eastAsiaTheme="minorEastAsia"/>
            </w:rPr>
          </w:pPr>
          <w:r>
            <w:fldChar w:fldCharType="begin"/>
          </w:r>
          <w:r>
            <w:instrText xml:space="preserve"> HYPERLINK \l "_bookmark9" </w:instrText>
          </w:r>
          <w:r>
            <w:fldChar w:fldCharType="separate"/>
          </w:r>
          <w:r>
            <w:t>一、</w:t>
          </w:r>
          <w:r>
            <w:rPr>
              <w:rFonts w:hint="eastAsia"/>
            </w:rPr>
            <w:t>单位</w:t>
          </w:r>
          <w:r>
            <w:t>职责及机构设置情况</w:t>
          </w:r>
          <w:r>
            <w:rPr>
              <w:rFonts w:ascii="Times New Roman" w:eastAsia="Times New Roman"/>
            </w:rPr>
            <w:tab/>
          </w:r>
          <w:r>
            <w:rPr>
              <w:rFonts w:ascii="Times New Roman" w:eastAsia="Times New Roman"/>
            </w:rPr>
            <w:fldChar w:fldCharType="end"/>
          </w:r>
          <w:r>
            <w:rPr>
              <w:rFonts w:hint="eastAsia" w:ascii="Times New Roman" w:eastAsiaTheme="minorEastAsia"/>
            </w:rPr>
            <w:t>13</w:t>
          </w:r>
        </w:p>
        <w:p>
          <w:pPr>
            <w:pStyle w:val="9"/>
            <w:tabs>
              <w:tab w:val="right" w:leader="dot" w:pos="15282"/>
            </w:tabs>
            <w:spacing w:before="86"/>
            <w:rPr>
              <w:rFonts w:ascii="Times New Roman" w:eastAsia="Times New Roman"/>
            </w:rPr>
          </w:pPr>
          <w:r>
            <w:fldChar w:fldCharType="begin"/>
          </w:r>
          <w:r>
            <w:instrText xml:space="preserve"> HYPERLINK \l "_bookmark10" </w:instrText>
          </w:r>
          <w:r>
            <w:fldChar w:fldCharType="separate"/>
          </w:r>
          <w:r>
            <w:t>二、</w:t>
          </w:r>
          <w:r>
            <w:rPr>
              <w:rFonts w:hint="eastAsia"/>
            </w:rPr>
            <w:t>单位</w:t>
          </w:r>
          <w:r>
            <w:t>预算安排的总体情况</w:t>
          </w:r>
          <w:r>
            <w:rPr>
              <w:rFonts w:ascii="Times New Roman" w:eastAsia="Times New Roman"/>
            </w:rPr>
            <w:tab/>
          </w:r>
          <w:r>
            <w:rPr>
              <w:rFonts w:ascii="Times New Roman" w:eastAsia="Times New Roman"/>
            </w:rPr>
            <w:t>2</w:t>
          </w:r>
          <w:r>
            <w:rPr>
              <w:rFonts w:ascii="Times New Roman" w:eastAsia="Times New Roman"/>
            </w:rPr>
            <w:fldChar w:fldCharType="end"/>
          </w:r>
          <w:r>
            <w:rPr>
              <w:rFonts w:ascii="Times New Roman" w:eastAsia="Times New Roman"/>
            </w:rPr>
            <w:t>2</w:t>
          </w:r>
        </w:p>
      </w:sdtContent>
    </w:sdt>
    <w:p>
      <w:pPr>
        <w:rPr>
          <w:rFonts w:ascii="Times New Roman" w:eastAsia="Times New Roman"/>
        </w:rPr>
        <w:sectPr>
          <w:headerReference r:id="rId3" w:type="default"/>
          <w:footerReference r:id="rId4" w:type="default"/>
          <w:type w:val="continuous"/>
          <w:pgSz w:w="16840" w:h="11900" w:orient="landscape"/>
          <w:pgMar w:top="1100" w:right="280" w:bottom="900" w:left="300" w:header="720" w:footer="706" w:gutter="0"/>
          <w:pgNumType w:start="1"/>
          <w:cols w:space="720" w:num="1"/>
        </w:sectPr>
      </w:pPr>
    </w:p>
    <w:p>
      <w:pPr>
        <w:tabs>
          <w:tab w:val="right" w:leader="dot" w:pos="15284"/>
        </w:tabs>
        <w:spacing w:before="242"/>
        <w:ind w:left="1279"/>
        <w:rPr>
          <w:rFonts w:ascii="Times New Roman" w:eastAsia="Times New Roman"/>
          <w:sz w:val="28"/>
        </w:rPr>
      </w:pPr>
      <w:r>
        <w:fldChar w:fldCharType="begin"/>
      </w:r>
      <w:r>
        <w:instrText xml:space="preserve"> HYPERLINK \l "_bookmark11" </w:instrText>
      </w:r>
      <w:r>
        <w:fldChar w:fldCharType="separate"/>
      </w:r>
      <w:r>
        <w:rPr>
          <w:sz w:val="28"/>
        </w:rPr>
        <w:t>三、机关运行经费安排情况</w:t>
      </w:r>
      <w:r>
        <w:rPr>
          <w:rFonts w:ascii="Times New Roman" w:eastAsia="Times New Roman"/>
          <w:sz w:val="28"/>
        </w:rPr>
        <w:tab/>
      </w:r>
      <w:r>
        <w:rPr>
          <w:rFonts w:ascii="Times New Roman" w:eastAsia="Times New Roman"/>
          <w:sz w:val="28"/>
        </w:rPr>
        <w:t>2</w:t>
      </w:r>
      <w:r>
        <w:rPr>
          <w:rFonts w:hint="eastAsia" w:ascii="Times New Roman" w:eastAsia="宋体"/>
          <w:sz w:val="28"/>
        </w:rPr>
        <w:t>4</w:t>
      </w:r>
      <w:r>
        <w:rPr>
          <w:rFonts w:hint="eastAsia" w:ascii="Times New Roman" w:eastAsia="宋体"/>
          <w:sz w:val="28"/>
        </w:rPr>
        <w:fldChar w:fldCharType="end"/>
      </w:r>
    </w:p>
    <w:p>
      <w:pPr>
        <w:tabs>
          <w:tab w:val="right" w:leader="dot" w:pos="15284"/>
        </w:tabs>
        <w:spacing w:before="84"/>
        <w:ind w:left="1279"/>
        <w:rPr>
          <w:rFonts w:ascii="Times New Roman" w:hAnsi="Times New Roman" w:eastAsia="宋体"/>
          <w:sz w:val="28"/>
        </w:rPr>
      </w:pPr>
      <w:r>
        <w:fldChar w:fldCharType="begin"/>
      </w:r>
      <w:r>
        <w:instrText xml:space="preserve"> HYPERLINK \l "_bookmark12" </w:instrText>
      </w:r>
      <w:r>
        <w:fldChar w:fldCharType="separate"/>
      </w:r>
      <w:r>
        <w:rPr>
          <w:sz w:val="28"/>
        </w:rPr>
        <w:t>四、财政拨款</w:t>
      </w:r>
      <w:r>
        <w:rPr>
          <w:rFonts w:ascii="Times New Roman" w:hAnsi="Times New Roman" w:eastAsia="Times New Roman"/>
          <w:sz w:val="28"/>
        </w:rPr>
        <w:t>“</w:t>
      </w:r>
      <w:r>
        <w:rPr>
          <w:sz w:val="28"/>
        </w:rPr>
        <w:t>三公</w:t>
      </w:r>
      <w:r>
        <w:rPr>
          <w:rFonts w:ascii="Times New Roman" w:hAnsi="Times New Roman" w:eastAsia="Times New Roman"/>
          <w:sz w:val="28"/>
        </w:rPr>
        <w:t>”</w:t>
      </w:r>
      <w:r>
        <w:rPr>
          <w:sz w:val="28"/>
        </w:rPr>
        <w:t>经费预算情况及增减变化原因</w:t>
      </w:r>
      <w:r>
        <w:rPr>
          <w:sz w:val="28"/>
        </w:rPr>
        <w:fldChar w:fldCharType="end"/>
      </w:r>
      <w:r>
        <w:rPr>
          <w:rFonts w:ascii="Times New Roman" w:hAnsi="Times New Roman" w:eastAsia="Times New Roman"/>
          <w:sz w:val="28"/>
        </w:rPr>
        <w:tab/>
      </w:r>
      <w:r>
        <w:rPr>
          <w:rFonts w:ascii="Times New Roman" w:hAnsi="Times New Roman" w:eastAsia="Times New Roman"/>
          <w:sz w:val="28"/>
        </w:rPr>
        <w:t>2</w:t>
      </w:r>
      <w:r>
        <w:rPr>
          <w:rFonts w:hint="eastAsia" w:ascii="Times New Roman" w:hAnsi="Times New Roman" w:eastAsia="宋体"/>
          <w:sz w:val="28"/>
        </w:rPr>
        <w:t>4</w:t>
      </w:r>
    </w:p>
    <w:p>
      <w:pPr>
        <w:tabs>
          <w:tab w:val="right" w:leader="dot" w:pos="15282"/>
        </w:tabs>
        <w:spacing w:before="84"/>
        <w:ind w:left="1279"/>
        <w:rPr>
          <w:rFonts w:ascii="Times New Roman" w:eastAsia="宋体"/>
          <w:sz w:val="28"/>
        </w:rPr>
      </w:pPr>
      <w:r>
        <w:fldChar w:fldCharType="begin"/>
      </w:r>
      <w:r>
        <w:instrText xml:space="preserve"> HYPERLINK \l "_bookmark13" </w:instrText>
      </w:r>
      <w:r>
        <w:fldChar w:fldCharType="separate"/>
      </w:r>
      <w:r>
        <w:rPr>
          <w:sz w:val="28"/>
        </w:rPr>
        <w:t>五、预算绩效信息</w:t>
      </w:r>
      <w:r>
        <w:rPr>
          <w:rFonts w:ascii="Times New Roman" w:eastAsia="Times New Roman"/>
          <w:sz w:val="28"/>
        </w:rPr>
        <w:tab/>
      </w:r>
      <w:r>
        <w:rPr>
          <w:rFonts w:ascii="Times New Roman" w:eastAsia="Times New Roman"/>
          <w:sz w:val="28"/>
        </w:rPr>
        <w:t>2</w:t>
      </w:r>
      <w:r>
        <w:rPr>
          <w:rFonts w:ascii="Times New Roman" w:eastAsia="Times New Roman"/>
          <w:sz w:val="28"/>
        </w:rPr>
        <w:fldChar w:fldCharType="end"/>
      </w:r>
      <w:r>
        <w:rPr>
          <w:rFonts w:hint="eastAsia" w:ascii="Times New Roman" w:eastAsia="宋体"/>
          <w:sz w:val="28"/>
        </w:rPr>
        <w:t>4</w:t>
      </w:r>
    </w:p>
    <w:p>
      <w:pPr>
        <w:tabs>
          <w:tab w:val="right" w:leader="dot" w:pos="15282"/>
        </w:tabs>
        <w:spacing w:before="84"/>
        <w:ind w:left="1279"/>
        <w:rPr>
          <w:rFonts w:ascii="Times New Roman" w:eastAsiaTheme="minorEastAsia"/>
          <w:sz w:val="28"/>
        </w:rPr>
      </w:pPr>
      <w:r>
        <w:fldChar w:fldCharType="begin"/>
      </w:r>
      <w:r>
        <w:instrText xml:space="preserve"> HYPERLINK \l "_bookmark14" </w:instrText>
      </w:r>
      <w:r>
        <w:fldChar w:fldCharType="separate"/>
      </w:r>
      <w:r>
        <w:rPr>
          <w:sz w:val="28"/>
        </w:rPr>
        <w:t>六、政府采购预算情况</w:t>
      </w:r>
      <w:r>
        <w:rPr>
          <w:rFonts w:ascii="Times New Roman" w:eastAsia="Times New Roman"/>
          <w:sz w:val="28"/>
        </w:rPr>
        <w:tab/>
      </w:r>
      <w:r>
        <w:rPr>
          <w:rFonts w:hint="eastAsia" w:ascii="Times New Roman" w:eastAsiaTheme="minorEastAsia"/>
          <w:sz w:val="28"/>
        </w:rPr>
        <w:t>3</w:t>
      </w:r>
      <w:r>
        <w:rPr>
          <w:rFonts w:hint="eastAsia" w:ascii="Times New Roman" w:eastAsiaTheme="minorEastAsia"/>
          <w:sz w:val="28"/>
        </w:rPr>
        <w:fldChar w:fldCharType="end"/>
      </w:r>
      <w:r>
        <w:rPr>
          <w:rFonts w:hint="eastAsia" w:ascii="Times New Roman" w:eastAsiaTheme="minorEastAsia"/>
          <w:sz w:val="28"/>
        </w:rPr>
        <w:t>5</w:t>
      </w:r>
    </w:p>
    <w:p>
      <w:pPr>
        <w:tabs>
          <w:tab w:val="right" w:leader="dot" w:pos="15282"/>
        </w:tabs>
        <w:spacing w:before="86"/>
        <w:ind w:left="1279"/>
        <w:rPr>
          <w:rFonts w:ascii="Times New Roman" w:eastAsiaTheme="minorEastAsia"/>
          <w:sz w:val="28"/>
        </w:rPr>
      </w:pPr>
      <w:r>
        <w:fldChar w:fldCharType="begin"/>
      </w:r>
      <w:r>
        <w:instrText xml:space="preserve"> HYPERLINK \l "_bookmark15" </w:instrText>
      </w:r>
      <w:r>
        <w:fldChar w:fldCharType="separate"/>
      </w:r>
      <w:r>
        <w:rPr>
          <w:sz w:val="28"/>
        </w:rPr>
        <w:t>七、国有资产信息</w:t>
      </w:r>
      <w:r>
        <w:rPr>
          <w:rFonts w:ascii="Times New Roman" w:eastAsia="Times New Roman"/>
          <w:sz w:val="28"/>
        </w:rPr>
        <w:tab/>
      </w:r>
      <w:r>
        <w:rPr>
          <w:rFonts w:hint="eastAsia" w:ascii="Times New Roman" w:eastAsiaTheme="minorEastAsia"/>
          <w:sz w:val="28"/>
        </w:rPr>
        <w:t>3</w:t>
      </w:r>
      <w:r>
        <w:rPr>
          <w:rFonts w:hint="eastAsia" w:ascii="Times New Roman" w:eastAsiaTheme="minorEastAsia"/>
          <w:sz w:val="28"/>
        </w:rPr>
        <w:fldChar w:fldCharType="end"/>
      </w:r>
      <w:r>
        <w:rPr>
          <w:rFonts w:hint="eastAsia" w:ascii="Times New Roman" w:eastAsiaTheme="minorEastAsia"/>
          <w:sz w:val="28"/>
        </w:rPr>
        <w:t>6</w:t>
      </w:r>
    </w:p>
    <w:p>
      <w:pPr>
        <w:tabs>
          <w:tab w:val="right" w:leader="dot" w:pos="15282"/>
        </w:tabs>
        <w:spacing w:before="84"/>
        <w:ind w:left="1279"/>
        <w:rPr>
          <w:rFonts w:ascii="Times New Roman" w:eastAsiaTheme="minorEastAsia"/>
          <w:sz w:val="28"/>
        </w:rPr>
      </w:pPr>
      <w:r>
        <w:fldChar w:fldCharType="begin"/>
      </w:r>
      <w:r>
        <w:instrText xml:space="preserve"> HYPERLINK \l "_bookmark16" </w:instrText>
      </w:r>
      <w:r>
        <w:fldChar w:fldCharType="separate"/>
      </w:r>
      <w:r>
        <w:rPr>
          <w:sz w:val="28"/>
        </w:rPr>
        <w:t>八、名词解释</w:t>
      </w:r>
      <w:r>
        <w:rPr>
          <w:rFonts w:ascii="Times New Roman" w:eastAsia="Times New Roman"/>
          <w:sz w:val="28"/>
        </w:rPr>
        <w:tab/>
      </w:r>
      <w:r>
        <w:rPr>
          <w:rFonts w:hint="eastAsia" w:ascii="Times New Roman" w:eastAsiaTheme="minorEastAsia"/>
          <w:sz w:val="28"/>
        </w:rPr>
        <w:t>3</w:t>
      </w:r>
      <w:r>
        <w:rPr>
          <w:rFonts w:hint="eastAsia" w:ascii="Times New Roman" w:eastAsiaTheme="minorEastAsia"/>
          <w:sz w:val="28"/>
        </w:rPr>
        <w:fldChar w:fldCharType="end"/>
      </w:r>
      <w:r>
        <w:rPr>
          <w:rFonts w:hint="eastAsia" w:ascii="Times New Roman" w:eastAsiaTheme="minorEastAsia"/>
          <w:sz w:val="28"/>
        </w:rPr>
        <w:t>7</w:t>
      </w:r>
    </w:p>
    <w:p>
      <w:pPr>
        <w:tabs>
          <w:tab w:val="right" w:leader="dot" w:pos="15282"/>
        </w:tabs>
        <w:spacing w:before="84"/>
        <w:ind w:left="1279"/>
        <w:rPr>
          <w:rFonts w:ascii="Times New Roman" w:eastAsiaTheme="minorEastAsia"/>
          <w:sz w:val="28"/>
        </w:rPr>
      </w:pPr>
      <w:r>
        <w:fldChar w:fldCharType="begin"/>
      </w:r>
      <w:r>
        <w:instrText xml:space="preserve"> HYPERLINK \l "_bookmark17" </w:instrText>
      </w:r>
      <w:r>
        <w:fldChar w:fldCharType="separate"/>
      </w:r>
      <w:r>
        <w:rPr>
          <w:sz w:val="28"/>
        </w:rPr>
        <w:t>九、其他需要说明的事项</w:t>
      </w:r>
      <w:r>
        <w:rPr>
          <w:rFonts w:ascii="Times New Roman" w:eastAsia="Times New Roman"/>
          <w:sz w:val="28"/>
        </w:rPr>
        <w:tab/>
      </w:r>
      <w:r>
        <w:rPr>
          <w:rFonts w:hint="eastAsia" w:ascii="Times New Roman" w:eastAsiaTheme="minorEastAsia"/>
          <w:sz w:val="28"/>
        </w:rPr>
        <w:t>3</w:t>
      </w:r>
      <w:r>
        <w:rPr>
          <w:rFonts w:hint="eastAsia" w:ascii="Times New Roman" w:eastAsiaTheme="minorEastAsia"/>
          <w:sz w:val="28"/>
        </w:rPr>
        <w:fldChar w:fldCharType="end"/>
      </w:r>
      <w:r>
        <w:rPr>
          <w:rFonts w:hint="eastAsia" w:ascii="Times New Roman" w:eastAsiaTheme="minorEastAsia"/>
          <w:sz w:val="28"/>
        </w:rPr>
        <w:t>7</w:t>
      </w:r>
    </w:p>
    <w:p>
      <w:pPr>
        <w:rPr>
          <w:rFonts w:ascii="Times New Roman" w:eastAsia="Times New Roman"/>
          <w:sz w:val="28"/>
        </w:rPr>
        <w:sectPr>
          <w:pgSz w:w="16840" w:h="11900" w:orient="landscape"/>
          <w:pgMar w:top="1100" w:right="280" w:bottom="980" w:left="300" w:header="0" w:footer="706" w:gutter="0"/>
          <w:cols w:space="720" w:num="1"/>
        </w:sectPr>
      </w:pPr>
    </w:p>
    <w:tbl>
      <w:tblPr>
        <w:tblStyle w:val="12"/>
        <w:tblW w:w="11370" w:type="dxa"/>
        <w:jc w:val="center"/>
        <w:tblLayout w:type="autofit"/>
        <w:tblCellMar>
          <w:top w:w="0" w:type="dxa"/>
          <w:left w:w="108" w:type="dxa"/>
          <w:bottom w:w="0" w:type="dxa"/>
          <w:right w:w="108" w:type="dxa"/>
        </w:tblCellMar>
      </w:tblPr>
      <w:tblGrid>
        <w:gridCol w:w="884"/>
        <w:gridCol w:w="4443"/>
        <w:gridCol w:w="1269"/>
        <w:gridCol w:w="3933"/>
        <w:gridCol w:w="1965"/>
      </w:tblGrid>
      <w:tr>
        <w:tblPrEx>
          <w:tblCellMar>
            <w:top w:w="0" w:type="dxa"/>
            <w:left w:w="108" w:type="dxa"/>
            <w:bottom w:w="0" w:type="dxa"/>
            <w:right w:w="108" w:type="dxa"/>
          </w:tblCellMar>
        </w:tblPrEx>
        <w:trPr>
          <w:trHeight w:val="360" w:hRule="atLeast"/>
          <w:jc w:val="center"/>
        </w:trPr>
        <w:tc>
          <w:tcPr>
            <w:tcW w:w="1137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bookmarkStart w:id="1" w:name="部门预算收支总表"/>
            <w:bookmarkEnd w:id="1"/>
            <w:bookmarkStart w:id="2" w:name="_bookmark0"/>
            <w:bookmarkEnd w:id="2"/>
            <w:r>
              <w:rPr>
                <w:rFonts w:hint="eastAsia" w:ascii="宋体" w:hAnsi="宋体" w:eastAsia="宋体" w:cs="宋体"/>
                <w:color w:val="000000"/>
              </w:rPr>
              <w:t>单位预算收支总表</w:t>
            </w:r>
          </w:p>
        </w:tc>
      </w:tr>
      <w:tr>
        <w:tblPrEx>
          <w:tblCellMar>
            <w:top w:w="0" w:type="dxa"/>
            <w:left w:w="108" w:type="dxa"/>
            <w:bottom w:w="0" w:type="dxa"/>
            <w:right w:w="108" w:type="dxa"/>
          </w:tblCellMar>
        </w:tblPrEx>
        <w:trPr>
          <w:trHeight w:val="36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rPr>
              <w:t>预算单位编码及名称：[222001]中国共产党满城区纪律检查委员会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金额单位：万元</w:t>
            </w:r>
          </w:p>
        </w:tc>
      </w:tr>
      <w:tr>
        <w:tblPrEx>
          <w:tblCellMar>
            <w:top w:w="0" w:type="dxa"/>
            <w:left w:w="108" w:type="dxa"/>
            <w:bottom w:w="0" w:type="dxa"/>
            <w:right w:w="108"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支出</w:t>
            </w:r>
          </w:p>
        </w:tc>
      </w:tr>
      <w:tr>
        <w:tblPrEx>
          <w:tblCellMar>
            <w:top w:w="0" w:type="dxa"/>
            <w:left w:w="108" w:type="dxa"/>
            <w:bottom w:w="0" w:type="dxa"/>
            <w:right w:w="108"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预算数</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r>
    </w:tbl>
    <w:p>
      <w:pPr>
        <w:sectPr>
          <w:pgSz w:w="16840" w:h="11900" w:orient="landscape"/>
          <w:pgMar w:top="1100" w:right="280" w:bottom="980" w:left="300" w:header="0" w:footer="706" w:gutter="0"/>
          <w:cols w:space="720" w:num="1"/>
        </w:sectPr>
      </w:pPr>
    </w:p>
    <w:p>
      <w:pPr>
        <w:spacing w:before="2" w:after="1"/>
        <w:rPr>
          <w:sz w:val="14"/>
        </w:rPr>
      </w:pPr>
    </w:p>
    <w:tbl>
      <w:tblPr>
        <w:tblStyle w:val="12"/>
        <w:tblW w:w="15225" w:type="dxa"/>
        <w:jc w:val="center"/>
        <w:tblLayout w:type="autofit"/>
        <w:tblCellMar>
          <w:top w:w="0" w:type="dxa"/>
          <w:left w:w="108" w:type="dxa"/>
          <w:bottom w:w="0" w:type="dxa"/>
          <w:right w:w="108" w:type="dxa"/>
        </w:tblCellMar>
      </w:tblPr>
      <w:tblGrid>
        <w:gridCol w:w="724"/>
        <w:gridCol w:w="1209"/>
        <w:gridCol w:w="4121"/>
        <w:gridCol w:w="1038"/>
        <w:gridCol w:w="1038"/>
        <w:gridCol w:w="1694"/>
        <w:gridCol w:w="828"/>
        <w:gridCol w:w="704"/>
        <w:gridCol w:w="646"/>
        <w:gridCol w:w="891"/>
        <w:gridCol w:w="865"/>
        <w:gridCol w:w="638"/>
        <w:gridCol w:w="1209"/>
      </w:tblGrid>
      <w:tr>
        <w:trPr>
          <w:trHeight w:val="360" w:hRule="atLeast"/>
          <w:jc w:val="center"/>
        </w:trPr>
        <w:tc>
          <w:tcPr>
            <w:tcW w:w="15225"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单位预算收入总表</w:t>
            </w:r>
          </w:p>
        </w:tc>
      </w:tr>
      <w:tr>
        <w:tblPrEx>
          <w:tblCellMar>
            <w:top w:w="0" w:type="dxa"/>
            <w:left w:w="108" w:type="dxa"/>
            <w:bottom w:w="0" w:type="dxa"/>
            <w:right w:w="108" w:type="dxa"/>
          </w:tblCellMar>
        </w:tblPrEx>
        <w:trPr>
          <w:trHeight w:val="360" w:hRule="atLeast"/>
          <w:jc w:val="center"/>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rPr>
              <w:t>预算单位编码及名称：[222001]中国共产党满城区纪律检查委员会</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预算年度：2022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金额单位：</w:t>
            </w:r>
          </w:p>
        </w:tc>
      </w:tr>
      <w:tr>
        <w:tblPrEx>
          <w:tblCellMar>
            <w:top w:w="0" w:type="dxa"/>
            <w:left w:w="108" w:type="dxa"/>
            <w:bottom w:w="0" w:type="dxa"/>
            <w:right w:w="108"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上年结转</w:t>
            </w:r>
          </w:p>
        </w:tc>
      </w:tr>
      <w:tr>
        <w:tblPrEx>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财政拨款收入</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财政专户收入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事业收入</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上级补助收入</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附属单位上缴收入</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12</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纪检监察事务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bl>
    <w:p>
      <w:pPr>
        <w:spacing w:before="10"/>
        <w:rPr>
          <w:sz w:val="12"/>
        </w:rPr>
      </w:pPr>
    </w:p>
    <w:p>
      <w:pPr>
        <w:rPr>
          <w:rFonts w:ascii="Times New Roman"/>
          <w:sz w:val="20"/>
        </w:rPr>
      </w:pPr>
      <w:bookmarkStart w:id="3" w:name="_bookmark1"/>
      <w:bookmarkEnd w:id="3"/>
      <w:bookmarkStart w:id="4" w:name="部门预算收入总表"/>
      <w:bookmarkEnd w:id="4"/>
    </w:p>
    <w:p>
      <w:pPr>
        <w:rPr>
          <w:sz w:val="20"/>
        </w:rPr>
        <w:sectPr>
          <w:pgSz w:w="16840" w:h="11900" w:orient="landscape"/>
          <w:pgMar w:top="1100" w:right="280" w:bottom="900" w:left="300" w:header="0" w:footer="706" w:gutter="0"/>
          <w:cols w:space="720" w:num="1"/>
        </w:sectPr>
      </w:pPr>
    </w:p>
    <w:p>
      <w:pPr>
        <w:spacing w:before="10"/>
        <w:rPr>
          <w:sz w:val="12"/>
        </w:rPr>
      </w:pPr>
    </w:p>
    <w:tbl>
      <w:tblPr>
        <w:tblStyle w:val="12"/>
        <w:tblW w:w="11655" w:type="dxa"/>
        <w:jc w:val="center"/>
        <w:tblLayout w:type="autofit"/>
        <w:tblCellMar>
          <w:top w:w="0" w:type="dxa"/>
          <w:left w:w="108" w:type="dxa"/>
          <w:bottom w:w="0" w:type="dxa"/>
          <w:right w:w="108" w:type="dxa"/>
        </w:tblCellMar>
      </w:tblPr>
      <w:tblGrid>
        <w:gridCol w:w="656"/>
        <w:gridCol w:w="1096"/>
        <w:gridCol w:w="3736"/>
        <w:gridCol w:w="1536"/>
        <w:gridCol w:w="1096"/>
        <w:gridCol w:w="830"/>
        <w:gridCol w:w="436"/>
        <w:gridCol w:w="1756"/>
        <w:gridCol w:w="1316"/>
      </w:tblGrid>
      <w:tr>
        <w:tblPrEx>
          <w:tblCellMar>
            <w:top w:w="0" w:type="dxa"/>
            <w:left w:w="108" w:type="dxa"/>
            <w:bottom w:w="0" w:type="dxa"/>
            <w:right w:w="108" w:type="dxa"/>
          </w:tblCellMar>
        </w:tblPrEx>
        <w:trPr>
          <w:trHeight w:val="360" w:hRule="atLeast"/>
          <w:jc w:val="center"/>
        </w:trPr>
        <w:tc>
          <w:tcPr>
            <w:tcW w:w="11662"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bookmarkStart w:id="5" w:name="部门预算支出总表"/>
            <w:bookmarkEnd w:id="5"/>
            <w:bookmarkStart w:id="6" w:name="_bookmark2"/>
            <w:bookmarkEnd w:id="6"/>
            <w:r>
              <w:rPr>
                <w:rFonts w:hint="eastAsia" w:ascii="宋体" w:hAnsi="宋体" w:eastAsia="宋体" w:cs="宋体"/>
                <w:color w:val="000000"/>
              </w:rPr>
              <w:t>单位预算支出总表</w:t>
            </w:r>
          </w:p>
        </w:tc>
      </w:tr>
      <w:tr>
        <w:tblPrEx>
          <w:tblCellMar>
            <w:top w:w="0" w:type="dxa"/>
            <w:left w:w="108" w:type="dxa"/>
            <w:bottom w:w="0" w:type="dxa"/>
            <w:right w:w="108" w:type="dxa"/>
          </w:tblCellMar>
        </w:tblPrEx>
        <w:trPr>
          <w:trHeight w:val="360" w:hRule="atLeast"/>
          <w:jc w:val="center"/>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rPr>
              <w:t>预算单位编码及名称：[222001]中国共产党满城区纪律检查委员会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金额单位：</w:t>
            </w:r>
          </w:p>
        </w:tc>
      </w:tr>
      <w:tr>
        <w:tblPrEx>
          <w:tblCellMar>
            <w:top w:w="0" w:type="dxa"/>
            <w:left w:w="108" w:type="dxa"/>
            <w:bottom w:w="0" w:type="dxa"/>
            <w:right w:w="108"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基本支出</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项目支出</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经营支出</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上缴上级支出</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对附属单位补助支出</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8</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1253.52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纪检监察事务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bl>
    <w:p>
      <w:pPr>
        <w:sectPr>
          <w:pgSz w:w="16840" w:h="11900" w:orient="landscape"/>
          <w:pgMar w:top="1100" w:right="280" w:bottom="900" w:left="300" w:header="0" w:footer="706" w:gutter="0"/>
          <w:cols w:space="720" w:num="1"/>
        </w:sectPr>
      </w:pPr>
    </w:p>
    <w:p>
      <w:pPr>
        <w:spacing w:before="2" w:after="1"/>
        <w:rPr>
          <w:sz w:val="14"/>
        </w:rPr>
      </w:pPr>
    </w:p>
    <w:tbl>
      <w:tblPr>
        <w:tblStyle w:val="12"/>
        <w:tblW w:w="13605" w:type="dxa"/>
        <w:jc w:val="center"/>
        <w:tblLayout w:type="autofit"/>
        <w:tblCellMar>
          <w:top w:w="0" w:type="dxa"/>
          <w:left w:w="108" w:type="dxa"/>
          <w:bottom w:w="0" w:type="dxa"/>
          <w:right w:w="108" w:type="dxa"/>
        </w:tblCellMar>
      </w:tblPr>
      <w:tblGrid>
        <w:gridCol w:w="685"/>
        <w:gridCol w:w="2984"/>
        <w:gridCol w:w="983"/>
        <w:gridCol w:w="3673"/>
        <w:gridCol w:w="1016"/>
        <w:gridCol w:w="1056"/>
        <w:gridCol w:w="1834"/>
        <w:gridCol w:w="1376"/>
      </w:tblGrid>
      <w:tr>
        <w:tblPrEx>
          <w:tblCellMar>
            <w:top w:w="0" w:type="dxa"/>
            <w:left w:w="108" w:type="dxa"/>
            <w:bottom w:w="0" w:type="dxa"/>
            <w:right w:w="108" w:type="dxa"/>
          </w:tblCellMar>
        </w:tblPrEx>
        <w:trPr>
          <w:trHeight w:val="360" w:hRule="atLeast"/>
          <w:jc w:val="center"/>
        </w:trPr>
        <w:tc>
          <w:tcPr>
            <w:tcW w:w="1360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单位预算财政拨款收支总表</w:t>
            </w:r>
          </w:p>
        </w:tc>
      </w:tr>
      <w:tr>
        <w:tblPrEx>
          <w:tblCellMar>
            <w:top w:w="0" w:type="dxa"/>
            <w:left w:w="108" w:type="dxa"/>
            <w:bottom w:w="0" w:type="dxa"/>
            <w:right w:w="108" w:type="dxa"/>
          </w:tblCellMar>
        </w:tblPrEx>
        <w:trPr>
          <w:trHeight w:val="36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rPr>
              <w:t>预算单位编码及名称：[222001]中国共产党满城区纪律检查委员会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金额单位：</w:t>
            </w:r>
          </w:p>
        </w:tc>
      </w:tr>
      <w:tr>
        <w:tblPrEx>
          <w:tblCellMar>
            <w:top w:w="0" w:type="dxa"/>
            <w:left w:w="108" w:type="dxa"/>
            <w:bottom w:w="0" w:type="dxa"/>
            <w:right w:w="108"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支出</w:t>
            </w:r>
          </w:p>
        </w:tc>
      </w:tr>
      <w:tr>
        <w:tblPrEx>
          <w:tblCellMar>
            <w:top w:w="0" w:type="dxa"/>
            <w:left w:w="108" w:type="dxa"/>
            <w:bottom w:w="0" w:type="dxa"/>
            <w:right w:w="108" w:type="dxa"/>
          </w:tblCellMar>
        </w:tblPrEx>
        <w:trPr>
          <w:trHeight w:val="9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项目</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一般公共预算财政拨款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政府性基金预算财政拨款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国有资本经营预算财政拨款</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7</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bl>
    <w:p>
      <w:pPr>
        <w:rPr>
          <w:sz w:val="20"/>
        </w:rPr>
        <w:sectPr>
          <w:pgSz w:w="16840" w:h="11900" w:orient="landscape"/>
          <w:pgMar w:top="1100" w:right="280" w:bottom="900" w:left="300" w:header="0" w:footer="706" w:gutter="0"/>
          <w:cols w:space="720" w:num="1"/>
        </w:sectPr>
      </w:pPr>
    </w:p>
    <w:tbl>
      <w:tblPr>
        <w:tblStyle w:val="12"/>
        <w:tblW w:w="12105" w:type="dxa"/>
        <w:jc w:val="center"/>
        <w:tblLayout w:type="autofit"/>
        <w:tblCellMar>
          <w:top w:w="0" w:type="dxa"/>
          <w:left w:w="108" w:type="dxa"/>
          <w:bottom w:w="0" w:type="dxa"/>
          <w:right w:w="108" w:type="dxa"/>
        </w:tblCellMar>
      </w:tblPr>
      <w:tblGrid>
        <w:gridCol w:w="688"/>
        <w:gridCol w:w="1150"/>
        <w:gridCol w:w="3920"/>
        <w:gridCol w:w="987"/>
        <w:gridCol w:w="987"/>
        <w:gridCol w:w="1150"/>
        <w:gridCol w:w="1842"/>
        <w:gridCol w:w="1381"/>
      </w:tblGrid>
      <w:tr>
        <w:tblPrEx>
          <w:tblCellMar>
            <w:top w:w="0" w:type="dxa"/>
            <w:left w:w="108" w:type="dxa"/>
            <w:bottom w:w="0" w:type="dxa"/>
            <w:right w:w="108" w:type="dxa"/>
          </w:tblCellMar>
        </w:tblPrEx>
        <w:trPr>
          <w:trHeight w:val="360" w:hRule="atLeast"/>
          <w:jc w:val="center"/>
        </w:trPr>
        <w:tc>
          <w:tcPr>
            <w:tcW w:w="1210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单位预算一般公共预算财政拨款支出表</w:t>
            </w:r>
          </w:p>
        </w:tc>
      </w:tr>
      <w:tr>
        <w:tblPrEx>
          <w:tblCellMar>
            <w:top w:w="0" w:type="dxa"/>
            <w:left w:w="108" w:type="dxa"/>
            <w:bottom w:w="0" w:type="dxa"/>
            <w:right w:w="108" w:type="dxa"/>
          </w:tblCellMar>
        </w:tblPrEx>
        <w:trPr>
          <w:trHeight w:val="360"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rPr>
              <w:t>预算单位编码及名称：[222001]中国共产党满城区纪律检查委员会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金额单位：</w:t>
            </w:r>
          </w:p>
        </w:tc>
      </w:tr>
      <w:tr>
        <w:tblPrEx>
          <w:tblCellMar>
            <w:top w:w="0" w:type="dxa"/>
            <w:left w:w="108" w:type="dxa"/>
            <w:bottom w:w="0" w:type="dxa"/>
            <w:right w:w="108"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项目支出</w:t>
            </w:r>
          </w:p>
        </w:tc>
      </w:tr>
      <w:tr>
        <w:tblPrEx>
          <w:tblCellMar>
            <w:top w:w="0" w:type="dxa"/>
            <w:left w:w="108" w:type="dxa"/>
            <w:bottom w:w="0" w:type="dxa"/>
            <w:right w:w="108"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7</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1505.83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1253.52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1124.86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833.27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纪检监察事务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833.27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961.03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833.27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2011102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252.31</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172.03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bl>
    <w:p>
      <w:pPr>
        <w:sectPr>
          <w:pgSz w:w="16840" w:h="11900" w:orient="landscape"/>
          <w:pgMar w:top="1100" w:right="280" w:bottom="900" w:left="300" w:header="0" w:footer="706" w:gutter="0"/>
          <w:cols w:space="720" w:num="1"/>
        </w:sectPr>
      </w:pPr>
    </w:p>
    <w:p>
      <w:pPr>
        <w:spacing w:before="14"/>
        <w:rPr>
          <w:sz w:val="13"/>
        </w:rPr>
      </w:pPr>
    </w:p>
    <w:tbl>
      <w:tblPr>
        <w:tblStyle w:val="12"/>
        <w:tblW w:w="11120" w:type="dxa"/>
        <w:jc w:val="center"/>
        <w:tblLayout w:type="autofit"/>
        <w:tblCellMar>
          <w:top w:w="0" w:type="dxa"/>
          <w:left w:w="108" w:type="dxa"/>
          <w:bottom w:w="0" w:type="dxa"/>
          <w:right w:w="108" w:type="dxa"/>
        </w:tblCellMar>
      </w:tblPr>
      <w:tblGrid>
        <w:gridCol w:w="768"/>
        <w:gridCol w:w="1283"/>
        <w:gridCol w:w="3858"/>
        <w:gridCol w:w="1101"/>
        <w:gridCol w:w="2055"/>
        <w:gridCol w:w="2055"/>
      </w:tblGrid>
      <w:tr>
        <w:tblPrEx>
          <w:tblCellMar>
            <w:top w:w="0" w:type="dxa"/>
            <w:left w:w="108" w:type="dxa"/>
            <w:bottom w:w="0" w:type="dxa"/>
            <w:right w:w="108" w:type="dxa"/>
          </w:tblCellMar>
        </w:tblPrEx>
        <w:trPr>
          <w:trHeight w:val="90" w:hRule="atLeast"/>
          <w:jc w:val="center"/>
        </w:trPr>
        <w:tc>
          <w:tcPr>
            <w:tcW w:w="1112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单位预算一般公共预算财政拨款基本支出表</w:t>
            </w:r>
          </w:p>
        </w:tc>
      </w:tr>
      <w:tr>
        <w:tblPrEx>
          <w:tblCellMar>
            <w:top w:w="0" w:type="dxa"/>
            <w:left w:w="108" w:type="dxa"/>
            <w:bottom w:w="0" w:type="dxa"/>
            <w:right w:w="108" w:type="dxa"/>
          </w:tblCellMar>
        </w:tblPrEx>
        <w:trPr>
          <w:trHeight w:val="9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rPr>
              <w:t>预算单位编码及名称：[222001]中国共产党满城区纪律检查委员会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金额单位：万元</w:t>
            </w:r>
          </w:p>
        </w:tc>
      </w:tr>
      <w:tr>
        <w:tblPrEx>
          <w:tblCellMar>
            <w:top w:w="0" w:type="dxa"/>
            <w:left w:w="108" w:type="dxa"/>
            <w:bottom w:w="0" w:type="dxa"/>
            <w:right w:w="108" w:type="dxa"/>
          </w:tblCellMar>
        </w:tblPrEx>
        <w:trPr>
          <w:trHeight w:val="9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一般公共预算基本支出</w:t>
            </w:r>
          </w:p>
        </w:tc>
      </w:tr>
      <w:tr>
        <w:tblPrEx>
          <w:tblCellMar>
            <w:top w:w="0" w:type="dxa"/>
            <w:left w:w="108" w:type="dxa"/>
            <w:bottom w:w="0" w:type="dxa"/>
            <w:right w:w="108" w:type="dxa"/>
          </w:tblCellMar>
        </w:tblPrEx>
        <w:trPr>
          <w:trHeight w:val="9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公用经费</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5</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1253.52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1124.86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128.66</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1033.73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1033.73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343.92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343.92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319.35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319.35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134.91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134.91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112.48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73.84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128.66</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5.95</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1.28</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4.25</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35.28</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1.28</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2.33</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8.60</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16.00</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52.80</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0.90</w:t>
            </w: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91.13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56.04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rPr>
            </w:pPr>
            <w:r>
              <w:rPr>
                <w:rFonts w:ascii="Calibri" w:hAnsi="Calibri" w:eastAsia="宋体" w:cs="Calibri"/>
                <w:color w:val="000000"/>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rFonts w:ascii="Calibri" w:hAnsi="Calibri" w:eastAsia="宋体" w:cs="Calibri"/>
                <w:color w:val="000000"/>
              </w:rPr>
            </w:pPr>
            <w:r>
              <w:rPr>
                <w:rFonts w:ascii="Calibri" w:hAnsi="Calibri" w:eastAsia="宋体" w:cs="Calibri"/>
                <w:color w:val="000000"/>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rPr>
            </w:pPr>
            <w:r>
              <w:rPr>
                <w:rFonts w:ascii="Calibri" w:hAnsi="Calibri" w:eastAsia="宋体" w:cs="Calibri"/>
                <w:color w:val="000000"/>
              </w:rPr>
              <w:t>31.49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bl>
    <w:p>
      <w:pPr>
        <w:rPr>
          <w:rFonts w:ascii="Times New Roman"/>
          <w:sz w:val="20"/>
        </w:rPr>
        <w:sectPr>
          <w:pgSz w:w="16840" w:h="11900" w:orient="landscape"/>
          <w:pgMar w:top="1100" w:right="280" w:bottom="900" w:left="300" w:header="0" w:footer="706" w:gutter="0"/>
          <w:cols w:space="720" w:num="1"/>
        </w:sectPr>
      </w:pPr>
    </w:p>
    <w:p>
      <w:pPr>
        <w:spacing w:before="14"/>
        <w:rPr>
          <w:sz w:val="13"/>
        </w:rPr>
      </w:pPr>
    </w:p>
    <w:p>
      <w:pPr>
        <w:spacing w:before="14"/>
        <w:rPr>
          <w:sz w:val="13"/>
        </w:rPr>
      </w:pPr>
    </w:p>
    <w:p>
      <w:pPr>
        <w:spacing w:before="14"/>
        <w:rPr>
          <w:sz w:val="13"/>
        </w:rPr>
      </w:pPr>
    </w:p>
    <w:tbl>
      <w:tblPr>
        <w:tblStyle w:val="12"/>
        <w:tblW w:w="12360" w:type="dxa"/>
        <w:jc w:val="center"/>
        <w:tblLayout w:type="autofit"/>
        <w:tblCellMar>
          <w:top w:w="0" w:type="dxa"/>
          <w:left w:w="108" w:type="dxa"/>
          <w:bottom w:w="0" w:type="dxa"/>
          <w:right w:w="108" w:type="dxa"/>
        </w:tblCellMar>
      </w:tblPr>
      <w:tblGrid>
        <w:gridCol w:w="1235"/>
        <w:gridCol w:w="2063"/>
        <w:gridCol w:w="2063"/>
        <w:gridCol w:w="1235"/>
        <w:gridCol w:w="3303"/>
        <w:gridCol w:w="2475"/>
      </w:tblGrid>
      <w:tr>
        <w:tblPrEx>
          <w:tblCellMar>
            <w:top w:w="0" w:type="dxa"/>
            <w:left w:w="108" w:type="dxa"/>
            <w:bottom w:w="0" w:type="dxa"/>
            <w:right w:w="108" w:type="dxa"/>
          </w:tblCellMar>
        </w:tblPrEx>
        <w:trPr>
          <w:trHeight w:val="360" w:hRule="atLeast"/>
          <w:jc w:val="center"/>
        </w:trPr>
        <w:tc>
          <w:tcPr>
            <w:tcW w:w="123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单位预算政府基金预算财政拨款支出表</w:t>
            </w:r>
          </w:p>
        </w:tc>
      </w:tr>
      <w:tr>
        <w:tblPrEx>
          <w:tblCellMar>
            <w:top w:w="0" w:type="dxa"/>
            <w:left w:w="108" w:type="dxa"/>
            <w:bottom w:w="0" w:type="dxa"/>
            <w:right w:w="108" w:type="dxa"/>
          </w:tblCellMar>
        </w:tblPrEx>
        <w:trPr>
          <w:trHeight w:val="360"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rPr>
              <w:t>预算单位编码及名称：[222001]中国共产党满城区纪律检查委员会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金额单位：</w:t>
            </w:r>
          </w:p>
        </w:tc>
      </w:tr>
      <w:tr>
        <w:tblPrEx>
          <w:tblCellMar>
            <w:top w:w="0" w:type="dxa"/>
            <w:left w:w="108" w:type="dxa"/>
            <w:bottom w:w="0" w:type="dxa"/>
            <w:right w:w="108" w:type="dxa"/>
          </w:tblCellMar>
        </w:tblPrEx>
        <w:trPr>
          <w:trHeight w:val="36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项目支出</w:t>
            </w:r>
          </w:p>
        </w:tc>
      </w:tr>
      <w:tr>
        <w:tblPrEx>
          <w:tblCellMar>
            <w:top w:w="0" w:type="dxa"/>
            <w:left w:w="108" w:type="dxa"/>
            <w:bottom w:w="0" w:type="dxa"/>
            <w:right w:w="108" w:type="dxa"/>
          </w:tblCellMar>
        </w:tblPrEx>
        <w:trPr>
          <w:trHeight w:val="3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5</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bl>
    <w:p>
      <w:pPr>
        <w:spacing w:before="14"/>
        <w:rPr>
          <w:sz w:val="13"/>
        </w:rPr>
      </w:pPr>
    </w:p>
    <w:p>
      <w:pPr>
        <w:spacing w:before="14"/>
        <w:rPr>
          <w:sz w:val="13"/>
        </w:rPr>
      </w:pPr>
      <w:r>
        <w:rPr>
          <w:rFonts w:hint="eastAsia"/>
          <w:sz w:val="13"/>
        </w:rPr>
        <w:t xml:space="preserve">                                            </w:t>
      </w:r>
      <w:r>
        <w:rPr>
          <w:rFonts w:hint="eastAsia"/>
          <w:sz w:val="21"/>
          <w:szCs w:val="21"/>
        </w:rPr>
        <w:t xml:space="preserve"> 备注：我单位无政府基金预算，空表列示。</w:t>
      </w: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p>
    <w:p>
      <w:pPr>
        <w:spacing w:before="14"/>
        <w:rPr>
          <w:sz w:val="13"/>
        </w:rPr>
      </w:pPr>
      <w:r>
        <w:rPr>
          <w:rFonts w:hint="eastAsia"/>
          <w:sz w:val="13"/>
        </w:rPr>
        <w:t xml:space="preserve">    </w:t>
      </w:r>
    </w:p>
    <w:tbl>
      <w:tblPr>
        <w:tblStyle w:val="12"/>
        <w:tblW w:w="11500" w:type="dxa"/>
        <w:jc w:val="center"/>
        <w:tblLayout w:type="autofit"/>
        <w:tblCellMar>
          <w:top w:w="0" w:type="dxa"/>
          <w:left w:w="108" w:type="dxa"/>
          <w:bottom w:w="0" w:type="dxa"/>
          <w:right w:w="108" w:type="dxa"/>
        </w:tblCellMar>
      </w:tblPr>
      <w:tblGrid>
        <w:gridCol w:w="1235"/>
        <w:gridCol w:w="2063"/>
        <w:gridCol w:w="2063"/>
        <w:gridCol w:w="1235"/>
        <w:gridCol w:w="3071"/>
        <w:gridCol w:w="2301"/>
      </w:tblGrid>
      <w:tr>
        <w:tblPrEx>
          <w:tblCellMar>
            <w:top w:w="0" w:type="dxa"/>
            <w:left w:w="108" w:type="dxa"/>
            <w:bottom w:w="0" w:type="dxa"/>
            <w:right w:w="108" w:type="dxa"/>
          </w:tblCellMar>
        </w:tblPrEx>
        <w:trPr>
          <w:trHeight w:val="338" w:hRule="atLeast"/>
          <w:jc w:val="center"/>
        </w:trPr>
        <w:tc>
          <w:tcPr>
            <w:tcW w:w="115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单位预算国有资本经营预算财政拨款支出表</w:t>
            </w:r>
          </w:p>
        </w:tc>
      </w:tr>
      <w:tr>
        <w:tblPrEx>
          <w:tblCellMar>
            <w:top w:w="0" w:type="dxa"/>
            <w:left w:w="108" w:type="dxa"/>
            <w:bottom w:w="0" w:type="dxa"/>
            <w:right w:w="108" w:type="dxa"/>
          </w:tblCellMar>
        </w:tblPrEx>
        <w:trPr>
          <w:trHeight w:val="33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rPr>
            </w:pPr>
            <w:r>
              <w:rPr>
                <w:rFonts w:hint="eastAsia" w:ascii="宋体" w:hAnsi="宋体" w:eastAsia="宋体" w:cs="宋体"/>
                <w:color w:val="000000"/>
              </w:rPr>
              <w:t>预算单位编码及名称：[222001]中国共产党满城区纪律检查委员会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color w:val="000000"/>
              </w:rPr>
            </w:pPr>
            <w:r>
              <w:rPr>
                <w:rFonts w:hint="eastAsia" w:ascii="宋体" w:hAnsi="宋体" w:eastAsia="宋体" w:cs="宋体"/>
                <w:color w:val="000000"/>
              </w:rPr>
              <w:t>金额单位：</w:t>
            </w:r>
          </w:p>
        </w:tc>
      </w:tr>
      <w:tr>
        <w:tblPrEx>
          <w:tblCellMar>
            <w:top w:w="0" w:type="dxa"/>
            <w:left w:w="108" w:type="dxa"/>
            <w:bottom w:w="0" w:type="dxa"/>
            <w:right w:w="108" w:type="dxa"/>
          </w:tblCellMar>
        </w:tblPrEx>
        <w:trPr>
          <w:trHeight w:val="338"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项目支出</w:t>
            </w:r>
          </w:p>
        </w:tc>
      </w:tr>
      <w:tr>
        <w:tblPrEx>
          <w:tblCellMar>
            <w:top w:w="0" w:type="dxa"/>
            <w:left w:w="108" w:type="dxa"/>
            <w:bottom w:w="0" w:type="dxa"/>
            <w:right w:w="108" w:type="dxa"/>
          </w:tblCellMar>
        </w:tblPrEx>
        <w:trPr>
          <w:trHeight w:val="33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33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rPr>
            </w:pPr>
            <w:r>
              <w:rPr>
                <w:rFonts w:hint="eastAsia" w:ascii="宋体" w:hAnsi="宋体" w:eastAsia="宋体" w:cs="宋体"/>
                <w:color w:val="000000"/>
              </w:rPr>
              <w:t>5</w:t>
            </w:r>
          </w:p>
        </w:tc>
      </w:tr>
      <w:tr>
        <w:tblPrEx>
          <w:tblCellMar>
            <w:top w:w="0" w:type="dxa"/>
            <w:left w:w="108" w:type="dxa"/>
            <w:bottom w:w="0" w:type="dxa"/>
            <w:right w:w="108" w:type="dxa"/>
          </w:tblCellMar>
        </w:tblPrEx>
        <w:trPr>
          <w:trHeight w:val="28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28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283" w:hRule="atLeast"/>
          <w:jc w:val="center"/>
        </w:trPr>
        <w:tc>
          <w:tcPr>
            <w:tcW w:w="0" w:type="auto"/>
            <w:tcBorders>
              <w:top w:val="nil"/>
              <w:left w:val="nil"/>
              <w:bottom w:val="nil"/>
              <w:right w:val="nil"/>
            </w:tcBorders>
            <w:shd w:val="clear" w:color="auto" w:fill="auto"/>
            <w:noWrap/>
          </w:tcPr>
          <w:p>
            <w:pPr>
              <w:jc w:val="center"/>
              <w:rPr>
                <w:rFonts w:ascii="Calibri" w:hAnsi="Calibri" w:eastAsia="宋体" w:cs="Calibri"/>
                <w:color w:val="000000"/>
              </w:rPr>
            </w:pPr>
          </w:p>
        </w:tc>
        <w:tc>
          <w:tcPr>
            <w:tcW w:w="0" w:type="auto"/>
            <w:tcBorders>
              <w:top w:val="nil"/>
              <w:left w:val="nil"/>
              <w:bottom w:val="nil"/>
              <w:right w:val="nil"/>
            </w:tcBorders>
            <w:shd w:val="clear" w:color="auto" w:fill="auto"/>
            <w:noWrap/>
          </w:tcPr>
          <w:p>
            <w:pPr>
              <w:rPr>
                <w:rFonts w:ascii="Calibri" w:hAnsi="Calibri" w:eastAsia="宋体" w:cs="Calibri"/>
                <w:color w:val="000000"/>
              </w:rPr>
            </w:pPr>
          </w:p>
        </w:tc>
        <w:tc>
          <w:tcPr>
            <w:tcW w:w="0" w:type="auto"/>
            <w:tcBorders>
              <w:top w:val="nil"/>
              <w:left w:val="nil"/>
              <w:bottom w:val="nil"/>
              <w:right w:val="nil"/>
            </w:tcBorders>
            <w:shd w:val="clear" w:color="auto" w:fill="auto"/>
            <w:noWrap/>
          </w:tcPr>
          <w:p>
            <w:pPr>
              <w:rPr>
                <w:rFonts w:ascii="Calibri" w:hAnsi="Calibri" w:eastAsia="宋体" w:cs="Calibri"/>
                <w:color w:val="000000"/>
              </w:rPr>
            </w:pPr>
          </w:p>
        </w:tc>
        <w:tc>
          <w:tcPr>
            <w:tcW w:w="0" w:type="auto"/>
            <w:tcBorders>
              <w:top w:val="nil"/>
              <w:left w:val="nil"/>
              <w:bottom w:val="nil"/>
              <w:right w:val="nil"/>
            </w:tcBorders>
            <w:shd w:val="clear" w:color="auto" w:fill="auto"/>
            <w:noWrap/>
          </w:tcPr>
          <w:p>
            <w:pPr>
              <w:jc w:val="right"/>
              <w:rPr>
                <w:rFonts w:ascii="Calibri" w:hAnsi="Calibri" w:eastAsia="宋体" w:cs="Calibri"/>
                <w:color w:val="000000"/>
              </w:rPr>
            </w:pPr>
          </w:p>
        </w:tc>
        <w:tc>
          <w:tcPr>
            <w:tcW w:w="0" w:type="auto"/>
            <w:tcBorders>
              <w:top w:val="nil"/>
              <w:left w:val="nil"/>
              <w:bottom w:val="nil"/>
              <w:right w:val="nil"/>
            </w:tcBorders>
            <w:shd w:val="clear" w:color="auto" w:fill="auto"/>
            <w:noWrap/>
          </w:tcPr>
          <w:p>
            <w:pPr>
              <w:jc w:val="right"/>
              <w:rPr>
                <w:rFonts w:ascii="Calibri" w:hAnsi="Calibri" w:eastAsia="宋体" w:cs="Calibri"/>
                <w:color w:val="000000"/>
              </w:rPr>
            </w:pPr>
          </w:p>
        </w:tc>
        <w:tc>
          <w:tcPr>
            <w:tcW w:w="0" w:type="auto"/>
            <w:tcBorders>
              <w:top w:val="nil"/>
              <w:left w:val="nil"/>
              <w:bottom w:val="nil"/>
              <w:right w:val="nil"/>
            </w:tcBorders>
            <w:shd w:val="clear" w:color="auto" w:fill="auto"/>
            <w:noWrap/>
          </w:tcPr>
          <w:p>
            <w:pPr>
              <w:jc w:val="right"/>
              <w:rPr>
                <w:rFonts w:ascii="Calibri" w:hAnsi="Calibri" w:eastAsia="宋体" w:cs="Calibri"/>
                <w:color w:val="000000"/>
              </w:rPr>
            </w:pPr>
          </w:p>
        </w:tc>
      </w:tr>
      <w:tr>
        <w:tblPrEx>
          <w:tblCellMar>
            <w:top w:w="0" w:type="dxa"/>
            <w:left w:w="108" w:type="dxa"/>
            <w:bottom w:w="0" w:type="dxa"/>
            <w:right w:w="108" w:type="dxa"/>
          </w:tblCellMar>
        </w:tblPrEx>
        <w:trPr>
          <w:trHeight w:val="274" w:hRule="atLeast"/>
          <w:jc w:val="center"/>
        </w:trPr>
        <w:tc>
          <w:tcPr>
            <w:tcW w:w="0" w:type="auto"/>
            <w:tcBorders>
              <w:top w:val="nil"/>
              <w:left w:val="nil"/>
              <w:bottom w:val="nil"/>
              <w:right w:val="nil"/>
            </w:tcBorders>
            <w:shd w:val="clear" w:color="auto" w:fill="auto"/>
            <w:noWrap/>
          </w:tcPr>
          <w:p>
            <w:pPr>
              <w:jc w:val="both"/>
              <w:rPr>
                <w:rFonts w:ascii="Calibri" w:hAnsi="Calibri" w:eastAsia="宋体" w:cs="Calibri"/>
                <w:color w:val="000000"/>
              </w:rPr>
            </w:pPr>
          </w:p>
        </w:tc>
        <w:tc>
          <w:tcPr>
            <w:tcW w:w="0" w:type="auto"/>
            <w:tcBorders>
              <w:top w:val="nil"/>
              <w:left w:val="nil"/>
              <w:bottom w:val="nil"/>
              <w:right w:val="nil"/>
            </w:tcBorders>
            <w:shd w:val="clear" w:color="auto" w:fill="auto"/>
            <w:noWrap/>
          </w:tcPr>
          <w:p>
            <w:pPr>
              <w:rPr>
                <w:rFonts w:ascii="Calibri" w:hAnsi="Calibri" w:eastAsia="宋体" w:cs="Calibri"/>
                <w:color w:val="000000"/>
              </w:rPr>
            </w:pPr>
          </w:p>
        </w:tc>
        <w:tc>
          <w:tcPr>
            <w:tcW w:w="0" w:type="auto"/>
            <w:tcBorders>
              <w:top w:val="nil"/>
              <w:left w:val="nil"/>
              <w:bottom w:val="nil"/>
              <w:right w:val="nil"/>
            </w:tcBorders>
            <w:shd w:val="clear" w:color="auto" w:fill="auto"/>
            <w:noWrap/>
          </w:tcPr>
          <w:p>
            <w:pPr>
              <w:rPr>
                <w:rFonts w:ascii="Calibri" w:hAnsi="Calibri" w:eastAsia="宋体" w:cs="Calibri"/>
                <w:color w:val="000000"/>
              </w:rPr>
            </w:pPr>
          </w:p>
        </w:tc>
        <w:tc>
          <w:tcPr>
            <w:tcW w:w="0" w:type="auto"/>
            <w:tcBorders>
              <w:top w:val="nil"/>
              <w:left w:val="nil"/>
              <w:bottom w:val="nil"/>
              <w:right w:val="nil"/>
            </w:tcBorders>
            <w:shd w:val="clear" w:color="auto" w:fill="auto"/>
            <w:noWrap/>
          </w:tcPr>
          <w:p>
            <w:pPr>
              <w:jc w:val="right"/>
              <w:rPr>
                <w:rFonts w:ascii="Calibri" w:hAnsi="Calibri" w:eastAsia="宋体" w:cs="Calibri"/>
                <w:color w:val="000000"/>
              </w:rPr>
            </w:pPr>
          </w:p>
        </w:tc>
        <w:tc>
          <w:tcPr>
            <w:tcW w:w="0" w:type="auto"/>
            <w:tcBorders>
              <w:top w:val="nil"/>
              <w:left w:val="nil"/>
              <w:bottom w:val="nil"/>
              <w:right w:val="nil"/>
            </w:tcBorders>
            <w:shd w:val="clear" w:color="auto" w:fill="auto"/>
            <w:noWrap/>
          </w:tcPr>
          <w:p>
            <w:pPr>
              <w:jc w:val="both"/>
              <w:rPr>
                <w:rFonts w:ascii="Calibri" w:hAnsi="Calibri" w:eastAsia="宋体" w:cs="Calibri"/>
                <w:color w:val="000000"/>
              </w:rPr>
            </w:pPr>
          </w:p>
        </w:tc>
        <w:tc>
          <w:tcPr>
            <w:tcW w:w="0" w:type="auto"/>
            <w:tcBorders>
              <w:top w:val="nil"/>
              <w:left w:val="nil"/>
              <w:bottom w:val="nil"/>
              <w:right w:val="nil"/>
            </w:tcBorders>
            <w:shd w:val="clear" w:color="auto" w:fill="auto"/>
            <w:noWrap/>
          </w:tcPr>
          <w:p>
            <w:pPr>
              <w:jc w:val="right"/>
              <w:rPr>
                <w:rFonts w:ascii="Calibri" w:hAnsi="Calibri" w:eastAsia="宋体" w:cs="Calibri"/>
                <w:color w:val="000000"/>
              </w:rPr>
            </w:pPr>
          </w:p>
        </w:tc>
      </w:tr>
    </w:tbl>
    <w:p>
      <w:pPr>
        <w:spacing w:before="14"/>
        <w:rPr>
          <w:sz w:val="13"/>
        </w:rPr>
      </w:pPr>
    </w:p>
    <w:p>
      <w:pPr>
        <w:spacing w:before="14"/>
        <w:rPr>
          <w:sz w:val="13"/>
        </w:rPr>
      </w:pPr>
      <w:r>
        <w:rPr>
          <w:rFonts w:hint="eastAsia"/>
          <w:sz w:val="13"/>
        </w:rPr>
        <w:t xml:space="preserve">                                                         </w:t>
      </w:r>
      <w:r>
        <w:rPr>
          <w:rFonts w:hint="eastAsia"/>
          <w:sz w:val="21"/>
          <w:szCs w:val="21"/>
        </w:rPr>
        <w:t xml:space="preserve">    备注：我单位无国有资本经营预算，空表列示。</w:t>
      </w:r>
    </w:p>
    <w:p>
      <w:pPr>
        <w:spacing w:before="14"/>
        <w:rPr>
          <w:sz w:val="13"/>
        </w:rPr>
      </w:pPr>
      <w:r>
        <w:rPr>
          <w:rFonts w:hint="eastAsia"/>
          <w:sz w:val="13"/>
        </w:rPr>
        <w:t xml:space="preserve">                                            </w:t>
      </w:r>
    </w:p>
    <w:p>
      <w:pPr>
        <w:spacing w:before="14"/>
        <w:rPr>
          <w:sz w:val="13"/>
        </w:rPr>
      </w:pPr>
    </w:p>
    <w:p>
      <w:pPr>
        <w:spacing w:before="14"/>
        <w:rPr>
          <w:sz w:val="13"/>
        </w:rPr>
      </w:pPr>
    </w:p>
    <w:p/>
    <w:p>
      <w:pPr>
        <w:spacing w:before="2" w:after="1"/>
        <w:rPr>
          <w:sz w:val="14"/>
        </w:rPr>
      </w:pPr>
    </w:p>
    <w:p>
      <w:pPr>
        <w:pStyle w:val="2"/>
        <w:ind w:left="0" w:firstLine="4680" w:firstLineChars="1300"/>
        <w:jc w:val="both"/>
      </w:pPr>
      <w:r>
        <mc:AlternateContent>
          <mc:Choice Requires="wps">
            <w:drawing>
              <wp:anchor distT="0" distB="0" distL="114300" distR="114300" simplePos="0" relativeHeight="251660288" behindDoc="0" locked="0" layoutInCell="1" allowOverlap="1">
                <wp:simplePos x="0" y="0"/>
                <wp:positionH relativeFrom="page">
                  <wp:posOffset>841375</wp:posOffset>
                </wp:positionH>
                <wp:positionV relativeFrom="paragraph">
                  <wp:posOffset>410845</wp:posOffset>
                </wp:positionV>
                <wp:extent cx="9175750" cy="36785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75750" cy="3481070"/>
                        </a:xfrm>
                        <a:prstGeom prst="rect">
                          <a:avLst/>
                        </a:prstGeom>
                        <a:noFill/>
                        <a:ln>
                          <a:noFill/>
                        </a:ln>
                        <a:effectLst/>
                      </wps:spPr>
                      <wps:txbx>
                        <w:txbxContent>
                          <w:tbl>
                            <w:tblPr>
                              <w:tblStyle w:val="12"/>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1840"/>
                              <w:gridCol w:w="29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12" w:hRule="atLeast"/>
                              </w:trPr>
                              <w:tc>
                                <w:tcPr>
                                  <w:tcW w:w="14173" w:type="dxa"/>
                                  <w:gridSpan w:val="6"/>
                                  <w:tcBorders>
                                    <w:top w:val="nil"/>
                                    <w:bottom w:val="single" w:color="000000" w:sz="6" w:space="0"/>
                                  </w:tcBorders>
                                </w:tcPr>
                                <w:p>
                                  <w:pPr>
                                    <w:pStyle w:val="16"/>
                                    <w:tabs>
                                      <w:tab w:val="left" w:pos="7340"/>
                                      <w:tab w:val="left" w:pos="12864"/>
                                    </w:tabs>
                                    <w:spacing w:line="406" w:lineRule="exact"/>
                                    <w:ind w:left="106"/>
                                    <w:rPr>
                                      <w:sz w:val="24"/>
                                    </w:rPr>
                                  </w:pPr>
                                  <w:r>
                                    <w:rPr>
                                      <w:rFonts w:hint="eastAsia" w:ascii="宋体" w:hAnsi="宋体" w:eastAsia="宋体" w:cs="宋体"/>
                                      <w:color w:val="000000"/>
                                    </w:rPr>
                                    <w:t>预算单位编码及名称：[222001]中国共产党满城区纪律检查委员会</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1"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6"/>
                                    <w:rPr>
                                      <w:sz w:val="19"/>
                                    </w:rPr>
                                  </w:pPr>
                                </w:p>
                                <w:p>
                                  <w:pPr>
                                    <w:pStyle w:val="16"/>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6"/>
                                    <w:spacing w:before="6"/>
                                    <w:rPr>
                                      <w:sz w:val="19"/>
                                    </w:rPr>
                                  </w:pPr>
                                </w:p>
                                <w:p>
                                  <w:pPr>
                                    <w:pStyle w:val="16"/>
                                    <w:tabs>
                                      <w:tab w:val="left" w:pos="435"/>
                                    </w:tabs>
                                    <w:ind w:left="15"/>
                                    <w:jc w:val="center"/>
                                    <w:rPr>
                                      <w:b/>
                                      <w:sz w:val="21"/>
                                    </w:rPr>
                                  </w:pPr>
                                  <w:r>
                                    <w:rPr>
                                      <w:b/>
                                      <w:sz w:val="21"/>
                                    </w:rPr>
                                    <w:t>项</w:t>
                                  </w:r>
                                  <w:r>
                                    <w:rPr>
                                      <w:b/>
                                      <w:sz w:val="21"/>
                                    </w:rPr>
                                    <w:tab/>
                                  </w:r>
                                  <w:r>
                                    <w:rPr>
                                      <w:b/>
                                      <w:sz w:val="21"/>
                                    </w:rPr>
                                    <w:t>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6"/>
                                    <w:spacing w:line="349" w:lineRule="exact"/>
                                    <w:ind w:left="4168" w:right="4154"/>
                                    <w:jc w:val="center"/>
                                    <w:rPr>
                                      <w:b/>
                                      <w:sz w:val="21"/>
                                    </w:rPr>
                                  </w:pPr>
                                  <w:r>
                                    <w:rPr>
                                      <w:b/>
                                      <w:spacing w:val="17"/>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6"/>
                                    <w:spacing w:line="361" w:lineRule="exact"/>
                                    <w:ind w:left="538" w:right="527"/>
                                    <w:jc w:val="center"/>
                                    <w:rPr>
                                      <w:b/>
                                      <w:sz w:val="21"/>
                                    </w:rPr>
                                  </w:pPr>
                                  <w:r>
                                    <w:rPr>
                                      <w:b/>
                                      <w:sz w:val="21"/>
                                    </w:rPr>
                                    <w:t>一般公共预算</w:t>
                                  </w:r>
                                </w:p>
                                <w:p>
                                  <w:pPr>
                                    <w:pStyle w:val="16"/>
                                    <w:spacing w:line="340" w:lineRule="exact"/>
                                    <w:ind w:left="536" w:right="527"/>
                                    <w:jc w:val="center"/>
                                    <w:rPr>
                                      <w:b/>
                                      <w:sz w:val="21"/>
                                    </w:rPr>
                                  </w:pPr>
                                  <w:r>
                                    <w:rPr>
                                      <w:b/>
                                      <w:sz w:val="21"/>
                                    </w:rPr>
                                    <w:t>财政拨款</w:t>
                                  </w:r>
                                </w:p>
                              </w:tc>
                              <w:tc>
                                <w:tcPr>
                                  <w:tcW w:w="1840" w:type="dxa"/>
                                  <w:tcBorders>
                                    <w:top w:val="single" w:color="000000" w:sz="6" w:space="0"/>
                                    <w:left w:val="single" w:color="000000" w:sz="6" w:space="0"/>
                                    <w:bottom w:val="single" w:color="000000" w:sz="6" w:space="0"/>
                                    <w:right w:val="single" w:color="000000" w:sz="6" w:space="0"/>
                                  </w:tcBorders>
                                </w:tcPr>
                                <w:p>
                                  <w:pPr>
                                    <w:pStyle w:val="16"/>
                                    <w:spacing w:line="361" w:lineRule="exact"/>
                                    <w:ind w:left="665"/>
                                    <w:rPr>
                                      <w:b/>
                                      <w:sz w:val="21"/>
                                    </w:rPr>
                                  </w:pPr>
                                  <w:r>
                                    <w:rPr>
                                      <w:b/>
                                      <w:sz w:val="21"/>
                                    </w:rPr>
                                    <w:t>政府性基金</w:t>
                                  </w:r>
                                </w:p>
                                <w:p>
                                  <w:pPr>
                                    <w:pStyle w:val="16"/>
                                    <w:spacing w:line="340" w:lineRule="exact"/>
                                    <w:ind w:left="768"/>
                                    <w:rPr>
                                      <w:b/>
                                      <w:sz w:val="21"/>
                                    </w:rPr>
                                  </w:pPr>
                                  <w:r>
                                    <w:rPr>
                                      <w:b/>
                                      <w:sz w:val="21"/>
                                    </w:rPr>
                                    <w:t>预算拨款</w:t>
                                  </w:r>
                                </w:p>
                              </w:tc>
                              <w:tc>
                                <w:tcPr>
                                  <w:tcW w:w="2922" w:type="dxa"/>
                                  <w:tcBorders>
                                    <w:top w:val="single" w:color="000000" w:sz="6" w:space="0"/>
                                    <w:left w:val="single" w:color="000000" w:sz="6" w:space="0"/>
                                    <w:bottom w:val="single" w:color="000000" w:sz="6" w:space="0"/>
                                    <w:right w:val="single" w:color="000000" w:sz="6" w:space="0"/>
                                  </w:tcBorders>
                                </w:tcPr>
                                <w:p>
                                  <w:pPr>
                                    <w:pStyle w:val="16"/>
                                    <w:spacing w:line="361" w:lineRule="exact"/>
                                    <w:ind w:left="559"/>
                                    <w:rPr>
                                      <w:b/>
                                      <w:sz w:val="21"/>
                                    </w:rPr>
                                  </w:pPr>
                                  <w:r>
                                    <w:rPr>
                                      <w:b/>
                                      <w:w w:val="95"/>
                                      <w:sz w:val="21"/>
                                    </w:rPr>
                                    <w:t>国有资本经营</w:t>
                                  </w:r>
                                </w:p>
                                <w:p>
                                  <w:pPr>
                                    <w:pStyle w:val="16"/>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b/>
                                      <w:sz w:val="21"/>
                                    </w:rPr>
                                  </w:pPr>
                                  <w:r>
                                    <w:rPr>
                                      <w:b/>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89"/>
                                    <w:ind w:left="15"/>
                                    <w:jc w:val="center"/>
                                    <w:rPr>
                                      <w:b/>
                                      <w:sz w:val="21"/>
                                    </w:rPr>
                                  </w:pPr>
                                  <w:r>
                                    <w:rPr>
                                      <w:b/>
                                      <w:w w:val="99"/>
                                      <w:sz w:val="21"/>
                                    </w:rPr>
                                    <w:t>3</w:t>
                                  </w:r>
                                </w:p>
                              </w:tc>
                              <w:tc>
                                <w:tcPr>
                                  <w:tcW w:w="1840" w:type="dxa"/>
                                  <w:tcBorders>
                                    <w:top w:val="single" w:color="000000" w:sz="6" w:space="0"/>
                                    <w:left w:val="single" w:color="000000" w:sz="6" w:space="0"/>
                                    <w:bottom w:val="single" w:color="000000" w:sz="6" w:space="0"/>
                                    <w:right w:val="single" w:color="000000" w:sz="6" w:space="0"/>
                                  </w:tcBorders>
                                </w:tcPr>
                                <w:p>
                                  <w:pPr>
                                    <w:pStyle w:val="16"/>
                                    <w:spacing w:before="89"/>
                                    <w:ind w:left="15"/>
                                    <w:jc w:val="center"/>
                                    <w:rPr>
                                      <w:b/>
                                      <w:sz w:val="21"/>
                                    </w:rPr>
                                  </w:pPr>
                                  <w:r>
                                    <w:rPr>
                                      <w:b/>
                                      <w:w w:val="99"/>
                                      <w:sz w:val="21"/>
                                    </w:rPr>
                                    <w:t>4</w:t>
                                  </w:r>
                                </w:p>
                              </w:tc>
                              <w:tc>
                                <w:tcPr>
                                  <w:tcW w:w="2922"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0"/>
                                    <w:jc w:val="center"/>
                                    <w:rPr>
                                      <w:b/>
                                      <w:sz w:val="21"/>
                                    </w:rPr>
                                  </w:pPr>
                                  <w:r>
                                    <w:rPr>
                                      <w:b/>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88"/>
                                    <w:jc w:val="right"/>
                                    <w:rPr>
                                      <w:b/>
                                      <w:sz w:val="21"/>
                                    </w:rPr>
                                  </w:pPr>
                                  <w:r>
                                    <w:rPr>
                                      <w:rFonts w:hint="eastAsia"/>
                                      <w:b/>
                                      <w:sz w:val="21"/>
                                    </w:rPr>
                                    <w:t>18.33</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88"/>
                                    <w:jc w:val="right"/>
                                    <w:rPr>
                                      <w:b/>
                                      <w:sz w:val="21"/>
                                    </w:rPr>
                                  </w:pPr>
                                  <w:r>
                                    <w:rPr>
                                      <w:rFonts w:hint="eastAsia"/>
                                      <w:b/>
                                      <w:sz w:val="21"/>
                                    </w:rPr>
                                    <w:t>18.33</w:t>
                                  </w: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52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157"/>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r>
                                    <w:rPr>
                                      <w:rFonts w:hint="eastAsia"/>
                                      <w:sz w:val="21"/>
                                    </w:rPr>
                                    <w:t>16</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r>
                                    <w:rPr>
                                      <w:rFonts w:hint="eastAsia"/>
                                      <w:sz w:val="21"/>
                                    </w:rPr>
                                    <w:t>16</w:t>
                                  </w: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2" w:hRule="atLeast"/>
                              </w:trPr>
                              <w:tc>
                                <w:tcPr>
                                  <w:tcW w:w="850"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left="14"/>
                                    <w:jc w:val="center"/>
                                    <w:rPr>
                                      <w:sz w:val="21"/>
                                    </w:rPr>
                                  </w:pPr>
                                  <w:r>
                                    <w:rPr>
                                      <w:w w:val="99"/>
                                      <w:sz w:val="21"/>
                                    </w:rPr>
                                    <w:t>6</w:t>
                                  </w:r>
                                </w:p>
                              </w:tc>
                              <w:tc>
                                <w:tcPr>
                                  <w:tcW w:w="3798"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left="108"/>
                                    <w:rPr>
                                      <w:sz w:val="21"/>
                                    </w:rPr>
                                  </w:pPr>
                                  <w:r>
                                    <w:rPr>
                                      <w:sz w:val="21"/>
                                    </w:rPr>
                                    <w:t>三、公务接待费</w:t>
                                  </w:r>
                                </w:p>
                              </w:tc>
                              <w:tc>
                                <w:tcPr>
                                  <w:tcW w:w="2382"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right="92"/>
                                    <w:jc w:val="right"/>
                                    <w:rPr>
                                      <w:sz w:val="21"/>
                                    </w:rPr>
                                  </w:pPr>
                                  <w:r>
                                    <w:rPr>
                                      <w:rFonts w:hint="eastAsia"/>
                                      <w:sz w:val="21"/>
                                    </w:rPr>
                                    <w:t>2.33</w:t>
                                  </w:r>
                                </w:p>
                              </w:tc>
                              <w:tc>
                                <w:tcPr>
                                  <w:tcW w:w="2381"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right="92"/>
                                    <w:jc w:val="right"/>
                                    <w:rPr>
                                      <w:sz w:val="21"/>
                                    </w:rPr>
                                  </w:pPr>
                                  <w:r>
                                    <w:rPr>
                                      <w:rFonts w:hint="eastAsia"/>
                                      <w:sz w:val="21"/>
                                    </w:rPr>
                                    <w:t>2.33</w:t>
                                  </w:r>
                                </w:p>
                              </w:tc>
                              <w:tc>
                                <w:tcPr>
                                  <w:tcW w:w="1840" w:type="dxa"/>
                                  <w:tcBorders>
                                    <w:top w:val="single" w:color="000000" w:sz="6" w:space="0"/>
                                    <w:left w:val="single" w:color="000000" w:sz="6" w:space="0"/>
                                    <w:bottom w:val="single" w:color="000000" w:sz="4"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4" w:space="0"/>
                                    <w:right w:val="single" w:color="000000" w:sz="6" w:space="0"/>
                                  </w:tcBorders>
                                </w:tcPr>
                                <w:p>
                                  <w:pPr>
                                    <w:pStyle w:val="16"/>
                                    <w:rPr>
                                      <w:rFonts w:ascii="Times New Roman"/>
                                    </w:rPr>
                                  </w:pP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66.25pt;margin-top:32.35pt;height:289.65pt;width:722.5pt;mso-position-horizontal-relative:page;z-index:251660288;mso-width-relative:page;mso-height-relative:page;" filled="f" stroked="f" coordsize="21600,21600" o:gfxdata="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8xox92AAAAAsBAAAPAAAAAAAAAAEAIAAAACIAAABkcnMvZG93bnJldi54&#10;bWxQSwECFAAUAAAACACHTuJAFWrCr8EBAACBAwAADgAAAAAAAAABACAAAAAnAQAAZHJzL2Uyb0Rv&#10;Yy54bWxQSwUGAAAAAAYABgBZAQAAWgUAAAAA&#10;">
                <v:fill on="f" focussize="0,0"/>
                <v:stroke on="f"/>
                <v:imagedata o:title=""/>
                <o:lock v:ext="edit" aspectratio="f"/>
                <v:textbox inset="0mm,0mm,0mm,0mm">
                  <w:txbxContent>
                    <w:tbl>
                      <w:tblPr>
                        <w:tblStyle w:val="12"/>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1840"/>
                        <w:gridCol w:w="29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12" w:hRule="atLeast"/>
                        </w:trPr>
                        <w:tc>
                          <w:tcPr>
                            <w:tcW w:w="14173" w:type="dxa"/>
                            <w:gridSpan w:val="6"/>
                            <w:tcBorders>
                              <w:top w:val="nil"/>
                              <w:bottom w:val="single" w:color="000000" w:sz="6" w:space="0"/>
                            </w:tcBorders>
                          </w:tcPr>
                          <w:p>
                            <w:pPr>
                              <w:pStyle w:val="16"/>
                              <w:tabs>
                                <w:tab w:val="left" w:pos="7340"/>
                                <w:tab w:val="left" w:pos="12864"/>
                              </w:tabs>
                              <w:spacing w:line="406" w:lineRule="exact"/>
                              <w:ind w:left="106"/>
                              <w:rPr>
                                <w:sz w:val="24"/>
                              </w:rPr>
                            </w:pPr>
                            <w:r>
                              <w:rPr>
                                <w:rFonts w:hint="eastAsia" w:ascii="宋体" w:hAnsi="宋体" w:eastAsia="宋体" w:cs="宋体"/>
                                <w:color w:val="000000"/>
                              </w:rPr>
                              <w:t>预算单位编码及名称：[222001]中国共产党满城区纪律检查委员会</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1"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6"/>
                              <w:rPr>
                                <w:sz w:val="19"/>
                              </w:rPr>
                            </w:pPr>
                          </w:p>
                          <w:p>
                            <w:pPr>
                              <w:pStyle w:val="16"/>
                              <w:ind w:left="214"/>
                              <w:rPr>
                                <w:b/>
                                <w:sz w:val="21"/>
                              </w:rPr>
                            </w:pPr>
                            <w:r>
                              <w:rPr>
                                <w:b/>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6"/>
                              <w:spacing w:before="6"/>
                              <w:rPr>
                                <w:sz w:val="19"/>
                              </w:rPr>
                            </w:pPr>
                          </w:p>
                          <w:p>
                            <w:pPr>
                              <w:pStyle w:val="16"/>
                              <w:tabs>
                                <w:tab w:val="left" w:pos="435"/>
                              </w:tabs>
                              <w:ind w:left="15"/>
                              <w:jc w:val="center"/>
                              <w:rPr>
                                <w:b/>
                                <w:sz w:val="21"/>
                              </w:rPr>
                            </w:pPr>
                            <w:r>
                              <w:rPr>
                                <w:b/>
                                <w:sz w:val="21"/>
                              </w:rPr>
                              <w:t>项</w:t>
                            </w:r>
                            <w:r>
                              <w:rPr>
                                <w:b/>
                                <w:sz w:val="21"/>
                              </w:rPr>
                              <w:tab/>
                            </w:r>
                            <w:r>
                              <w:rPr>
                                <w:b/>
                                <w:sz w:val="21"/>
                              </w:rPr>
                              <w:t>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6"/>
                              <w:spacing w:line="349" w:lineRule="exact"/>
                              <w:ind w:left="4168" w:right="4154"/>
                              <w:jc w:val="center"/>
                              <w:rPr>
                                <w:b/>
                                <w:sz w:val="21"/>
                              </w:rPr>
                            </w:pPr>
                            <w:r>
                              <w:rPr>
                                <w:b/>
                                <w:spacing w:val="17"/>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721"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165"/>
                              <w:ind w:left="959" w:right="947"/>
                              <w:jc w:val="center"/>
                              <w:rPr>
                                <w:b/>
                                <w:sz w:val="21"/>
                              </w:rPr>
                            </w:pPr>
                            <w:r>
                              <w:rPr>
                                <w:b/>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6"/>
                              <w:spacing w:line="361" w:lineRule="exact"/>
                              <w:ind w:left="538" w:right="527"/>
                              <w:jc w:val="center"/>
                              <w:rPr>
                                <w:b/>
                                <w:sz w:val="21"/>
                              </w:rPr>
                            </w:pPr>
                            <w:r>
                              <w:rPr>
                                <w:b/>
                                <w:sz w:val="21"/>
                              </w:rPr>
                              <w:t>一般公共预算</w:t>
                            </w:r>
                          </w:p>
                          <w:p>
                            <w:pPr>
                              <w:pStyle w:val="16"/>
                              <w:spacing w:line="340" w:lineRule="exact"/>
                              <w:ind w:left="536" w:right="527"/>
                              <w:jc w:val="center"/>
                              <w:rPr>
                                <w:b/>
                                <w:sz w:val="21"/>
                              </w:rPr>
                            </w:pPr>
                            <w:r>
                              <w:rPr>
                                <w:b/>
                                <w:sz w:val="21"/>
                              </w:rPr>
                              <w:t>财政拨款</w:t>
                            </w:r>
                          </w:p>
                        </w:tc>
                        <w:tc>
                          <w:tcPr>
                            <w:tcW w:w="1840" w:type="dxa"/>
                            <w:tcBorders>
                              <w:top w:val="single" w:color="000000" w:sz="6" w:space="0"/>
                              <w:left w:val="single" w:color="000000" w:sz="6" w:space="0"/>
                              <w:bottom w:val="single" w:color="000000" w:sz="6" w:space="0"/>
                              <w:right w:val="single" w:color="000000" w:sz="6" w:space="0"/>
                            </w:tcBorders>
                          </w:tcPr>
                          <w:p>
                            <w:pPr>
                              <w:pStyle w:val="16"/>
                              <w:spacing w:line="361" w:lineRule="exact"/>
                              <w:ind w:left="665"/>
                              <w:rPr>
                                <w:b/>
                                <w:sz w:val="21"/>
                              </w:rPr>
                            </w:pPr>
                            <w:r>
                              <w:rPr>
                                <w:b/>
                                <w:sz w:val="21"/>
                              </w:rPr>
                              <w:t>政府性基金</w:t>
                            </w:r>
                          </w:p>
                          <w:p>
                            <w:pPr>
                              <w:pStyle w:val="16"/>
                              <w:spacing w:line="340" w:lineRule="exact"/>
                              <w:ind w:left="768"/>
                              <w:rPr>
                                <w:b/>
                                <w:sz w:val="21"/>
                              </w:rPr>
                            </w:pPr>
                            <w:r>
                              <w:rPr>
                                <w:b/>
                                <w:sz w:val="21"/>
                              </w:rPr>
                              <w:t>预算拨款</w:t>
                            </w:r>
                          </w:p>
                        </w:tc>
                        <w:tc>
                          <w:tcPr>
                            <w:tcW w:w="2922" w:type="dxa"/>
                            <w:tcBorders>
                              <w:top w:val="single" w:color="000000" w:sz="6" w:space="0"/>
                              <w:left w:val="single" w:color="000000" w:sz="6" w:space="0"/>
                              <w:bottom w:val="single" w:color="000000" w:sz="6" w:space="0"/>
                              <w:right w:val="single" w:color="000000" w:sz="6" w:space="0"/>
                            </w:tcBorders>
                          </w:tcPr>
                          <w:p>
                            <w:pPr>
                              <w:pStyle w:val="16"/>
                              <w:spacing w:line="361" w:lineRule="exact"/>
                              <w:ind w:left="559"/>
                              <w:rPr>
                                <w:b/>
                                <w:sz w:val="21"/>
                              </w:rPr>
                            </w:pPr>
                            <w:r>
                              <w:rPr>
                                <w:b/>
                                <w:w w:val="95"/>
                                <w:sz w:val="21"/>
                              </w:rPr>
                              <w:t>国有资本经营</w:t>
                            </w:r>
                          </w:p>
                          <w:p>
                            <w:pPr>
                              <w:pStyle w:val="16"/>
                              <w:spacing w:line="340" w:lineRule="exact"/>
                              <w:ind w:left="559"/>
                              <w:rPr>
                                <w:b/>
                                <w:sz w:val="21"/>
                              </w:rPr>
                            </w:pPr>
                            <w:r>
                              <w:rPr>
                                <w:b/>
                                <w:w w:val="95"/>
                                <w:sz w:val="21"/>
                              </w:rPr>
                              <w:t>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92" w:right="180"/>
                              <w:jc w:val="center"/>
                              <w:rPr>
                                <w:b/>
                                <w:sz w:val="21"/>
                              </w:rPr>
                            </w:pPr>
                            <w:r>
                              <w:rPr>
                                <w:b/>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b/>
                                <w:sz w:val="21"/>
                              </w:rPr>
                            </w:pPr>
                            <w:r>
                              <w:rPr>
                                <w:b/>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89"/>
                              <w:ind w:left="12"/>
                              <w:jc w:val="center"/>
                              <w:rPr>
                                <w:b/>
                                <w:sz w:val="21"/>
                              </w:rPr>
                            </w:pPr>
                            <w:r>
                              <w:rPr>
                                <w:b/>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89"/>
                              <w:ind w:left="15"/>
                              <w:jc w:val="center"/>
                              <w:rPr>
                                <w:b/>
                                <w:sz w:val="21"/>
                              </w:rPr>
                            </w:pPr>
                            <w:r>
                              <w:rPr>
                                <w:b/>
                                <w:w w:val="99"/>
                                <w:sz w:val="21"/>
                              </w:rPr>
                              <w:t>3</w:t>
                            </w:r>
                          </w:p>
                        </w:tc>
                        <w:tc>
                          <w:tcPr>
                            <w:tcW w:w="1840" w:type="dxa"/>
                            <w:tcBorders>
                              <w:top w:val="single" w:color="000000" w:sz="6" w:space="0"/>
                              <w:left w:val="single" w:color="000000" w:sz="6" w:space="0"/>
                              <w:bottom w:val="single" w:color="000000" w:sz="6" w:space="0"/>
                              <w:right w:val="single" w:color="000000" w:sz="6" w:space="0"/>
                            </w:tcBorders>
                          </w:tcPr>
                          <w:p>
                            <w:pPr>
                              <w:pStyle w:val="16"/>
                              <w:spacing w:before="89"/>
                              <w:ind w:left="15"/>
                              <w:jc w:val="center"/>
                              <w:rPr>
                                <w:b/>
                                <w:sz w:val="21"/>
                              </w:rPr>
                            </w:pPr>
                            <w:r>
                              <w:rPr>
                                <w:b/>
                                <w:w w:val="99"/>
                                <w:sz w:val="21"/>
                              </w:rPr>
                              <w:t>4</w:t>
                            </w:r>
                          </w:p>
                        </w:tc>
                        <w:tc>
                          <w:tcPr>
                            <w:tcW w:w="2922"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b/>
                                <w:sz w:val="21"/>
                              </w:rPr>
                            </w:pPr>
                            <w:r>
                              <w:rPr>
                                <w:b/>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0"/>
                              <w:jc w:val="center"/>
                              <w:rPr>
                                <w:b/>
                                <w:sz w:val="21"/>
                              </w:rPr>
                            </w:pPr>
                            <w:r>
                              <w:rPr>
                                <w:b/>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88"/>
                              <w:jc w:val="right"/>
                              <w:rPr>
                                <w:b/>
                                <w:sz w:val="21"/>
                              </w:rPr>
                            </w:pPr>
                            <w:r>
                              <w:rPr>
                                <w:rFonts w:hint="eastAsia"/>
                                <w:b/>
                                <w:sz w:val="21"/>
                              </w:rPr>
                              <w:t>18.33</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88"/>
                              <w:jc w:val="right"/>
                              <w:rPr>
                                <w:b/>
                                <w:sz w:val="21"/>
                              </w:rPr>
                            </w:pPr>
                            <w:r>
                              <w:rPr>
                                <w:rFonts w:hint="eastAsia"/>
                                <w:b/>
                                <w:sz w:val="21"/>
                              </w:rPr>
                              <w:t>18.33</w:t>
                            </w: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108"/>
                              <w:rPr>
                                <w:sz w:val="21"/>
                              </w:rPr>
                            </w:pPr>
                            <w:r>
                              <w:rPr>
                                <w:sz w:val="21"/>
                              </w:rPr>
                              <w:t>一、因公出国（境）费</w:t>
                            </w:r>
                          </w:p>
                        </w:tc>
                        <w:tc>
                          <w:tcPr>
                            <w:tcW w:w="238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89"/>
                              <w:ind w:left="14"/>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89"/>
                              <w:ind w:left="528"/>
                              <w:rPr>
                                <w:sz w:val="21"/>
                              </w:rPr>
                            </w:pPr>
                            <w:r>
                              <w:rPr>
                                <w:sz w:val="21"/>
                              </w:rPr>
                              <w:t>其中：公务用车购置费</w:t>
                            </w:r>
                          </w:p>
                        </w:tc>
                        <w:tc>
                          <w:tcPr>
                            <w:tcW w:w="238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381"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6"/>
                              <w:spacing w:before="90"/>
                              <w:ind w:left="14"/>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6"/>
                              <w:spacing w:before="90"/>
                              <w:ind w:left="1157"/>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r>
                              <w:rPr>
                                <w:rFonts w:hint="eastAsia"/>
                                <w:sz w:val="21"/>
                              </w:rPr>
                              <w:t>16</w:t>
                            </w:r>
                          </w:p>
                        </w:tc>
                        <w:tc>
                          <w:tcPr>
                            <w:tcW w:w="2381" w:type="dxa"/>
                            <w:tcBorders>
                              <w:top w:val="single" w:color="000000" w:sz="6" w:space="0"/>
                              <w:left w:val="single" w:color="000000" w:sz="6" w:space="0"/>
                              <w:bottom w:val="single" w:color="000000" w:sz="6" w:space="0"/>
                              <w:right w:val="single" w:color="000000" w:sz="6" w:space="0"/>
                            </w:tcBorders>
                          </w:tcPr>
                          <w:p>
                            <w:pPr>
                              <w:pStyle w:val="16"/>
                              <w:spacing w:before="90"/>
                              <w:ind w:right="92"/>
                              <w:jc w:val="right"/>
                              <w:rPr>
                                <w:sz w:val="21"/>
                              </w:rPr>
                            </w:pPr>
                            <w:r>
                              <w:rPr>
                                <w:rFonts w:hint="eastAsia"/>
                                <w:sz w:val="21"/>
                              </w:rPr>
                              <w:t>16</w:t>
                            </w:r>
                          </w:p>
                        </w:tc>
                        <w:tc>
                          <w:tcPr>
                            <w:tcW w:w="184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12" w:hRule="atLeast"/>
                        </w:trPr>
                        <w:tc>
                          <w:tcPr>
                            <w:tcW w:w="850"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left="14"/>
                              <w:jc w:val="center"/>
                              <w:rPr>
                                <w:sz w:val="21"/>
                              </w:rPr>
                            </w:pPr>
                            <w:r>
                              <w:rPr>
                                <w:w w:val="99"/>
                                <w:sz w:val="21"/>
                              </w:rPr>
                              <w:t>6</w:t>
                            </w:r>
                          </w:p>
                        </w:tc>
                        <w:tc>
                          <w:tcPr>
                            <w:tcW w:w="3798"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left="108"/>
                              <w:rPr>
                                <w:sz w:val="21"/>
                              </w:rPr>
                            </w:pPr>
                            <w:r>
                              <w:rPr>
                                <w:sz w:val="21"/>
                              </w:rPr>
                              <w:t>三、公务接待费</w:t>
                            </w:r>
                          </w:p>
                        </w:tc>
                        <w:tc>
                          <w:tcPr>
                            <w:tcW w:w="2382"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right="92"/>
                              <w:jc w:val="right"/>
                              <w:rPr>
                                <w:sz w:val="21"/>
                              </w:rPr>
                            </w:pPr>
                            <w:r>
                              <w:rPr>
                                <w:rFonts w:hint="eastAsia"/>
                                <w:sz w:val="21"/>
                              </w:rPr>
                              <w:t>2.33</w:t>
                            </w:r>
                          </w:p>
                        </w:tc>
                        <w:tc>
                          <w:tcPr>
                            <w:tcW w:w="2381" w:type="dxa"/>
                            <w:tcBorders>
                              <w:top w:val="single" w:color="000000" w:sz="6" w:space="0"/>
                              <w:left w:val="single" w:color="000000" w:sz="6" w:space="0"/>
                              <w:bottom w:val="single" w:color="000000" w:sz="4" w:space="0"/>
                              <w:right w:val="single" w:color="000000" w:sz="6" w:space="0"/>
                            </w:tcBorders>
                          </w:tcPr>
                          <w:p>
                            <w:pPr>
                              <w:pStyle w:val="16"/>
                              <w:spacing w:before="14" w:line="385" w:lineRule="exact"/>
                              <w:ind w:right="92"/>
                              <w:jc w:val="right"/>
                              <w:rPr>
                                <w:sz w:val="21"/>
                              </w:rPr>
                            </w:pPr>
                            <w:r>
                              <w:rPr>
                                <w:rFonts w:hint="eastAsia"/>
                                <w:sz w:val="21"/>
                              </w:rPr>
                              <w:t>2.33</w:t>
                            </w:r>
                          </w:p>
                        </w:tc>
                        <w:tc>
                          <w:tcPr>
                            <w:tcW w:w="1840" w:type="dxa"/>
                            <w:tcBorders>
                              <w:top w:val="single" w:color="000000" w:sz="6" w:space="0"/>
                              <w:left w:val="single" w:color="000000" w:sz="6" w:space="0"/>
                              <w:bottom w:val="single" w:color="000000" w:sz="4" w:space="0"/>
                              <w:right w:val="single" w:color="000000" w:sz="6" w:space="0"/>
                            </w:tcBorders>
                          </w:tcPr>
                          <w:p>
                            <w:pPr>
                              <w:pStyle w:val="16"/>
                              <w:rPr>
                                <w:rFonts w:ascii="Times New Roman"/>
                              </w:rPr>
                            </w:pPr>
                          </w:p>
                        </w:tc>
                        <w:tc>
                          <w:tcPr>
                            <w:tcW w:w="2922" w:type="dxa"/>
                            <w:tcBorders>
                              <w:top w:val="single" w:color="000000" w:sz="6" w:space="0"/>
                              <w:left w:val="single" w:color="000000" w:sz="6" w:space="0"/>
                              <w:bottom w:val="single" w:color="000000" w:sz="4" w:space="0"/>
                              <w:right w:val="single" w:color="000000" w:sz="6" w:space="0"/>
                            </w:tcBorders>
                          </w:tcPr>
                          <w:p>
                            <w:pPr>
                              <w:pStyle w:val="16"/>
                              <w:rPr>
                                <w:rFonts w:ascii="Times New Roman"/>
                              </w:rPr>
                            </w:pPr>
                          </w:p>
                        </w:tc>
                      </w:tr>
                    </w:tbl>
                    <w:p>
                      <w:pPr>
                        <w:pStyle w:val="4"/>
                      </w:pPr>
                    </w:p>
                  </w:txbxContent>
                </v:textbox>
              </v:shape>
            </w:pict>
          </mc:Fallback>
        </mc:AlternateContent>
      </w:r>
      <w:bookmarkStart w:id="7" w:name="第一部分__2022年部门预算信息公开情况说明"/>
      <w:bookmarkEnd w:id="7"/>
      <w:bookmarkStart w:id="8" w:name="部门预算财政拨款“三公”经费支出表"/>
      <w:bookmarkEnd w:id="8"/>
      <w:bookmarkStart w:id="9" w:name="_bookmark8"/>
      <w:bookmarkEnd w:id="9"/>
      <w:r>
        <w:rPr>
          <w:rFonts w:hint="eastAsia"/>
        </w:rPr>
        <w:t>单位</w:t>
      </w:r>
      <w:r>
        <w:t>预算财政拨款“三公”经费支出表</w:t>
      </w:r>
    </w:p>
    <w:p>
      <w:pPr>
        <w:sectPr>
          <w:pgSz w:w="16840" w:h="11900" w:orient="landscape"/>
          <w:pgMar w:top="1100" w:right="280" w:bottom="980" w:left="300" w:header="0" w:footer="706" w:gutter="0"/>
          <w:cols w:space="720" w:num="1"/>
        </w:sectPr>
      </w:pPr>
    </w:p>
    <w:p>
      <w:pPr>
        <w:spacing w:before="56"/>
        <w:ind w:left="1629"/>
        <w:jc w:val="center"/>
        <w:rPr>
          <w:rFonts w:ascii="宋体" w:hAnsi="宋体" w:eastAsia="宋体" w:cs="宋体"/>
          <w:spacing w:val="9"/>
          <w:w w:val="95"/>
          <w:sz w:val="44"/>
        </w:rPr>
      </w:pPr>
      <w:r>
        <w:rPr>
          <w:rFonts w:hint="eastAsia" w:ascii="宋体" w:hAnsi="宋体" w:eastAsia="宋体" w:cs="宋体"/>
          <w:spacing w:val="9"/>
          <w:w w:val="95"/>
          <w:sz w:val="44"/>
        </w:rPr>
        <w:t>中国共产党保定市满城区纪律检查委员会</w:t>
      </w:r>
    </w:p>
    <w:p>
      <w:pPr>
        <w:spacing w:before="56"/>
        <w:ind w:left="1629"/>
        <w:jc w:val="center"/>
        <w:rPr>
          <w:rFonts w:ascii="宋体" w:hAnsi="宋体" w:eastAsia="宋体" w:cs="宋体"/>
          <w:sz w:val="44"/>
        </w:rPr>
      </w:pPr>
      <w:r>
        <w:rPr>
          <w:rFonts w:hint="eastAsia" w:ascii="宋体" w:hAnsi="宋体" w:eastAsia="宋体" w:cs="宋体"/>
          <w:spacing w:val="9"/>
          <w:w w:val="95"/>
          <w:sz w:val="44"/>
        </w:rPr>
        <w:t>2</w:t>
      </w:r>
      <w:r>
        <w:rPr>
          <w:rFonts w:hint="eastAsia" w:ascii="宋体" w:hAnsi="宋体" w:eastAsia="宋体" w:cs="宋体"/>
          <w:w w:val="95"/>
          <w:sz w:val="44"/>
        </w:rPr>
        <w:t>022</w:t>
      </w:r>
      <w:r>
        <w:rPr>
          <w:rFonts w:hint="eastAsia" w:ascii="宋体" w:hAnsi="宋体" w:eastAsia="宋体" w:cs="宋体"/>
          <w:spacing w:val="7"/>
          <w:w w:val="95"/>
          <w:sz w:val="44"/>
        </w:rPr>
        <w:t xml:space="preserve"> 年单位预算信息公开情况说明</w:t>
      </w:r>
    </w:p>
    <w:p>
      <w:pPr>
        <w:pStyle w:val="4"/>
        <w:spacing w:before="212" w:line="326" w:lineRule="auto"/>
        <w:ind w:left="720" w:right="580" w:firstLine="640"/>
      </w:pPr>
      <w:r>
        <w:rPr>
          <w:rFonts w:hint="eastAsia"/>
          <w:w w:val="95"/>
        </w:rPr>
        <w:t>按照</w:t>
      </w:r>
      <w:r>
        <w:rPr>
          <w:rFonts w:hint="eastAsia"/>
          <w:w w:val="95"/>
          <w:lang w:eastAsia="zh-CN"/>
        </w:rPr>
        <w:t>《中华人民共和国预算法》</w:t>
      </w:r>
      <w:bookmarkStart w:id="38" w:name="_GoBack"/>
      <w:bookmarkEnd w:id="38"/>
      <w:r>
        <w:rPr>
          <w:rFonts w:hint="eastAsia"/>
          <w:w w:val="95"/>
        </w:rPr>
        <w:t>、《地方预决算公开操作规程》和《关于进一步推进预算公开工作的实施意见》规定，</w:t>
      </w:r>
      <w:r>
        <w:rPr>
          <w:rFonts w:hint="eastAsia"/>
          <w:spacing w:val="-4"/>
          <w:w w:val="95"/>
        </w:rPr>
        <w:t xml:space="preserve">现将中国共产党保定市满城区纪律检查委员会2022 </w:t>
      </w:r>
      <w:r>
        <w:rPr>
          <w:rFonts w:hint="eastAsia"/>
          <w:spacing w:val="-9"/>
          <w:w w:val="95"/>
        </w:rPr>
        <w:t>年部门预算公开如下：</w:t>
      </w:r>
    </w:p>
    <w:p>
      <w:pPr>
        <w:pStyle w:val="15"/>
        <w:numPr>
          <w:ilvl w:val="0"/>
          <w:numId w:val="1"/>
        </w:numPr>
        <w:ind w:left="1280"/>
        <w:rPr>
          <w:rFonts w:ascii="宋体" w:hAnsi="宋体" w:eastAsia="宋体" w:cs="宋体"/>
          <w:b/>
          <w:bCs/>
          <w:spacing w:val="-1"/>
          <w:sz w:val="32"/>
        </w:rPr>
      </w:pPr>
      <w:bookmarkStart w:id="10" w:name="_bookmark9"/>
      <w:bookmarkEnd w:id="10"/>
      <w:bookmarkStart w:id="11" w:name="一、部门职责及机构设置情况"/>
      <w:bookmarkEnd w:id="11"/>
      <w:r>
        <w:rPr>
          <w:rFonts w:hint="eastAsia" w:ascii="宋体" w:hAnsi="宋体" w:eastAsia="宋体" w:cs="宋体"/>
          <w:b/>
          <w:bCs/>
          <w:spacing w:val="-1"/>
          <w:sz w:val="32"/>
        </w:rPr>
        <w:t>单位职责及机构设置情况</w:t>
      </w:r>
    </w:p>
    <w:p>
      <w:pPr>
        <w:pStyle w:val="15"/>
        <w:ind w:firstLine="1280" w:firstLineChars="400"/>
        <w:rPr>
          <w:rFonts w:ascii="仿宋" w:hAnsi="仿宋" w:eastAsia="仿宋" w:cs="仿宋"/>
          <w:b/>
          <w:sz w:val="32"/>
          <w:szCs w:val="32"/>
        </w:rPr>
      </w:pPr>
      <w:r>
        <w:rPr>
          <w:rFonts w:hint="eastAsia" w:ascii="黑体" w:hAnsi="黑体" w:eastAsia="黑体" w:cs="黑体"/>
          <w:sz w:val="32"/>
          <w:szCs w:val="32"/>
        </w:rPr>
        <w:t>单位职责</w:t>
      </w:r>
    </w:p>
    <w:p>
      <w:pPr>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1、办案问责</w:t>
      </w:r>
    </w:p>
    <w:p>
      <w:pPr>
        <w:pStyle w:val="15"/>
        <w:numPr>
          <w:ilvl w:val="1"/>
          <w:numId w:val="2"/>
        </w:numPr>
        <w:rPr>
          <w:rFonts w:eastAsia="仿宋_GB2312" w:cs="仿宋_GB2312" w:asciiTheme="minorHAnsi" w:hAnsiTheme="minorHAnsi"/>
          <w:sz w:val="32"/>
          <w:szCs w:val="32"/>
        </w:rPr>
      </w:pPr>
      <w:r>
        <w:rPr>
          <w:rFonts w:hint="eastAsia" w:ascii="仿宋_GB2312" w:hAnsi="仿宋" w:eastAsia="仿宋_GB2312" w:cs="仿宋_GB2312"/>
          <w:sz w:val="32"/>
          <w:szCs w:val="32"/>
        </w:rPr>
        <w:t>线索管理  受理信访、举报，集中管理问题线索。线索管理规范有序、处置合理，为案件查办奠定</w:t>
      </w:r>
    </w:p>
    <w:p>
      <w:pPr>
        <w:ind w:left="1205"/>
        <w:rPr>
          <w:rFonts w:ascii="仿宋_GB2312" w:hAnsi="仿宋" w:eastAsia="仿宋_GB2312" w:cs="仿宋_GB2312"/>
          <w:sz w:val="32"/>
          <w:szCs w:val="32"/>
        </w:rPr>
      </w:pPr>
      <w:r>
        <w:rPr>
          <w:rFonts w:hint="eastAsia" w:ascii="仿宋_GB2312" w:hAnsi="仿宋" w:eastAsia="仿宋_GB2312" w:cs="仿宋_GB2312"/>
          <w:sz w:val="32"/>
          <w:szCs w:val="32"/>
        </w:rPr>
        <w:t>基础。</w:t>
      </w:r>
    </w:p>
    <w:p>
      <w:pPr>
        <w:ind w:left="600" w:leftChars="200" w:hanging="160" w:hangingChars="50"/>
        <w:rPr>
          <w:rFonts w:eastAsia="仿宋_GB2312" w:cs="仿宋_GB2312" w:asciiTheme="minorHAnsi" w:hAnsiTheme="minorHAnsi"/>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1.2案件查办  对有关对象违反党纪政纪和违纪违法行为进行调查处理。组织协调案件查办工作。严肃查</w:t>
      </w:r>
    </w:p>
    <w:p>
      <w:pPr>
        <w:ind w:left="550" w:leftChars="250" w:firstLine="160" w:firstLineChars="50"/>
        <w:rPr>
          <w:rFonts w:ascii="仿宋_GB2312" w:hAnsi="仿宋" w:eastAsia="仿宋_GB2312" w:cs="仿宋_GB2312"/>
          <w:sz w:val="32"/>
          <w:szCs w:val="32"/>
        </w:rPr>
      </w:pPr>
      <w:r>
        <w:rPr>
          <w:rFonts w:hint="eastAsia" w:ascii="仿宋_GB2312" w:hAnsi="仿宋" w:eastAsia="仿宋_GB2312" w:cs="仿宋_GB2312"/>
          <w:sz w:val="32"/>
          <w:szCs w:val="32"/>
        </w:rPr>
        <w:t>处各项违纪违法案件，坚决维护党纪国法尊严。</w:t>
      </w:r>
    </w:p>
    <w:p>
      <w:pPr>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2、党风廉政建设</w:t>
      </w:r>
    </w:p>
    <w:p>
      <w:pPr>
        <w:ind w:left="750" w:leftChars="50" w:hanging="640" w:hangingChars="200"/>
        <w:rPr>
          <w:rFonts w:eastAsia="仿宋_GB2312" w:cs="仿宋_GB2312" w:asciiTheme="minorHAnsi" w:hAnsiTheme="minorHAnsi"/>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2.1反腐倡廉宣传教育  组织协调全区党风廉政建设和反腐败宣传教育工作，开展对党员、公务员的廉洁自</w:t>
      </w:r>
    </w:p>
    <w:p>
      <w:pPr>
        <w:ind w:left="550" w:leftChars="250" w:firstLine="160" w:firstLineChars="50"/>
        <w:rPr>
          <w:rFonts w:ascii="仿宋_GB2312" w:hAnsi="仿宋" w:eastAsia="仿宋_GB2312" w:cs="仿宋_GB2312"/>
          <w:sz w:val="32"/>
          <w:szCs w:val="32"/>
        </w:rPr>
      </w:pPr>
      <w:r>
        <w:rPr>
          <w:rFonts w:hint="eastAsia" w:ascii="仿宋_GB2312" w:hAnsi="仿宋" w:eastAsia="仿宋_GB2312" w:cs="仿宋_GB2312"/>
          <w:sz w:val="32"/>
          <w:szCs w:val="32"/>
        </w:rPr>
        <w:t>律教育。充分发挥正面典型的示范作用和反面典型的警示作用，促进各级干部廉洁从政。</w:t>
      </w:r>
    </w:p>
    <w:p>
      <w:pPr>
        <w:ind w:left="750" w:leftChars="50" w:hanging="640" w:hanging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2.2预防腐败工作  认真查找腐败问题易发多发的重点领域和关键环节，研究分析腐败现象的规律，制定针对性强的防控措施。</w:t>
      </w:r>
    </w:p>
    <w:p>
      <w:pPr>
        <w:ind w:firstLine="800" w:firstLineChars="250"/>
        <w:rPr>
          <w:rFonts w:ascii="仿宋_GB2312" w:hAnsi="仿宋" w:eastAsia="仿宋_GB2312" w:cs="仿宋_GB2312"/>
          <w:sz w:val="32"/>
          <w:szCs w:val="32"/>
        </w:rPr>
      </w:pPr>
      <w:r>
        <w:rPr>
          <w:rFonts w:hint="eastAsia" w:ascii="仿宋_GB2312" w:hAnsi="仿宋" w:eastAsia="仿宋_GB2312" w:cs="仿宋_GB2312"/>
          <w:sz w:val="32"/>
          <w:szCs w:val="32"/>
        </w:rPr>
        <w:t>3、监督检查及巡视督查</w:t>
      </w:r>
    </w:p>
    <w:p>
      <w:pPr>
        <w:ind w:left="590" w:leftChars="50" w:hanging="480" w:hangingChars="150"/>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3.1监督检查  监督检查党内法规政策、国家法律法规、党风廉政建设等的执行情况；履行区政府纠正行业不正之风办公室职能；贯彻落实区委有关部署，开展常态化全覆盖监督。加大问责力度，促进“两个责任”有效落实。</w:t>
      </w:r>
    </w:p>
    <w:p>
      <w:pPr>
        <w:ind w:left="440" w:leftChars="200" w:firstLine="160" w:firstLineChars="50"/>
        <w:rPr>
          <w:rFonts w:ascii="仿宋_GB2312" w:hAnsi="仿宋" w:eastAsia="仿宋_GB2312" w:cs="仿宋_GB2312"/>
          <w:sz w:val="32"/>
          <w:szCs w:val="32"/>
        </w:rPr>
      </w:pPr>
      <w:r>
        <w:rPr>
          <w:rFonts w:hint="eastAsia" w:ascii="仿宋_GB2312" w:hAnsi="仿宋" w:eastAsia="仿宋_GB2312" w:cs="仿宋_GB2312"/>
          <w:sz w:val="32"/>
          <w:szCs w:val="32"/>
        </w:rPr>
        <w:t xml:space="preserve"> 3.2巡视监督  做好市委巡视组、区委巡视工作联络组的服务保障工作。研究开展驻点巡查工作，探索工作规   律，发现工作问题，提出改进措施。巡视监督常态化、全覆盖。</w:t>
      </w:r>
    </w:p>
    <w:p>
      <w:pPr>
        <w:ind w:firstLine="800" w:firstLineChars="250"/>
        <w:rPr>
          <w:rFonts w:ascii="仿宋_GB2312" w:hAnsi="仿宋" w:eastAsia="仿宋_GB2312" w:cs="仿宋_GB2312"/>
          <w:sz w:val="32"/>
          <w:szCs w:val="32"/>
        </w:rPr>
      </w:pPr>
      <w:r>
        <w:rPr>
          <w:rFonts w:hint="eastAsia" w:ascii="仿宋_GB2312" w:hAnsi="仿宋" w:eastAsia="仿宋_GB2312" w:cs="仿宋_GB2312"/>
          <w:sz w:val="32"/>
          <w:szCs w:val="32"/>
        </w:rPr>
        <w:t>4、派驻纪检监察机构管理</w:t>
      </w:r>
    </w:p>
    <w:p>
      <w:pPr>
        <w:ind w:firstLine="560"/>
        <w:rPr>
          <w:rFonts w:ascii="仿宋_GB2312" w:hAnsi="仿宋" w:eastAsia="仿宋_GB2312" w:cs="仿宋_GB2312"/>
          <w:sz w:val="32"/>
          <w:szCs w:val="32"/>
        </w:rPr>
      </w:pPr>
      <w:r>
        <w:rPr>
          <w:rFonts w:hint="eastAsia" w:ascii="仿宋_GB2312" w:hAnsi="仿宋" w:eastAsia="仿宋_GB2312" w:cs="仿宋_GB2312"/>
          <w:sz w:val="32"/>
          <w:szCs w:val="32"/>
        </w:rPr>
        <w:t xml:space="preserve"> 4.1派驻纪检监察机构管理  加强派驻机构建设，提高发现问题、案件查办、监督检查工作能力。</w:t>
      </w:r>
    </w:p>
    <w:p>
      <w:pPr>
        <w:ind w:firstLine="560"/>
        <w:rPr>
          <w:rFonts w:ascii="仿宋_GB2312" w:hAnsi="仿宋" w:eastAsia="仿宋_GB2312" w:cs="仿宋_GB2312"/>
          <w:sz w:val="32"/>
          <w:szCs w:val="32"/>
        </w:rPr>
      </w:pPr>
      <w:r>
        <w:rPr>
          <w:rFonts w:hint="eastAsia" w:ascii="仿宋_GB2312" w:hAnsi="仿宋" w:eastAsia="仿宋_GB2312" w:cs="仿宋_GB2312"/>
          <w:sz w:val="32"/>
          <w:szCs w:val="32"/>
        </w:rPr>
        <w:t xml:space="preserve"> 4.2干部教育培训  提高全市纪检监察系统干部队伍能力素质，打造反腐倡廉铁军。</w:t>
      </w:r>
    </w:p>
    <w:p>
      <w:pPr>
        <w:ind w:firstLine="800" w:firstLineChars="250"/>
        <w:rPr>
          <w:rFonts w:ascii="仿宋_GB2312" w:hAnsi="仿宋" w:eastAsia="仿宋_GB2312" w:cs="仿宋_GB2312"/>
          <w:sz w:val="32"/>
          <w:szCs w:val="32"/>
        </w:rPr>
      </w:pPr>
      <w:r>
        <w:rPr>
          <w:rFonts w:hint="eastAsia" w:ascii="仿宋_GB2312" w:hAnsi="仿宋" w:eastAsia="仿宋_GB2312" w:cs="仿宋_GB2312"/>
          <w:sz w:val="32"/>
          <w:szCs w:val="32"/>
        </w:rPr>
        <w:t>5、纪检事务管理</w:t>
      </w:r>
    </w:p>
    <w:p>
      <w:pPr>
        <w:spacing w:line="5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5.1综合事务管理  为案件查办、纪检监察业务、党风廉政建设提高服务和保障。</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内设机构</w:t>
      </w:r>
    </w:p>
    <w:p>
      <w:pPr>
        <w:spacing w:line="60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保定市满城区纪委监委机关设12个内设机构。分别是：</w:t>
      </w:r>
      <w:r>
        <w:rPr>
          <w:rFonts w:hint="eastAsia" w:ascii="楷体_GB2312" w:eastAsia="楷体_GB2312"/>
          <w:sz w:val="32"/>
          <w:szCs w:val="32"/>
        </w:rPr>
        <w:t>办公室、组织部、党风政风监督室、信访室、案件监督管理室、第一至第四监督检查室、第五至第六审查调查室、案件审理室。</w:t>
      </w:r>
      <w:r>
        <w:rPr>
          <w:rFonts w:hint="eastAsia" w:ascii="仿宋_GB2312" w:hAnsi="仿宋_GB2312" w:eastAsia="仿宋_GB2312" w:cs="仿宋_GB2312"/>
          <w:sz w:val="32"/>
          <w:szCs w:val="32"/>
        </w:rPr>
        <w:t>区纪委监委派驻纪检监察组共设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w:t>
      </w:r>
      <w:r>
        <w:rPr>
          <w:rFonts w:hint="eastAsia" w:ascii="仿宋_GB2312" w:hAnsi="仿宋" w:eastAsia="仿宋_GB2312" w:cs="仿宋"/>
          <w:sz w:val="32"/>
          <w:szCs w:val="32"/>
        </w:rPr>
        <w:t>即驻区委办公室纪检监察组、驻区委政法委纪检监察组、驻区教育和体育局纪检监察组、驻区财政局纪检监察组、驻区住房和城乡建设局纪检监察组</w:t>
      </w:r>
    </w:p>
    <w:p>
      <w:pPr>
        <w:adjustRightInd w:val="0"/>
        <w:snapToGrid w:val="0"/>
        <w:spacing w:line="580" w:lineRule="exact"/>
        <w:ind w:firstLine="640" w:firstLineChars="200"/>
        <w:rPr>
          <w:rFonts w:ascii="楷体_GB2312" w:eastAsia="楷体_GB2312"/>
          <w:sz w:val="32"/>
          <w:szCs w:val="32"/>
        </w:rPr>
      </w:pPr>
    </w:p>
    <w:p>
      <w:pPr>
        <w:spacing w:line="600" w:lineRule="exact"/>
        <w:ind w:firstLine="640"/>
        <w:rPr>
          <w:rFonts w:ascii="仿宋_GB2312" w:hAnsi="仿宋_GB2312" w:eastAsia="仿宋_GB2312" w:cs="仿宋_GB2312"/>
          <w:sz w:val="32"/>
          <w:szCs w:val="32"/>
        </w:rPr>
      </w:pPr>
      <w:r>
        <w:rPr>
          <w:rFonts w:hint="eastAsia" w:ascii="楷体_GB2312" w:hAnsi="华文楷体" w:eastAsia="楷体_GB2312" w:cs="??_GB2312"/>
          <w:sz w:val="32"/>
          <w:szCs w:val="32"/>
        </w:rPr>
        <w:t>（一）办公室。</w:t>
      </w:r>
      <w:r>
        <w:rPr>
          <w:rFonts w:hint="eastAsia" w:ascii="仿宋_GB2312" w:hAnsi="仿宋_GB2312" w:eastAsia="仿宋_GB2312" w:cs="仿宋_GB2312"/>
          <w:sz w:val="32"/>
          <w:szCs w:val="32"/>
        </w:rPr>
        <w:t>负责机关日常运转、对外联络接洽工作；负责区纪委监委重要会议、活动的筹备组织等工作；组织起草区纪委监委有关文件文稿；负责综合分析全面从严治党、党风廉政建设和反腐败工作情况，开展政策理论及重大课题调查研究；督促检查有关工作部署的落实情况；负责档案管理、保密和信息工作；负责机关后勤管理和服务工作；负责机关财务管理、国有资产管理、安全保卫工作以及派驻机构人员经费、办案经费有关工作；负责机关及派驻机构涉案款物保管；负责机关、派驻机构干部职工医疗和卫生防疫工作；负责区纪委监委业务应用系统建设和运维工作，为执纪监督和审查调查业务提供信息技术保障；负责全区纪检监察网络、视频会议和密码设备的管理工作；负责区纪委监委信息化基础设施、计算机网络建设和信息网络安全工作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监督检查全区纪检监察干部遵守和执行党的章程和其他党内法规，遵守和执行党的路线方针政策和决议、国家法律法规等方面的情况；受理对全区纪检监察系统、派驻（出）机构和巡察机构党员干部，区管企业、学校、医院纪检监察机构党员干部涉嫌违反党纪、职务违法和职务犯罪等问题的举报，提出处置意见并负责问题线索初步核实及立案审查调查工作。承办领导交办的其他事项。</w:t>
      </w:r>
    </w:p>
    <w:p>
      <w:pPr>
        <w:spacing w:line="600" w:lineRule="exact"/>
        <w:ind w:firstLine="640"/>
        <w:rPr>
          <w:rFonts w:ascii="仿宋_GB2312" w:hAnsi="仿宋_GB2312" w:eastAsia="仿宋_GB2312" w:cs="仿宋_GB2312"/>
          <w:sz w:val="32"/>
          <w:szCs w:val="32"/>
        </w:rPr>
      </w:pPr>
      <w:r>
        <w:rPr>
          <w:rFonts w:hint="eastAsia" w:ascii="楷体_GB2312" w:hAnsi="华文楷体" w:eastAsia="楷体_GB2312" w:cs="??_GB2312"/>
          <w:sz w:val="32"/>
          <w:szCs w:val="32"/>
        </w:rPr>
        <w:t>（二）组织部。</w:t>
      </w:r>
      <w:r>
        <w:rPr>
          <w:rFonts w:hint="eastAsia" w:ascii="仿宋_GB2312" w:hAnsi="仿宋_GB2312" w:eastAsia="仿宋_GB2312" w:cs="仿宋_GB2312"/>
          <w:sz w:val="32"/>
          <w:szCs w:val="32"/>
        </w:rPr>
        <w:t>根据干部管理权限，负责全区纪检监察系统领导班子建设、干部队伍建设和组织建设的综合规划、政策研究、制度建设和业务指导；会同区委组织部负责区委巡察办的区委管理干部的提名、考察，报区委任免；负责区纪委监委机关及派驻机构干部人事工作；负责区委巡察办、区委巡察组有关干部人事工作；会同有关方面负责区纪委监委派驻（出）机构、乡镇纪委、区管企业、学校、医院纪检监察机构领导成员的提名、考察、任免等；组织和指导全区纪检监察系统干部的教育培训工作；负责离退休干部工作等。负责区纪委监委机关、派驻机构党的建设和群团工作。</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负责组织协调全面从严治党、党风廉政建设和反腐败宣传教育以及廉洁文化建设工作；负责区纪委监委机关的新闻事务和有关网络信息工作等。承办领导交办的其他事项。</w:t>
      </w:r>
    </w:p>
    <w:p>
      <w:pPr>
        <w:spacing w:line="600" w:lineRule="exact"/>
        <w:ind w:firstLine="640"/>
        <w:rPr>
          <w:rFonts w:ascii="仿宋_GB2312" w:hAnsi="仿宋_GB2312" w:eastAsia="仿宋_GB2312" w:cs="仿宋_GB2312"/>
          <w:sz w:val="32"/>
          <w:szCs w:val="32"/>
        </w:rPr>
      </w:pPr>
      <w:r>
        <w:rPr>
          <w:rFonts w:hint="eastAsia" w:ascii="楷体_GB2312" w:hAnsi="华文楷体" w:eastAsia="楷体_GB2312" w:cs="??_GB2312"/>
          <w:sz w:val="32"/>
          <w:szCs w:val="32"/>
        </w:rPr>
        <w:t>（三）党风政风监督室。</w:t>
      </w:r>
      <w:r>
        <w:rPr>
          <w:rFonts w:hint="eastAsia" w:ascii="仿宋_GB2312" w:hAnsi="仿宋_GB2312" w:eastAsia="仿宋_GB2312" w:cs="仿宋_GB2312"/>
          <w:sz w:val="32"/>
          <w:szCs w:val="32"/>
        </w:rPr>
        <w:t>负责综合协调贯彻执行党的路线方针政策和决议、国家法律法规等情况的监督检查；综合协调党的政治纪律和政治规矩执行；综合协调贯彻落实中央八项规定精神、纠正“四风”工作；综合协调整治群众身边和扶贫领域的腐败和作风问题；综合协调党内监督、党的问责等方面工作，推动管党治党政治责任落实；综合协调区纪委监委机关参与调查的事故、事件中涉及的监督对象违纪违法行为和需要问责情形的调查处理工作；综合分析党风政风监督工作情况，开展调查研究，提出工作建议；组织开展党风政风监督专项检查活动；指导全区纪检监察系统的党风政风监督工作；承办领导交办的其他事项。</w:t>
      </w:r>
    </w:p>
    <w:p>
      <w:pPr>
        <w:spacing w:line="600" w:lineRule="exact"/>
        <w:ind w:firstLine="640"/>
        <w:rPr>
          <w:rFonts w:ascii="仿宋_GB2312" w:hAnsi="仿宋_GB2312" w:eastAsia="仿宋_GB2312" w:cs="仿宋_GB2312"/>
          <w:sz w:val="32"/>
          <w:szCs w:val="32"/>
        </w:rPr>
      </w:pPr>
      <w:r>
        <w:rPr>
          <w:rFonts w:hint="eastAsia" w:ascii="楷体_GB2312" w:hAnsi="华文楷体" w:eastAsia="楷体_GB2312" w:cs="??_GB2312"/>
          <w:sz w:val="32"/>
          <w:szCs w:val="32"/>
        </w:rPr>
        <w:t>（四）信访室。</w:t>
      </w:r>
      <w:r>
        <w:rPr>
          <w:rFonts w:hint="eastAsia" w:ascii="仿宋_GB2312" w:hAnsi="仿宋_GB2312" w:eastAsia="仿宋_GB2312" w:cs="仿宋_GB2312"/>
          <w:sz w:val="32"/>
          <w:szCs w:val="32"/>
        </w:rPr>
        <w:t>负责受理对党的组织、党员违反党纪行为和对行使公权力的公职人员职务违法、职务犯罪行为等的检举、控告；归口受理对区委管理的党的组织和党员干部违反党纪、职务违法和职务犯罪行为等的信访举报，统一接受区纪委监委派驻机构和乡镇纪委报送的相关信访举报，分类摘要后将问题线索类信访举报移送案件监督管理部门；受理党员对区纪委作出的党纪处分或者其他处理不服的申诉、监察对象对区监委作出的涉及本人的处理决定不服的复审申请；综合分析信访举报情况；接待群众来访，处理群众来信和电话网络举报事项，处置信访举报中的突发情况；负责上级纪委监委交办信访案件的转办、督办工作；协助办理区管干部任职前回复区委组织部意见工作等。承办领导交办的其他事项。</w:t>
      </w:r>
    </w:p>
    <w:p>
      <w:pPr>
        <w:adjustRightInd w:val="0"/>
        <w:spacing w:line="560" w:lineRule="exact"/>
        <w:ind w:firstLine="640" w:firstLineChars="200"/>
        <w:rPr>
          <w:rFonts w:ascii="仿宋_GB2312" w:hAnsi="宋体" w:eastAsia="仿宋_GB2312" w:cs="??_GB2312"/>
          <w:sz w:val="32"/>
          <w:szCs w:val="32"/>
        </w:rPr>
      </w:pPr>
      <w:r>
        <w:rPr>
          <w:rFonts w:hint="eastAsia" w:ascii="楷体_GB2312" w:hAnsi="华文楷体" w:eastAsia="楷体_GB2312" w:cs="??_GB2312"/>
          <w:sz w:val="32"/>
          <w:szCs w:val="32"/>
        </w:rPr>
        <w:t>（五）案件监督管理室。</w:t>
      </w:r>
      <w:r>
        <w:rPr>
          <w:rFonts w:hint="eastAsia" w:ascii="仿宋_GB2312" w:hAnsi="仿宋_GB2312" w:eastAsia="仿宋_GB2312" w:cs="仿宋_GB2312"/>
          <w:sz w:val="32"/>
          <w:szCs w:val="32"/>
        </w:rPr>
        <w:t>负责对监督检查、审查调查工作全过程进行监督管理，履行线索管理、组织协调、监督检查、督促办理、统计分析等职责；统一受理信访室移送的区管干部问题线索类信访举报和巡视巡察工作机构、审计机关、行政执法机关、司法机关等单位移交的相关问题线索，实行集中管理、动态更新、定期汇总核对，提出分办意见移交监督检查室或审查调查室；统一受理下级纪检监察机构线索处置和案件查办报告，分送有关部门；归口管理审查调查工作中与有关部门的联系协调事项；对调查措施使用进行监督管理，监督检查全区纪检监察系统依纪依法安全办案情况；负责执纪监督和审查调查信息化查询平台的管理和使用；协调办理区管干部任职前回复区委组织部意见工作；负责反腐败追逃追赃和防逃工作的组织协调，建立健全追逃追赃和防逃协调机制；承担区纪委监委负责的追逃追赃任务等。承办领导交办的其他事项。</w:t>
      </w:r>
    </w:p>
    <w:p>
      <w:pPr>
        <w:adjustRightInd w:val="0"/>
        <w:spacing w:line="560" w:lineRule="exact"/>
        <w:ind w:firstLine="640" w:firstLineChars="200"/>
        <w:rPr>
          <w:rFonts w:ascii="仿宋_GB2312" w:hAnsi="宋体" w:eastAsia="仿宋_GB2312" w:cs="??_GB2312"/>
          <w:sz w:val="32"/>
          <w:szCs w:val="32"/>
        </w:rPr>
      </w:pPr>
      <w:r>
        <w:rPr>
          <w:rFonts w:hint="eastAsia" w:ascii="楷体_GB2312" w:hAnsi="华文楷体" w:eastAsia="楷体_GB2312" w:cs="??_GB2312"/>
          <w:sz w:val="32"/>
          <w:szCs w:val="32"/>
        </w:rPr>
        <w:t>（六）第一至第四监督检查室。</w:t>
      </w:r>
      <w:r>
        <w:rPr>
          <w:rFonts w:hint="eastAsia" w:ascii="仿宋_GB2312" w:hAnsi="仿宋_GB2312" w:eastAsia="仿宋_GB2312" w:cs="仿宋_GB2312"/>
          <w:sz w:val="32"/>
          <w:szCs w:val="32"/>
        </w:rPr>
        <w:t>主要履行依纪依法监督的职责。监督检查联系单位（乡镇）领导班子及区管干部遵守和执行党的章程和其他党内法规，遵守和执行党的路线方针政策和决议、国家法律法规，推进全面从严治党，依法履职、秉公用权、廉洁从政从业以及道德操守等方面的情况；监督检查联系单位（乡镇）党委（党组）落实管党治党主体责任的情况，指导、检查、督促纪委、监委（派驻、派出机构）落实纪检、监察责任，实施问责；向监察对象所在单位提出监察建议；综合分析研判问题线索，综合运用“四种形态”按程序提出处置意见；负责联系单位（乡镇）巡视（巡察）整改落实的日常监督工作；综合、协调、指导联系单位（乡镇）及其系统的纪检监察工作等。承办领导交办的其他事项。</w:t>
      </w:r>
    </w:p>
    <w:p>
      <w:pPr>
        <w:adjustRightInd w:val="0"/>
        <w:spacing w:line="560" w:lineRule="exact"/>
        <w:ind w:firstLine="640" w:firstLineChars="200"/>
        <w:rPr>
          <w:rFonts w:ascii="仿宋_GB2312" w:hAnsi="宋体" w:eastAsia="仿宋_GB2312" w:cs="??_GB2312"/>
          <w:sz w:val="32"/>
          <w:szCs w:val="32"/>
        </w:rPr>
      </w:pPr>
      <w:r>
        <w:rPr>
          <w:rFonts w:hint="eastAsia" w:ascii="楷体_GB2312" w:hAnsi="华文楷体" w:eastAsia="楷体_GB2312" w:cs="??_GB2312"/>
          <w:sz w:val="32"/>
          <w:szCs w:val="32"/>
        </w:rPr>
        <w:t>（七）第五至第六审查调查室。</w:t>
      </w:r>
      <w:r>
        <w:rPr>
          <w:rFonts w:hint="eastAsia" w:ascii="仿宋_GB2312" w:hAnsi="仿宋_GB2312" w:eastAsia="仿宋_GB2312" w:cs="仿宋_GB2312"/>
          <w:sz w:val="32"/>
          <w:szCs w:val="32"/>
        </w:rPr>
        <w:t>主要履行执纪审查和依法调查处置的职责。承办涉嫌严重违纪或者职务违法、职务犯罪问题线索的初步核实和立案审查调查，以及其他比较重要或者复杂案件的初步核实、审查调查，并提出处理建议；向监察对象所在单位提出监察建议；可以办理下一级监察机构管辖范围内的监察事项，必要时也可以办理所辖各级监察机构管辖范围内的监察事项等。承办领导交办的其他事项。</w:t>
      </w:r>
    </w:p>
    <w:p>
      <w:pPr>
        <w:spacing w:line="580" w:lineRule="exact"/>
        <w:ind w:firstLine="640" w:firstLineChars="200"/>
        <w:rPr>
          <w:rFonts w:ascii="仿宋_GB2312" w:hAnsi="仿宋_GB2312" w:eastAsia="仿宋_GB2312" w:cs="仿宋_GB2312"/>
          <w:sz w:val="32"/>
          <w:szCs w:val="32"/>
        </w:rPr>
      </w:pPr>
      <w:r>
        <w:rPr>
          <w:rFonts w:hint="eastAsia" w:ascii="楷体_GB2312" w:hAnsi="华文楷体" w:eastAsia="楷体_GB2312" w:cs="??_GB2312"/>
          <w:sz w:val="32"/>
          <w:szCs w:val="32"/>
        </w:rPr>
        <w:t>（八）案件审理室。</w:t>
      </w:r>
      <w:r>
        <w:rPr>
          <w:rFonts w:hint="eastAsia" w:ascii="仿宋_GB2312" w:hAnsi="仿宋_GB2312" w:eastAsia="仿宋_GB2312" w:cs="仿宋_GB2312"/>
          <w:sz w:val="32"/>
          <w:szCs w:val="32"/>
        </w:rPr>
        <w:t>负责审理区纪委监委直接审查调查和下一级党的组织、纪检监察机构报批或者备案的违反党纪和职务违法、职务犯罪案件，严格依规依纪依法提出处理或者处分意见；承办党员对区纪委作出的党纪处分或者其他处理不服的申诉案件、监察对象对区监委作出的涉及本人的处理决定不服的申请复审案件，以及其他需要由区纪委监委办理的申诉、复核案件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负责提出地方性纪检监察法规制度建设规划、计划和立法立规建议；起草、修改地方性纪检监察法规制度；参与起草有关法律、法规和规范性文件；负责纪检监察法规制度的咨询答复、解释指导、立法立规后评估、备案审查、清理、编纂等；协助办理区管干部任职前回复区委组织部意见工作等。承办领导交办的其他事项。</w:t>
      </w:r>
    </w:p>
    <w:p>
      <w:pPr>
        <w:spacing w:line="600" w:lineRule="exact"/>
        <w:ind w:firstLine="640" w:firstLineChars="200"/>
        <w:rPr>
          <w:rFonts w:ascii="仿宋_GB2312" w:hAnsi="仿宋" w:eastAsia="仿宋_GB2312" w:cs="仿宋"/>
          <w:sz w:val="32"/>
          <w:szCs w:val="32"/>
        </w:rPr>
      </w:pPr>
      <w:r>
        <w:rPr>
          <w:rFonts w:hint="eastAsia" w:ascii="楷体_GB2312" w:hAnsi="仿宋" w:eastAsia="楷体_GB2312" w:cs="??_GB2312"/>
          <w:sz w:val="32"/>
          <w:szCs w:val="32"/>
        </w:rPr>
        <w:t>（九）</w:t>
      </w:r>
      <w:r>
        <w:rPr>
          <w:rFonts w:hint="eastAsia" w:ascii="仿宋_GB2312" w:hAnsi="仿宋_GB2312" w:eastAsia="仿宋_GB2312" w:cs="仿宋_GB2312"/>
          <w:sz w:val="32"/>
          <w:szCs w:val="32"/>
        </w:rPr>
        <w:t>区纪委监委派驻纪检监察组共设</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w:t>
      </w:r>
      <w:r>
        <w:rPr>
          <w:rFonts w:hint="eastAsia" w:ascii="仿宋_GB2312" w:hAnsi="仿宋" w:eastAsia="仿宋_GB2312" w:cs="仿宋"/>
          <w:sz w:val="32"/>
          <w:szCs w:val="32"/>
        </w:rPr>
        <w:t>即驻区委办公室纪检监察组、驻区委政法委纪检监察组、驻区教育和体育局纪检监察组、驻区财政局纪检监察组、驻区住房和城乡建设局纪检监察组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根据党章、监察法有关规定，区纪委监委统一设立派驻机构，名称为中共保定市满城区纪律检查委员会保定市满城区监察委员会派驻纪检监察组。由区纪委监委直接领导、统一管理。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改革后，依据党章、宪法和监察法，根据区纪委监委授权，派驻纪检监察组履行党的纪律检查和国家监察两项职责，对区纪委监委负责。派驻纪检监察组与驻在部门（含综合监督单位，下同）之间是监督与被监督的关系，派驻纪检监察组履行对驻在部门的监督责任，不承担驻在部门领导班子履行主体责任相关的日常工作。派驻纪检监察组要突出监督重点，抓住“关键少数”，强化对驻在部门领导班子及区委管理干部和股级干部的监督，着力加强对驻在部门本级机关和直属单位的监督。主要职责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区纪委报告上述情况及发现的重要问题。受理对驻在部门党的组织和党员的检举、控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区纪委批准，初步核实反映驻在部门领导班子及区委管理干部的问题线索；参与审查驻在部门领导班子及区委管理干部违反党纪的案件。负责审查驻在部门管理的领导班子及其成员和股级干部违反党纪的案件，指导驻在部门机关党委（纪委）审查股级以下干部违反党纪的案件，必要时可以直接审查一般干部违反党纪的案件。受理驻在部门党的组织和党员的申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3、对违反党章和其他党内法规，不履行或者不正确履行职责的驻在部门党的组织和负有责任的党的领导干部，按照管理权限对其作出问责决定，或者向有权作出问责决定的党的组织提出问责建议。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推动驻在部门开展廉政教育。依法对驻在部门的领导班子和行使公权力的公职人员进行监督，维护宪法法律，对其依法履职、秉公用权、廉洁从政以及道德操守情况进行监督检查。发现领导班子和区委管理的公职人员存在问题的，及时向区纪委监委报告；发现其他公职人员存在问题的，会同驻在部门开展调查处置，强化监督职责。受理对驻在部门监察对象的检举、控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调查驻在部门非区委管理的股级及以下公职人员涉嫌职务违法案件。在开展职务违法调查时，可以派驻机构名义采取不限制人身和财产权利的措施，确需采取冻结、查封、扣押等限制人身和财产权利的措施的，报区纪委监委批准后，以区纪委监委名义实施。发现涉嫌职务犯罪问题的，报区纪委监委批准后，移交区纪委监委相关审查调查室调查或者与区纪委监委相关审查调查室联合开展审查调查。受理驻在部门监察对象不服纪检监察组所作涉及本人的处理决定的复审申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7、负责对本派驻机构干部的日常管理和监督。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8、完成区纪委监委交办的其他任务。</w:t>
      </w:r>
    </w:p>
    <w:p>
      <w:pPr>
        <w:spacing w:line="560" w:lineRule="exact"/>
        <w:ind w:firstLine="640" w:firstLineChars="200"/>
        <w:rPr>
          <w:rFonts w:ascii="仿宋_GB2312" w:hAnsi="仿宋_GB2312" w:eastAsia="仿宋_GB2312" w:cs="仿宋_GB2312"/>
          <w:sz w:val="32"/>
          <w:szCs w:val="32"/>
        </w:rPr>
      </w:pPr>
      <w:r>
        <w:rPr>
          <w:rFonts w:hint="eastAsia" w:ascii="楷体_GB2312" w:hAnsi="仿宋" w:eastAsia="楷体_GB2312" w:cs="??_GB2312"/>
          <w:sz w:val="32"/>
          <w:szCs w:val="32"/>
        </w:rPr>
        <w:t>（十）</w:t>
      </w:r>
      <w:r>
        <w:rPr>
          <w:rFonts w:hint="eastAsia" w:ascii="仿宋_GB2312" w:hAnsi="仿宋_GB2312" w:eastAsia="仿宋_GB2312" w:cs="仿宋_GB2312"/>
          <w:sz w:val="32"/>
          <w:szCs w:val="32"/>
        </w:rPr>
        <w:t>区委巡察办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区委巡察办的主要职责是: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1、贯彻落实党中央、省委、市委、区委和区委巡察工作领导小组的决策部署，向市委巡察工作领导小组办公室和区委巡察工作领导小组报告工作情况。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2、统筹、协调、指导开展巡察工作。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3、承担政策研究、制度建设等工作。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4、对区委、区委巡察工作领导小组决定的事项进行督办，会同巡察组对巡察整改工作进行专项检查。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5、配合有关部门对巡察工作人员进行培训、考核、监督和管理。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6、管理巡察工作专项经费。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7、完成市委巡察工作领导小组办公室和区委巡察工作领导小组交办的其他任务。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区委巡察办设内设机构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办公室。负责机关日常运转及行政后勤工作、巡察档案管理工作;负责办内工作综合协调和督促落实工作;配合做好党建、人事和监督管理等工作。负责研究起草重要文件文稿;汇总巡察工作情况;开展调</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研究工作;审核区委巡察组报送区委巡察工作领导小组的巡察报告等材料;负责巡察工作信息收集、上报和外宣工作。负责对区委书记专题会议、区委巡察工作领导小组决定的事项进行移交和督办;负责巡察整改的台账管理、材料报送、公开及续报工作;负责巡视巡察移交问题线索的台账管理和督办工作;会同区委巡察组对被巡察党组织整改进展情况进行督促检查;协调纪检监察、审计、政法等机关和组织、信访等部门及其他有关单位配合区委巡察组开展工作。配合做好对巡察工作的专项检</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，跟踪巡察全覆盖进展情况，做好全区巡察数据汇总分析，对全区巡察工作情况进行综合评估;配合做好全区巡察干部培训相关工作</w:t>
      </w:r>
    </w:p>
    <w:p>
      <w:pPr>
        <w:adjustRightIn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二、人员编制和领导职数</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（一）区纪委监委派驻纪检监察组9名行政编制。</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纪委监委机关编制为61名（含政法编制17名）。</w:t>
      </w:r>
      <w:r>
        <w:rPr>
          <w:rFonts w:hint="eastAsia" w:ascii="仿宋_GB2312" w:hAnsi="仿宋_GB2312" w:eastAsia="仿宋_GB2312" w:cs="仿宋_GB2312"/>
          <w:sz w:val="32"/>
          <w:szCs w:val="32"/>
        </w:rPr>
        <w:t>其中：纪委监委领导班子成员9名；办公室编制4名，组织部编制5名，党风政风监督室编制5名，信访室编制4名，案件监督管理室编制4名，案件审理室编制4名，第一至第四监督检查室编制各4名，第五至第六审查调查室编制各5名。</w:t>
      </w:r>
    </w:p>
    <w:p>
      <w:pPr>
        <w:spacing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（三）12个内设机构股（室）长由副科长级领导干部担任。</w:t>
      </w:r>
    </w:p>
    <w:p>
      <w:pPr>
        <w:spacing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（四）派驻纪检组每组核定编制3人，计15人，组长为副科级。</w:t>
      </w:r>
    </w:p>
    <w:p>
      <w:pPr>
        <w:spacing w:line="520" w:lineRule="exact"/>
        <w:ind w:firstLine="320" w:firstLineChars="100"/>
        <w:rPr>
          <w:rFonts w:ascii="仿宋_GB2312" w:hAnsi="仿宋" w:eastAsia="仿宋_GB2312" w:cs="仿宋_GB2312"/>
          <w:sz w:val="32"/>
          <w:szCs w:val="32"/>
        </w:rPr>
      </w:pPr>
      <w:r>
        <w:rPr>
          <w:rFonts w:hint="eastAsia" w:ascii="仿宋_GB2312" w:hAnsi="仿宋_GB2312" w:eastAsia="仿宋_GB2312" w:cs="仿宋_GB2312"/>
          <w:sz w:val="32"/>
          <w:szCs w:val="32"/>
        </w:rPr>
        <w:t>（五）巡察办及四个巡察组编制16人</w:t>
      </w:r>
    </w:p>
    <w:p>
      <w:pPr>
        <w:spacing w:line="52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单位机构设置情况</w:t>
      </w:r>
    </w:p>
    <w:tbl>
      <w:tblPr>
        <w:tblStyle w:val="12"/>
        <w:tblW w:w="0" w:type="auto"/>
        <w:tblInd w:w="10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2520"/>
        <w:gridCol w:w="23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471"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 xml:space="preserve">单位名称 </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 xml:space="preserve">单位设置  </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 xml:space="preserve">单位规格 </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办公室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组织部</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党风政风监督室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wordWrap w:val="0"/>
              <w:ind w:right="640"/>
              <w:rPr>
                <w:rFonts w:ascii="仿宋_GB2312" w:hAnsi="仿宋" w:eastAsia="仿宋_GB2312" w:cs="仿宋_GB2312"/>
                <w:sz w:val="32"/>
                <w:szCs w:val="32"/>
              </w:rPr>
            </w:pPr>
            <w:r>
              <w:rPr>
                <w:rFonts w:hint="eastAsia" w:ascii="仿宋_GB2312" w:hAnsi="仿宋" w:eastAsia="仿宋_GB2312" w:cs="仿宋_GB2312"/>
                <w:sz w:val="32"/>
                <w:szCs w:val="32"/>
              </w:rPr>
              <w:t>案件审理室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仿宋_GB2312" w:hAnsi="仿宋" w:eastAsia="仿宋_GB2312" w:cs="仿宋_GB2312"/>
                <w:sz w:val="32"/>
                <w:szCs w:val="32"/>
              </w:rPr>
              <w:t>信访室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仿宋_GB2312" w:hAnsi="仿宋" w:eastAsia="仿宋_GB2312" w:cs="仿宋_GB2312"/>
                <w:sz w:val="32"/>
                <w:szCs w:val="32"/>
              </w:rPr>
              <w:t>案件监督管理室</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仿宋" w:eastAsia="楷体_GB2312" w:cs="??_GB2312"/>
                <w:sz w:val="32"/>
                <w:szCs w:val="32"/>
              </w:rPr>
              <w:t>第一纪检监察室</w:t>
            </w:r>
            <w:r>
              <w:rPr>
                <w:rFonts w:ascii="楷体_GB2312" w:hAnsi="仿宋" w:eastAsia="楷体_GB2312" w:cs="??_GB2312"/>
                <w:sz w:val="32"/>
                <w:szCs w:val="32"/>
              </w:rPr>
              <w:t>(</w:t>
            </w:r>
            <w:r>
              <w:rPr>
                <w:rFonts w:hint="eastAsia" w:ascii="楷体_GB2312" w:hAnsi="仿宋" w:eastAsia="楷体_GB2312" w:cs="??_GB2312"/>
                <w:sz w:val="32"/>
                <w:szCs w:val="32"/>
              </w:rPr>
              <w:t>监督</w:t>
            </w:r>
            <w:r>
              <w:rPr>
                <w:rFonts w:ascii="楷体_GB2312" w:hAnsi="仿宋" w:eastAsia="楷体_GB2312" w:cs="??_GB2312"/>
                <w:sz w:val="32"/>
                <w:szCs w:val="32"/>
              </w:rPr>
              <w:t>)</w:t>
            </w:r>
            <w:r>
              <w:rPr>
                <w:rFonts w:hint="eastAsia" w:ascii="楷体_GB2312" w:hAnsi="仿宋" w:eastAsia="楷体_GB2312" w:cs="??_GB2312"/>
                <w:sz w:val="32"/>
                <w:szCs w:val="32"/>
              </w:rPr>
              <w:t>至第四纪检监察室</w:t>
            </w:r>
            <w:r>
              <w:rPr>
                <w:rFonts w:ascii="楷体_GB2312" w:hAnsi="仿宋" w:eastAsia="楷体_GB2312" w:cs="??_GB2312"/>
                <w:sz w:val="32"/>
                <w:szCs w:val="32"/>
              </w:rPr>
              <w:t>(</w:t>
            </w:r>
            <w:r>
              <w:rPr>
                <w:rFonts w:hint="eastAsia" w:ascii="楷体_GB2312" w:hAnsi="仿宋" w:eastAsia="楷体_GB2312" w:cs="??_GB2312"/>
                <w:sz w:val="32"/>
                <w:szCs w:val="32"/>
              </w:rPr>
              <w:t>监督</w:t>
            </w:r>
            <w:r>
              <w:rPr>
                <w:rFonts w:ascii="楷体_GB2312" w:hAnsi="仿宋" w:eastAsia="楷体_GB2312" w:cs="??_GB2312"/>
                <w:sz w:val="32"/>
                <w:szCs w:val="32"/>
              </w:rPr>
              <w:t>)</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股级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adjustRightInd w:val="0"/>
              <w:spacing w:line="560" w:lineRule="exact"/>
              <w:ind w:firstLine="640" w:firstLineChars="200"/>
              <w:rPr>
                <w:rFonts w:ascii="楷体_GB2312" w:hAnsi="宋体" w:eastAsia="楷体_GB2312"/>
                <w:sz w:val="32"/>
                <w:szCs w:val="32"/>
              </w:rPr>
            </w:pPr>
            <w:r>
              <w:rPr>
                <w:rFonts w:hint="eastAsia" w:ascii="楷体_GB2312" w:hAnsi="仿宋" w:eastAsia="楷体_GB2312" w:cs="??_GB2312"/>
                <w:sz w:val="32"/>
                <w:szCs w:val="32"/>
              </w:rPr>
              <w:t>第五纪检监察室（审查）至第六纪检监察室（审查）</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驻区委办公室纪检监察组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adjustRightInd w:val="0"/>
              <w:spacing w:line="560" w:lineRule="exact"/>
              <w:ind w:firstLine="640" w:firstLineChars="200"/>
              <w:rPr>
                <w:rFonts w:ascii="楷体_GB2312" w:hAnsi="仿宋" w:eastAsia="楷体_GB2312" w:cs="??_GB2312"/>
                <w:sz w:val="32"/>
                <w:szCs w:val="32"/>
              </w:rPr>
            </w:pPr>
            <w:r>
              <w:rPr>
                <w:rFonts w:hint="eastAsia" w:ascii="仿宋_GB2312" w:hAnsi="仿宋" w:eastAsia="仿宋_GB2312" w:cs="仿宋"/>
                <w:sz w:val="32"/>
                <w:szCs w:val="32"/>
              </w:rPr>
              <w:t>驻区委政法委纪检监察组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驻区教育和体育局纪检监察组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驻区财政局纪检监察组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adjustRightInd w:val="0"/>
              <w:spacing w:line="560" w:lineRule="exact"/>
              <w:rPr>
                <w:rFonts w:ascii="楷体_GB2312" w:hAnsi="仿宋" w:eastAsia="楷体_GB2312" w:cs="??_GB2312"/>
                <w:sz w:val="32"/>
                <w:szCs w:val="32"/>
              </w:rPr>
            </w:pPr>
            <w:r>
              <w:rPr>
                <w:rFonts w:hint="eastAsia" w:ascii="仿宋_GB2312" w:hAnsi="仿宋" w:eastAsia="仿宋_GB2312" w:cs="仿宋"/>
                <w:sz w:val="32"/>
                <w:szCs w:val="32"/>
              </w:rPr>
              <w:t>驻区住房和城乡建设局纪检监察组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股</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adjustRightInd w:val="0"/>
              <w:spacing w:line="560" w:lineRule="exact"/>
              <w:ind w:firstLine="640" w:firstLineChars="200"/>
              <w:rPr>
                <w:rFonts w:ascii="楷体_GB2312" w:hAnsi="仿宋" w:eastAsia="楷体_GB2312" w:cs="??_GB2312"/>
                <w:sz w:val="32"/>
                <w:szCs w:val="32"/>
              </w:rPr>
            </w:pPr>
            <w:r>
              <w:rPr>
                <w:rFonts w:hint="eastAsia" w:ascii="楷体_GB2312" w:hAnsi="仿宋" w:eastAsia="楷体_GB2312" w:cs="??_GB2312"/>
                <w:sz w:val="32"/>
                <w:szCs w:val="32"/>
              </w:rPr>
              <w:t>区委巡察办</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科</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1" w:type="dxa"/>
            <w:tcBorders>
              <w:top w:val="single" w:color="auto" w:sz="4" w:space="0"/>
              <w:left w:val="single" w:color="auto" w:sz="4" w:space="0"/>
              <w:bottom w:val="single" w:color="auto" w:sz="4" w:space="0"/>
              <w:right w:val="single" w:color="auto" w:sz="4" w:space="0"/>
            </w:tcBorders>
          </w:tcPr>
          <w:p>
            <w:pPr>
              <w:adjustRightInd w:val="0"/>
              <w:spacing w:line="560" w:lineRule="exact"/>
              <w:ind w:firstLine="640" w:firstLineChars="200"/>
              <w:rPr>
                <w:rFonts w:ascii="楷体_GB2312" w:hAnsi="仿宋" w:eastAsia="楷体_GB2312" w:cs="??_GB2312"/>
                <w:sz w:val="32"/>
                <w:szCs w:val="32"/>
              </w:rPr>
            </w:pPr>
            <w:r>
              <w:rPr>
                <w:rFonts w:hint="eastAsia" w:ascii="仿宋_GB2312" w:hAnsi="仿宋_GB2312" w:eastAsia="仿宋_GB2312" w:cs="仿宋_GB2312"/>
                <w:sz w:val="32"/>
                <w:szCs w:val="32"/>
              </w:rPr>
              <w:t>区委巡察工作领导小组</w:t>
            </w:r>
          </w:p>
        </w:tc>
        <w:tc>
          <w:tcPr>
            <w:tcW w:w="25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行政</w:t>
            </w:r>
          </w:p>
        </w:tc>
        <w:tc>
          <w:tcPr>
            <w:tcW w:w="234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hint="eastAsia" w:ascii="楷体_GB2312" w:hAnsi="宋体" w:eastAsia="楷体_GB2312"/>
                <w:sz w:val="32"/>
                <w:szCs w:val="32"/>
              </w:rPr>
              <w:t>科</w:t>
            </w:r>
            <w:r>
              <w:rPr>
                <w:rFonts w:ascii="楷体_GB2312" w:hAnsi="宋体" w:eastAsia="楷体_GB2312"/>
                <w:sz w:val="32"/>
                <w:szCs w:val="32"/>
              </w:rPr>
              <w:t>级</w:t>
            </w:r>
          </w:p>
        </w:tc>
        <w:tc>
          <w:tcPr>
            <w:tcW w:w="3420" w:type="dxa"/>
            <w:tcBorders>
              <w:top w:val="single" w:color="auto" w:sz="4" w:space="0"/>
              <w:left w:val="single" w:color="auto" w:sz="4" w:space="0"/>
              <w:bottom w:val="single" w:color="auto" w:sz="4" w:space="0"/>
              <w:right w:val="single" w:color="auto" w:sz="4" w:space="0"/>
            </w:tcBorders>
          </w:tcPr>
          <w:p>
            <w:pPr>
              <w:wordWrap w:val="0"/>
              <w:ind w:right="640"/>
              <w:rPr>
                <w:rFonts w:ascii="楷体_GB2312" w:hAnsi="宋体" w:eastAsia="楷体_GB2312"/>
                <w:sz w:val="32"/>
                <w:szCs w:val="32"/>
              </w:rPr>
            </w:pPr>
            <w:r>
              <w:rPr>
                <w:rFonts w:ascii="楷体_GB2312" w:hAnsi="宋体" w:eastAsia="楷体_GB2312"/>
                <w:sz w:val="32"/>
                <w:szCs w:val="32"/>
              </w:rPr>
              <w:t>财政拨款</w:t>
            </w:r>
          </w:p>
        </w:tc>
      </w:tr>
    </w:tbl>
    <w:p>
      <w:pPr>
        <w:pStyle w:val="4"/>
        <w:spacing w:before="54"/>
        <w:ind w:left="1360"/>
        <w:rPr>
          <w:b/>
          <w:bCs/>
        </w:rPr>
      </w:pPr>
      <w:r>
        <w:rPr>
          <w:b/>
          <w:bCs/>
          <w:w w:val="95"/>
        </w:rPr>
        <w:t>二、</w:t>
      </w:r>
      <w:r>
        <w:rPr>
          <w:rFonts w:hint="eastAsia"/>
          <w:b/>
          <w:bCs/>
          <w:w w:val="95"/>
        </w:rPr>
        <w:t>单位</w:t>
      </w:r>
      <w:r>
        <w:rPr>
          <w:b/>
          <w:bCs/>
          <w:w w:val="95"/>
        </w:rPr>
        <w:t>预算安排的总体情况</w:t>
      </w:r>
    </w:p>
    <w:p>
      <w:pPr>
        <w:pStyle w:val="4"/>
        <w:spacing w:before="159" w:line="326" w:lineRule="auto"/>
        <w:ind w:left="720" w:right="819" w:firstLine="640"/>
      </w:pPr>
      <w:r>
        <w:rPr>
          <w:w w:val="95"/>
        </w:rPr>
        <w:t>按照预算管理有关规定，目前我</w:t>
      </w:r>
      <w:r>
        <w:rPr>
          <w:rFonts w:hint="eastAsia"/>
          <w:w w:val="95"/>
        </w:rPr>
        <w:t>单位</w:t>
      </w:r>
      <w:r>
        <w:rPr>
          <w:w w:val="95"/>
        </w:rPr>
        <w:t>预算的编制实行综合预算管理，即全部收入和支出都反映在预</w:t>
      </w:r>
      <w:r>
        <w:t>算中。保定市</w:t>
      </w:r>
      <w:r>
        <w:rPr>
          <w:rFonts w:hint="eastAsia"/>
        </w:rPr>
        <w:t>满城区纪委监委</w:t>
      </w:r>
      <w:r>
        <w:t>收支包含在</w:t>
      </w:r>
      <w:r>
        <w:rPr>
          <w:rFonts w:hint="eastAsia"/>
        </w:rPr>
        <w:t>单位</w:t>
      </w:r>
      <w:r>
        <w:t>预算中。</w:t>
      </w:r>
    </w:p>
    <w:p>
      <w:pPr>
        <w:pStyle w:val="4"/>
        <w:spacing w:before="6"/>
        <w:ind w:left="1360"/>
      </w:pPr>
      <w:r>
        <w:t>1、收入说明</w:t>
      </w:r>
    </w:p>
    <w:p>
      <w:pPr>
        <w:pStyle w:val="4"/>
        <w:spacing w:before="149"/>
        <w:ind w:left="1360"/>
      </w:pPr>
      <w:r>
        <w:rPr>
          <w:w w:val="95"/>
        </w:rPr>
        <w:t>反映本</w:t>
      </w:r>
      <w:r>
        <w:rPr>
          <w:rFonts w:hint="eastAsia"/>
          <w:w w:val="95"/>
        </w:rPr>
        <w:t>单位</w:t>
      </w:r>
      <w:r>
        <w:rPr>
          <w:w w:val="95"/>
        </w:rPr>
        <w:t>当年全部收入。2022</w:t>
      </w:r>
      <w:r>
        <w:rPr>
          <w:spacing w:val="10"/>
          <w:w w:val="95"/>
        </w:rPr>
        <w:t xml:space="preserve"> 年预算收入 </w:t>
      </w:r>
      <w:r>
        <w:rPr>
          <w:rFonts w:hint="eastAsia"/>
          <w:w w:val="95"/>
        </w:rPr>
        <w:t xml:space="preserve">1505.83万元，其中：一般公共预算收入1505.83 </w:t>
      </w:r>
      <w:r>
        <w:rPr>
          <w:spacing w:val="9"/>
          <w:w w:val="95"/>
        </w:rPr>
        <w:t>万元，</w:t>
      </w:r>
    </w:p>
    <w:p>
      <w:pPr>
        <w:pStyle w:val="4"/>
        <w:spacing w:before="149"/>
        <w:ind w:left="720"/>
      </w:pPr>
      <w:r>
        <w:rPr>
          <w:spacing w:val="-1"/>
          <w:w w:val="95"/>
        </w:rPr>
        <w:t>基金预算收入</w:t>
      </w:r>
      <w:r>
        <w:rPr>
          <w:rFonts w:hint="eastAsia"/>
          <w:w w:val="95"/>
        </w:rPr>
        <w:t>0</w:t>
      </w:r>
      <w:r>
        <w:rPr>
          <w:w w:val="95"/>
        </w:rPr>
        <w:t>万元，国有资本经营预算收入 0 万元，财政专户核拨收入 0 万元，单位资金收入 0 万元，</w:t>
      </w:r>
    </w:p>
    <w:p>
      <w:pPr>
        <w:pStyle w:val="4"/>
        <w:spacing w:before="152" w:line="326" w:lineRule="auto"/>
        <w:ind w:left="1360" w:right="12339" w:hanging="641"/>
      </w:pPr>
      <w:r>
        <w:rPr>
          <w:spacing w:val="-2"/>
          <w:w w:val="95"/>
        </w:rPr>
        <w:t xml:space="preserve">上年结转结余 </w:t>
      </w:r>
      <w:r>
        <w:rPr>
          <w:w w:val="95"/>
        </w:rPr>
        <w:t>0</w:t>
      </w:r>
      <w:r>
        <w:rPr>
          <w:spacing w:val="-3"/>
          <w:w w:val="95"/>
        </w:rPr>
        <w:t xml:space="preserve"> 万元。</w:t>
      </w:r>
      <w:r>
        <w:t>2、支出说明</w:t>
      </w:r>
    </w:p>
    <w:p>
      <w:pPr>
        <w:pStyle w:val="4"/>
        <w:spacing w:before="3" w:line="328" w:lineRule="auto"/>
        <w:ind w:left="440" w:leftChars="200" w:right="739" w:firstLine="800" w:firstLineChars="250"/>
        <w:jc w:val="both"/>
      </w:pPr>
      <w:r>
        <w:t>收支预算总表支出栏、基本支出表、项目支出表按经济分类和支出功能分类科目编制，反映</w:t>
      </w:r>
      <w:r>
        <w:rPr>
          <w:rFonts w:hint="eastAsia"/>
        </w:rPr>
        <w:t>满城区纪委监委</w:t>
      </w:r>
      <w:r>
        <w:rPr>
          <w:w w:val="95"/>
        </w:rPr>
        <w:t>年度部门预算中支出预算的总体情况。2022</w:t>
      </w:r>
      <w:r>
        <w:rPr>
          <w:spacing w:val="40"/>
          <w:w w:val="95"/>
        </w:rPr>
        <w:t xml:space="preserve"> 年支出预算</w:t>
      </w:r>
      <w:r>
        <w:rPr>
          <w:rFonts w:hint="eastAsia"/>
          <w:spacing w:val="40"/>
          <w:w w:val="95"/>
        </w:rPr>
        <w:t>1505.83</w:t>
      </w:r>
      <w:r>
        <w:rPr>
          <w:spacing w:val="14"/>
          <w:w w:val="95"/>
        </w:rPr>
        <w:t>万元，其中基本支</w:t>
      </w:r>
      <w:r>
        <w:rPr>
          <w:spacing w:val="1"/>
          <w:w w:val="95"/>
        </w:rPr>
        <w:t>出</w:t>
      </w:r>
      <w:r>
        <w:rPr>
          <w:rFonts w:hint="eastAsia"/>
          <w:spacing w:val="1"/>
          <w:w w:val="95"/>
        </w:rPr>
        <w:t>1253.52</w:t>
      </w:r>
      <w:r>
        <w:rPr>
          <w:w w:val="95"/>
        </w:rPr>
        <w:t xml:space="preserve">万元，包括人员经费 </w:t>
      </w:r>
      <w:r>
        <w:rPr>
          <w:rFonts w:hint="eastAsia"/>
          <w:w w:val="95"/>
        </w:rPr>
        <w:t>1124.86</w:t>
      </w:r>
      <w:r>
        <w:rPr>
          <w:w w:val="95"/>
        </w:rPr>
        <w:t>万元和日常公用经费</w:t>
      </w:r>
      <w:r>
        <w:rPr>
          <w:rFonts w:hint="eastAsia"/>
          <w:w w:val="95"/>
        </w:rPr>
        <w:t>128.66</w:t>
      </w:r>
      <w:r>
        <w:rPr>
          <w:w w:val="95"/>
        </w:rPr>
        <w:t xml:space="preserve"> 万元；项目支出</w:t>
      </w:r>
      <w:r>
        <w:rPr>
          <w:rFonts w:hint="eastAsia"/>
          <w:w w:val="95"/>
        </w:rPr>
        <w:t>252.31</w:t>
      </w:r>
      <w:r>
        <w:rPr>
          <w:w w:val="95"/>
        </w:rPr>
        <w:t>万元，主要</w:t>
      </w:r>
      <w:r>
        <w:rPr>
          <w:rFonts w:hint="eastAsia"/>
        </w:rPr>
        <w:t>是机关日常办案</w:t>
      </w:r>
      <w:r>
        <w:t>经费及</w:t>
      </w:r>
      <w:r>
        <w:rPr>
          <w:rFonts w:hint="eastAsia"/>
          <w:lang w:eastAsia="zh-CN"/>
        </w:rPr>
        <w:t>内网系统</w:t>
      </w:r>
      <w:r>
        <w:rPr>
          <w:rFonts w:hint="eastAsia"/>
        </w:rPr>
        <w:t>工程</w:t>
      </w:r>
      <w:r>
        <w:t>等。</w:t>
      </w:r>
    </w:p>
    <w:p>
      <w:pPr>
        <w:pStyle w:val="4"/>
        <w:spacing w:line="405" w:lineRule="exact"/>
        <w:ind w:left="1360"/>
      </w:pPr>
      <w:r>
        <w:t>3、比上年增减情况</w:t>
      </w:r>
    </w:p>
    <w:p>
      <w:pPr>
        <w:pStyle w:val="4"/>
        <w:spacing w:before="54"/>
        <w:ind w:firstLine="1216" w:firstLineChars="400"/>
        <w:sectPr>
          <w:pgSz w:w="16840" w:h="11900" w:orient="landscape"/>
          <w:pgMar w:top="1100" w:right="280" w:bottom="980" w:left="300" w:header="0" w:footer="706" w:gutter="0"/>
          <w:cols w:space="720" w:num="1"/>
        </w:sectPr>
      </w:pPr>
      <w:r>
        <w:rPr>
          <w:w w:val="95"/>
        </w:rPr>
        <w:t>2022</w:t>
      </w:r>
      <w:r>
        <w:rPr>
          <w:spacing w:val="-4"/>
          <w:w w:val="95"/>
        </w:rPr>
        <w:t xml:space="preserve"> 年预算收支安排 </w:t>
      </w:r>
      <w:r>
        <w:rPr>
          <w:rFonts w:hint="eastAsia"/>
          <w:w w:val="95"/>
        </w:rPr>
        <w:t>1505.83</w:t>
      </w:r>
      <w:r>
        <w:rPr>
          <w:spacing w:val="-13"/>
          <w:w w:val="95"/>
        </w:rPr>
        <w:t xml:space="preserve">万元，较 </w:t>
      </w:r>
      <w:r>
        <w:rPr>
          <w:w w:val="95"/>
        </w:rPr>
        <w:t>2021</w:t>
      </w:r>
      <w:r>
        <w:rPr>
          <w:spacing w:val="-4"/>
          <w:w w:val="95"/>
        </w:rPr>
        <w:t xml:space="preserve"> 年预算</w:t>
      </w:r>
      <w:r>
        <w:rPr>
          <w:rFonts w:hint="eastAsia"/>
          <w:spacing w:val="-4"/>
          <w:w w:val="95"/>
        </w:rPr>
        <w:t>增加</w:t>
      </w:r>
      <w:r>
        <w:rPr>
          <w:rFonts w:hint="eastAsia"/>
          <w:w w:val="95"/>
        </w:rPr>
        <w:t>224.24</w:t>
      </w:r>
      <w:r>
        <w:rPr>
          <w:spacing w:val="-11"/>
          <w:w w:val="95"/>
        </w:rPr>
        <w:t>万元，其中：基本支出</w:t>
      </w:r>
      <w:r>
        <w:rPr>
          <w:rFonts w:hint="eastAsia"/>
          <w:spacing w:val="-11"/>
          <w:w w:val="95"/>
        </w:rPr>
        <w:t>共计减少</w:t>
      </w:r>
      <w:r>
        <w:rPr>
          <w:rFonts w:hint="eastAsia"/>
          <w:w w:val="95"/>
        </w:rPr>
        <w:t>28.07</w:t>
      </w:r>
      <w:r>
        <w:rPr>
          <w:spacing w:val="-3"/>
          <w:w w:val="95"/>
        </w:rPr>
        <w:t>万元，</w:t>
      </w:r>
    </w:p>
    <w:p>
      <w:pPr>
        <w:pStyle w:val="4"/>
        <w:spacing w:before="54"/>
        <w:rPr>
          <w:w w:val="95"/>
        </w:rPr>
      </w:pPr>
      <w:r>
        <w:rPr>
          <w:rFonts w:hint="eastAsia"/>
          <w:w w:val="95"/>
        </w:rPr>
        <w:t>人员经费增加105.52万元，</w:t>
      </w:r>
      <w:r>
        <w:rPr>
          <w:w w:val="95"/>
        </w:rPr>
        <w:t>主要为人员</w:t>
      </w:r>
      <w:r>
        <w:rPr>
          <w:rFonts w:hint="eastAsia"/>
          <w:w w:val="95"/>
        </w:rPr>
        <w:t>调入。日常公用经费减少133.59是因此部分公用经费列入2022年项目支出,故</w:t>
      </w:r>
      <w:r>
        <w:rPr>
          <w:spacing w:val="-11"/>
          <w:w w:val="95"/>
        </w:rPr>
        <w:t>基本支出</w:t>
      </w:r>
      <w:r>
        <w:rPr>
          <w:rFonts w:hint="eastAsia"/>
          <w:spacing w:val="-11"/>
          <w:w w:val="95"/>
        </w:rPr>
        <w:t>减少</w:t>
      </w:r>
      <w:r>
        <w:rPr>
          <w:rFonts w:hint="eastAsia"/>
          <w:w w:val="95"/>
        </w:rPr>
        <w:t>28.07</w:t>
      </w:r>
      <w:r>
        <w:rPr>
          <w:spacing w:val="-3"/>
          <w:w w:val="95"/>
        </w:rPr>
        <w:t>万元</w:t>
      </w:r>
      <w:r>
        <w:rPr>
          <w:rFonts w:hint="eastAsia"/>
          <w:spacing w:val="-3"/>
          <w:w w:val="95"/>
        </w:rPr>
        <w:t>；</w:t>
      </w:r>
      <w:r>
        <w:rPr>
          <w:w w:val="95"/>
        </w:rPr>
        <w:t>项目支出</w:t>
      </w:r>
      <w:r>
        <w:rPr>
          <w:rFonts w:hint="eastAsia"/>
          <w:w w:val="95"/>
        </w:rPr>
        <w:t>增加252.31</w:t>
      </w:r>
      <w:r>
        <w:rPr>
          <w:w w:val="95"/>
        </w:rPr>
        <w:t>万元，主要</w:t>
      </w:r>
      <w:r>
        <w:rPr>
          <w:rFonts w:hint="eastAsia"/>
          <w:w w:val="95"/>
        </w:rPr>
        <w:t>是</w:t>
      </w:r>
      <w:r>
        <w:rPr>
          <w:rFonts w:hint="eastAsia"/>
          <w:w w:val="95"/>
          <w:lang w:eastAsia="zh-CN"/>
        </w:rPr>
        <w:t>内网系统</w:t>
      </w:r>
      <w:r>
        <w:rPr>
          <w:rFonts w:hint="eastAsia"/>
          <w:w w:val="95"/>
        </w:rPr>
        <w:t>工程，乡镇纪委办案经费及2021年纳入基本支出的部分公用经费纳入到2022年项目支出</w:t>
      </w:r>
      <w:r>
        <w:rPr>
          <w:w w:val="95"/>
        </w:rPr>
        <w:t>。</w:t>
      </w:r>
    </w:p>
    <w:p>
      <w:pPr>
        <w:pStyle w:val="4"/>
        <w:spacing w:before="162"/>
        <w:ind w:firstLine="305" w:firstLineChars="100"/>
        <w:rPr>
          <w:b/>
        </w:rPr>
      </w:pPr>
      <w:bookmarkStart w:id="12" w:name="三、机关运行经费安排情况"/>
      <w:bookmarkEnd w:id="12"/>
      <w:bookmarkStart w:id="13" w:name="_bookmark11"/>
      <w:bookmarkEnd w:id="13"/>
      <w:r>
        <w:rPr>
          <w:b/>
          <w:w w:val="95"/>
        </w:rPr>
        <w:t>三、机关运行经费安排情况</w:t>
      </w:r>
    </w:p>
    <w:p>
      <w:pPr>
        <w:pStyle w:val="4"/>
        <w:spacing w:before="110" w:line="292" w:lineRule="auto"/>
        <w:ind w:right="737" w:firstLine="608" w:firstLineChars="200"/>
      </w:pPr>
      <w:bookmarkStart w:id="14" w:name="四、财政拨款“三公”经费预算情况及增减变化原因"/>
      <w:bookmarkEnd w:id="14"/>
      <w:bookmarkStart w:id="15" w:name="_bookmark12"/>
      <w:bookmarkEnd w:id="15"/>
      <w:r>
        <w:rPr>
          <w:w w:val="95"/>
        </w:rPr>
        <w:t>2022</w:t>
      </w:r>
      <w:r>
        <w:rPr>
          <w:spacing w:val="12"/>
          <w:w w:val="95"/>
        </w:rPr>
        <w:t>年，我部门运行经费共计安排</w:t>
      </w:r>
      <w:r>
        <w:rPr>
          <w:rFonts w:hint="eastAsia"/>
          <w:w w:val="95"/>
        </w:rPr>
        <w:t>128.66</w:t>
      </w:r>
      <w:r>
        <w:rPr>
          <w:w w:val="95"/>
        </w:rPr>
        <w:t>万元，主要用于日常办公费、办公用房水电费、</w:t>
      </w:r>
      <w:r>
        <w:rPr>
          <w:rFonts w:hint="eastAsia"/>
          <w:w w:val="95"/>
        </w:rPr>
        <w:t>公车运行维护费</w:t>
      </w:r>
      <w:r>
        <w:t>、等日常运行支出。</w:t>
      </w:r>
    </w:p>
    <w:p>
      <w:pPr>
        <w:pStyle w:val="4"/>
        <w:spacing w:before="58"/>
        <w:ind w:firstLine="305" w:firstLineChars="100"/>
        <w:rPr>
          <w:b/>
        </w:rPr>
      </w:pPr>
      <w:r>
        <w:rPr>
          <w:b/>
          <w:w w:val="95"/>
        </w:rPr>
        <w:t>四、财政拨款“三公”经费预算情况及增减变化原因</w:t>
      </w:r>
    </w:p>
    <w:p>
      <w:pPr>
        <w:pStyle w:val="4"/>
        <w:spacing w:before="111"/>
        <w:ind w:firstLine="608" w:firstLineChars="200"/>
      </w:pPr>
      <w:r>
        <w:rPr>
          <w:w w:val="95"/>
        </w:rPr>
        <w:t>2022</w:t>
      </w:r>
      <w:r>
        <w:rPr>
          <w:spacing w:val="2"/>
          <w:w w:val="95"/>
        </w:rPr>
        <w:t xml:space="preserve"> 年，我部门财政拨款“三公”经费预算安排</w:t>
      </w:r>
      <w:r>
        <w:rPr>
          <w:rFonts w:hint="eastAsia"/>
          <w:w w:val="95"/>
        </w:rPr>
        <w:t>18.33</w:t>
      </w:r>
      <w:r>
        <w:rPr>
          <w:spacing w:val="2"/>
          <w:w w:val="95"/>
        </w:rPr>
        <w:t>万元，其中因公出国</w:t>
      </w:r>
      <w:r>
        <w:rPr>
          <w:w w:val="95"/>
        </w:rPr>
        <w:t>（境）</w:t>
      </w:r>
      <w:r>
        <w:rPr>
          <w:spacing w:val="25"/>
          <w:w w:val="95"/>
        </w:rPr>
        <w:t xml:space="preserve">费 </w:t>
      </w:r>
      <w:r>
        <w:rPr>
          <w:w w:val="95"/>
        </w:rPr>
        <w:t>0</w:t>
      </w:r>
      <w:r>
        <w:rPr>
          <w:spacing w:val="4"/>
          <w:w w:val="95"/>
        </w:rPr>
        <w:t xml:space="preserve"> 万元；公务用车</w:t>
      </w:r>
      <w:r>
        <w:rPr>
          <w:w w:val="99"/>
        </w:rPr>
        <w:t>购置及运维费</w:t>
      </w:r>
      <w:r>
        <w:rPr>
          <w:rFonts w:hint="eastAsia"/>
          <w:spacing w:val="1"/>
          <w:w w:val="99"/>
        </w:rPr>
        <w:t>16</w:t>
      </w:r>
      <w:r>
        <w:rPr>
          <w:spacing w:val="-80"/>
          <w:w w:val="99"/>
        </w:rPr>
        <w:t>万元</w:t>
      </w:r>
      <w:r>
        <w:rPr>
          <w:w w:val="99"/>
        </w:rPr>
        <w:t>（</w:t>
      </w:r>
      <w:r>
        <w:rPr>
          <w:spacing w:val="-17"/>
          <w:w w:val="99"/>
        </w:rPr>
        <w:t>其中：公务用车购置费为</w:t>
      </w:r>
      <w:r>
        <w:rPr>
          <w:w w:val="99"/>
        </w:rPr>
        <w:t>0</w:t>
      </w:r>
      <w:r>
        <w:rPr>
          <w:spacing w:val="-18"/>
          <w:w w:val="99"/>
        </w:rPr>
        <w:t>万元，公务用车运维费</w:t>
      </w:r>
      <w:r>
        <w:rPr>
          <w:rFonts w:hint="eastAsia"/>
          <w:spacing w:val="1"/>
          <w:w w:val="99"/>
        </w:rPr>
        <w:t>16</w:t>
      </w:r>
      <w:r>
        <w:rPr>
          <w:spacing w:val="-19"/>
          <w:w w:val="99"/>
        </w:rPr>
        <w:t>万元)；公务接待费</w:t>
      </w:r>
      <w:r>
        <w:rPr>
          <w:rFonts w:hint="eastAsia"/>
          <w:spacing w:val="1"/>
          <w:w w:val="99"/>
        </w:rPr>
        <w:t>2.33</w:t>
      </w:r>
      <w:r>
        <w:rPr>
          <w:spacing w:val="18"/>
          <w:w w:val="95"/>
        </w:rPr>
        <w:t>万元。与</w:t>
      </w:r>
      <w:r>
        <w:rPr>
          <w:w w:val="95"/>
        </w:rPr>
        <w:t>2021</w:t>
      </w:r>
      <w:r>
        <w:rPr>
          <w:spacing w:val="25"/>
          <w:w w:val="95"/>
        </w:rPr>
        <w:t>年相比减少</w:t>
      </w:r>
      <w:r>
        <w:rPr>
          <w:rFonts w:hint="eastAsia"/>
          <w:w w:val="95"/>
        </w:rPr>
        <w:t>0.12</w:t>
      </w:r>
      <w:r>
        <w:rPr>
          <w:w w:val="95"/>
        </w:rPr>
        <w:t>万元，减少的主要原因是：根据年度工作计划实际情况减少公务接待费预</w:t>
      </w:r>
      <w:r>
        <w:t>算。</w:t>
      </w:r>
    </w:p>
    <w:p>
      <w:pPr>
        <w:pStyle w:val="4"/>
        <w:spacing w:before="58"/>
        <w:ind w:firstLine="305" w:firstLineChars="100"/>
        <w:rPr>
          <w:b/>
        </w:rPr>
      </w:pPr>
      <w:bookmarkStart w:id="16" w:name="_bookmark13"/>
      <w:bookmarkEnd w:id="16"/>
      <w:bookmarkStart w:id="17" w:name="五、预算绩效信息"/>
      <w:bookmarkEnd w:id="17"/>
      <w:r>
        <w:rPr>
          <w:b/>
          <w:w w:val="95"/>
        </w:rPr>
        <w:t>五、预算绩效信息</w:t>
      </w:r>
    </w:p>
    <w:p>
      <w:pPr>
        <w:pStyle w:val="3"/>
        <w:spacing w:before="56"/>
        <w:ind w:left="1720" w:leftChars="782" w:firstLine="3890" w:firstLineChars="1200"/>
      </w:pPr>
      <w:r>
        <w:rPr>
          <w:spacing w:val="2"/>
        </w:rPr>
        <w:t>第一部分</w:t>
      </w:r>
      <w:r>
        <w:rPr>
          <w:rFonts w:hint="eastAsia"/>
          <w:spacing w:val="2"/>
        </w:rPr>
        <w:t>单位</w:t>
      </w:r>
      <w:r>
        <w:rPr>
          <w:spacing w:val="2"/>
        </w:rPr>
        <w:t>整体绩效目标</w:t>
      </w:r>
    </w:p>
    <w:p>
      <w:pPr>
        <w:pStyle w:val="4"/>
        <w:spacing w:before="106"/>
        <w:ind w:firstLine="305" w:firstLineChars="100"/>
        <w:rPr>
          <w:b/>
          <w:w w:val="95"/>
        </w:rPr>
      </w:pPr>
      <w:bookmarkStart w:id="18" w:name="（一）总体绩效目标"/>
      <w:bookmarkEnd w:id="18"/>
      <w:r>
        <w:rPr>
          <w:b/>
          <w:w w:val="95"/>
        </w:rPr>
        <w:t>（一</w:t>
      </w:r>
      <w:r>
        <w:rPr>
          <w:rFonts w:hint="eastAsia"/>
          <w:b/>
          <w:w w:val="95"/>
        </w:rPr>
        <w:t>）、</w:t>
      </w:r>
      <w:r>
        <w:rPr>
          <w:b/>
          <w:w w:val="95"/>
        </w:rPr>
        <w:t>总体绩效目标：</w:t>
      </w:r>
    </w:p>
    <w:p>
      <w:pPr>
        <w:pStyle w:val="21"/>
        <w:ind w:firstLineChars="200"/>
      </w:pPr>
      <w:r>
        <w:t>2022年是党的二十大召开之年，是实施“十四五”规划承上启下的重要一年。做好2022年工作总体要求是：以习近平新时代中国特色社会主义思想为指导，全面贯彻党的十九大和十九届历次全会精神，坚持运用党的百年奋斗历史经验，坚持伟大建党精神和自我革命战略思想，坚守“两个维护”最高政治原则和根本政治责任，坚守人民至上根本立场。以迎接党的二十大为主线，立足新发展阶段，发挥监督保障执行、促进完善发展作用，推动完整、准确、全面贯彻新发展理念，构建新发展格局，实现高质量发展。以稳中求进为工作总基调，贯彻全面从严治党战略方针，落实不敢腐、不能腐、不想腐一体推进重要方略，坚定不移将党风廉政建设和反腐败斗争进行到底，加强纪检监察机关规范化、法治化、正规化建设，为奋力推动“品质生活新区、善美活力满城”跑出加速度、拼出新精彩提供坚强政治保障。</w:t>
      </w:r>
    </w:p>
    <w:p>
      <w:pPr>
        <w:spacing w:before="10" w:after="10"/>
        <w:ind w:firstLine="560"/>
        <w:outlineLvl w:val="1"/>
      </w:pPr>
      <w:bookmarkStart w:id="19" w:name="_Toc_2_2_0000000002"/>
      <w:r>
        <w:rPr>
          <w:rFonts w:hint="eastAsia" w:ascii="宋体" w:hAnsi="宋体" w:eastAsia="宋体" w:cs="宋体"/>
          <w:b/>
          <w:w w:val="95"/>
          <w:sz w:val="32"/>
          <w:szCs w:val="32"/>
        </w:rPr>
        <w:t>（</w:t>
      </w:r>
      <w:r>
        <w:rPr>
          <w:rFonts w:ascii="宋体" w:hAnsi="宋体" w:eastAsia="宋体" w:cs="宋体"/>
          <w:b/>
          <w:w w:val="95"/>
          <w:sz w:val="32"/>
          <w:szCs w:val="32"/>
        </w:rPr>
        <w:t>二</w:t>
      </w:r>
      <w:r>
        <w:rPr>
          <w:rFonts w:hint="eastAsia" w:ascii="宋体" w:hAnsi="宋体" w:eastAsia="宋体" w:cs="宋体"/>
          <w:b/>
          <w:w w:val="95"/>
          <w:sz w:val="32"/>
          <w:szCs w:val="32"/>
        </w:rPr>
        <w:t>）</w:t>
      </w:r>
      <w:r>
        <w:rPr>
          <w:rFonts w:ascii="宋体" w:hAnsi="宋体" w:eastAsia="宋体" w:cs="宋体"/>
          <w:b/>
          <w:w w:val="95"/>
          <w:sz w:val="32"/>
          <w:szCs w:val="32"/>
        </w:rPr>
        <w:t>、分项绩效目标</w:t>
      </w:r>
      <w:bookmarkEnd w:id="19"/>
    </w:p>
    <w:p>
      <w:pPr>
        <w:pStyle w:val="22"/>
      </w:pPr>
      <w:r>
        <w:t>1、强化政治监督，坚决捍卫“两个确立”、做到“两个维护”。</w:t>
      </w:r>
    </w:p>
    <w:p>
      <w:pPr>
        <w:pStyle w:val="22"/>
      </w:pPr>
      <w:r>
        <w:t>绩效目标：聚焦“国之大者”强化监督。</w:t>
      </w:r>
      <w:r>
        <w:rPr>
          <w:rFonts w:hint="eastAsia"/>
        </w:rPr>
        <w:t>以习近平新时代中国特色社会主义思想为“魂”，以党中央决策部署为“纲”，以政治纪律和政治规矩为“尺”，紧盯“七个有之”，重点监督和严肃查处政治意识淡化、理想信念虚化、宗旨观念弱化的蜕变者；当面忠诚，背后妄议中央既定方针，对党的创新理论不相信、不认同、不执行的两面人；对错误政治言论立场模糊、听之任之的隐形人，督促各级党组织和党员干部始终以习近平新时代中国特色社会主义思想为指导，始终做到底气充盈地拥护核心、不折不扣地维护核心。围绕中心大局强化监督。聚焦习近平总书记对河北一系列重要指示批示及党中央重大决策部署、省市区重点工作安排，及时跟进监督。要监督落实完整、准确、全面贯彻新发展理念，结合“三统筹三扩大四创建”活动，加强对“穿新鞋走老路”问题的监督，重点查纠“只求规模不求效益，只求进度不求实效，只求数量不求质量”的问题，查纠“以浪费资源、</w:t>
      </w:r>
      <w:r>
        <w:t>牺牲环境、破坏生态为代价换取一时一地发展”的问题，查纠“盲目投资、重复建设”的问题，查纠“依赖‘两高一剩’搞发展”的问题，查纠“两头在外，大进大出”的问题，查纠“重发展轻安全”的问题，坚决纠正自由主义、本位主义、保护主义，确保执行不偏向、不变通、不走样。要监督落实京津冀区域协同发展战略，推动各级党组织扭住疏解非首都功能这个“牛鼻子”，在承接产业转移、交通互联互通、生态环境联建联防联治、公共服务共建共享上持续发力、协同发力。要监督落实市委“三聚焦一加强”战略部署和“三步走”战略目标及区委“1135”发展思路贯彻执行情况，围绕区委三届三次全会提出的“五个奋力攻坚”，聚焦实施城市更新、推进产业强区、加快乡村振兴、全面优化环境、落实人民至上等方面加强监督检查，奋力推动“品质生活新区、善美活力满城”绽放新颜值、跑出加速度。</w:t>
      </w:r>
    </w:p>
    <w:p>
      <w:pPr>
        <w:pStyle w:val="22"/>
      </w:pPr>
      <w:r>
        <w:t>绩效指标：紧盯责任落实强化监督。要紧盯“关键少数”这个重点对象，认真落实《关于加强对“一把手”和领导班子监督的意见》，运用纪委书记与下一级党委书记谈话、民主生活会、述责述廉评议、县委书记动态考核月点评会跟进监督等方式，推动主体责任和监督责任一贯到底。要抓住治权这个关键，加强对履职用权全过程监督，紧盯动议、决策、执行和责任四个环节，监督保障公权力在正确轨道上运行，着力破解“一把手”和同级监督难题。要用好民主集中制这个法宝，做到按程序办事、按规矩办事、按集体意志办事。要保障制度执行强化监督。坚持以习近平总书记关于制度建党、依规治党重大战略思想为指导，牢牢把握制度执行监督工作的正确政治方向，发挥纪律在保障制度执行中的利器作用，做到有规必依、执规必严、违规必究，真正让制度“长牙”“带电”。</w:t>
      </w:r>
    </w:p>
    <w:p>
      <w:pPr>
        <w:pStyle w:val="22"/>
      </w:pPr>
      <w:r>
        <w:t>2、重拳惩治腐败，持续巩固“三不”一体推进成效。绩效目标：突出惩治重点，保持“惩”的有力震慑。要优先查处“七个有之”政治问题，以及上级纪委监委和同级党委交办、巡视巡察移交、群众反映强烈的重点问题。要严查政策支持力度大、权力集中、资金密集、资源富集的重点领域和关键环节中的腐败问题，严查地方政府隐性债务和金融风险背后的腐败问题，严查粮食购销、开发区建设以及供销、政法、医疗等领域的腐败问题。严查多次行贿、巨额行贿以及向多人行贿等行为，探索实施行贿人“黑名单”制度。要坚决防范年轻干部作风和腐败风险，防范权力与资本相勾连产生腐败的风险，防范领导干部配偶、子女及其配偶经商办企业及涉外行为违纪违法风险。要突出做好“后半篇文章”，强化“治”的综合效应。抓牢以案促改，把整改工作贯穿办案全过程，同步溯源收集情况，做深案件剖析，总结发案规律，举一反三推动问题整改；抓实以案促建，精准使用纪检监察建议书，针对案件暴露出的责任、作风和腐败问题，督促党委（党组）履行主体责任，职能部门履行监管责任，推进体制改革、机制创新和制度建设；深化以案为鉴，认真落实《关于加强新时代廉洁文化建设的意见》，夯实一体推进“三不”的思想基础，用足用好案件资源，制作警示片、警示录和警示漫画，通报典型案例，以案说纪说法、说德说责，警醒党员干部引为镜鉴，增强拒腐防变意识。</w:t>
      </w:r>
    </w:p>
    <w:p>
      <w:pPr>
        <w:pStyle w:val="22"/>
      </w:pPr>
      <w:r>
        <w:t>绩效指标：突出办案质量，提高惩治腐败规范化、系统化、专业化水平。探索运用审计先行、巡察跟进、纪检监察审查调查的工作模式，发挥党委反腐败整体合力。深化“四种形态”运用机制，认真落实“三个区分开来”，实现政治、纪法、社会效果有机统一。认真落实省纪委监委审查调查工作指导体系，忠实践行习近平法治思想，自觉遵循“两个理念”，牢固树立“三个意识”，切实强化“四个保障”，正确处理“五个关系”，严格落实“六项要求”，确保每起案件都经得起历史、人民和时间的检验。</w:t>
      </w:r>
    </w:p>
    <w:p>
      <w:pPr>
        <w:pStyle w:val="22"/>
      </w:pPr>
      <w:r>
        <w:t>3、加强作风建设，巩固拓展落实中央八项规定精神成果。</w:t>
      </w:r>
    </w:p>
    <w:p>
      <w:pPr>
        <w:pStyle w:val="22"/>
      </w:pPr>
      <w:r>
        <w:t>绩效目标：大力整治形式主义官僚主义。要坚决纠治违背党中央决策部署，装样子，搞花架子，盲目铺摊子，搞“政绩工程”、“形象工程”的问题，坚决纠治文件讲话、会议、调查研究、检查考核中加重基层负担问题，推动完善基层减负常态化机制，在抓实、精简、提质、增效上下功夫。坚决纠治对群众冷暖疾苦漠然视之、高高在上的“老爷”做派，对群众反映问题和合理诉求推诿扯皮、消极应付的“衙门”做派，维护群众利益不担当、不作为的“懒汉”做派，听不进群众意见，态度简单粗暴、颐指气使的“霸道”做派。要探索建立党风政风监督平台，拓宽群众反映问题渠道，发挥群众监督主体作用。严肃查处享乐奢靡，坚决整治铺张浪费。按照党中央“过紧日子”要求，要紧盯“三公经费”支出，重点纠治违规发放津贴补贴问题和公务接待、信息化建设、日常办公中的铺张浪费行为。要紧盯“节日腐败”，重点查处违规收送名贵特产和礼品礼金等问题。要紧盯违规吃喝痼疾，重点查处以办公费等名义报销吃喝，伪造公函搞吃喝，转移到食堂、培训中心和农家乐搞吃喝，以及不吃公款吃老板、违规接受宴请搞吃喝等问题，对查处的党员干部“酒驾”“醉驾”问题跟进到底，严查其同桌饮酒干部是否存在违规吃喝问题，狠刹违规吃喝歪风邪气。</w:t>
      </w:r>
    </w:p>
    <w:p>
      <w:pPr>
        <w:pStyle w:val="22"/>
      </w:pPr>
      <w:r>
        <w:t>绩效指标：坚持治树并举，涵养新风正气。监督各级党组织建阵地、搭平台，创新载体方式、用好红色资源，以理想信念强基固本，以初心使命砥砺品德，以廉洁文化润心正行。要大力培树为民、务实、清廉新风，促使党员干部坦坦荡荡做人，清清白白为官，干干净净做事，规规矩矩用权。要大力培树治家新风，促使党员干部管好配偶子女，做到崇德尚俭、近善远佞、公私分明。</w:t>
      </w:r>
    </w:p>
    <w:p>
      <w:pPr>
        <w:pStyle w:val="22"/>
      </w:pPr>
      <w:r>
        <w:t>4、整治群众身边腐败和不正之风，维护人民群众切身利益。</w:t>
      </w:r>
    </w:p>
    <w:p>
      <w:pPr>
        <w:pStyle w:val="22"/>
      </w:pPr>
      <w:r>
        <w:t>绩效目标：深入推进民生领域腐败和作风问题集中整治。加强对党中央惠民利民、安民富民各项政策落实情况的监督，集中纠治教育医疗、养老社保、生态环保、安全生产、食药品安全等领域群众反映强烈的突出问题。坚决纠治教辅征订、校服和学生营养餐采购违规谋利等问题，监督“双减”政策措施落实到位；坚决纠治过度医疗、虚假宣传、开单提成、收回扣红包、违规接受宴请等问题；坚决纠治贪占挪用养老金和最低生活保障金等问题；坚决纠治生态环保监管失职失责、整改虚假应付、执法“一刀切”等问题；坚决纠治安全生产责任制不落实、违背安全生产制度、日常监管措施落实不到位等问题；坚决纠治食药品安全监管失察失职等问题；坚决纠治违规行政审批、吃拿卡要、设租寻租等问题，监督推动“央企进满”“大型国企进满”“总部进满”“优秀人才进满”“新技术进满”五大开放行动，努力打造“一流的服务环境，一流的开放环境”。加强对推进乡村振兴情况监督检查。要围绕过渡期加强专项监督，重点监督检查防返贫动态监测和帮扶机制落实不到位等问题，严查化公为私、中饱私囊等行为。要围绕乡村振兴重点项目推进情况加强监督，严查骗项目、套项目、吃项目以及暗箱操作、权钱交易等腐败行为，跟进监督农村产权流转交易市场体系建设，牢牢看住集体资产，维护农民合法权益。要围绕有效衔接中的作风问题加强监督，严查弄虚作假、失职渎职等形式主义、官僚主义问题，督促引导党员干部做到工作不断档，大事不耽误，责任不落空。</w:t>
      </w:r>
    </w:p>
    <w:p>
      <w:pPr>
        <w:pStyle w:val="22"/>
      </w:pPr>
      <w:r>
        <w:t>绩效指标：推进“打伞破网”常态化。巩固深化扫黑除恶专项斗争和政法队伍教育整顿成果，聚焦黑恶问题易发多发的信息网络、自然资源、交通运输、工程建设四大行业领域，深化“惩腐打伞”；聚焦“村霸”“市霸”“砂霸”和黄赌毒以及宗族恶势力，推进“惩腐打伞”；聚焦公安机关已经打掉的黑恶案件，正在侦办、尚未挖出“保护伞”的案件，持续“惩腐打伞”。四要严查基层“微腐败”。要围绕行政执法权、行政审批权、公共管理服务职能，紧盯市场监管、自然资源、税收、民政、财会等关键岗位和重点人员，严查雁过拔毛、截留克扣、吃拿卡要、优亲厚友等“微腐败”。要建立小微权力“监督一点通”服务平台，加强12345“接诉即办”专项监督，</w:t>
      </w:r>
    </w:p>
    <w:p>
      <w:pPr>
        <w:pStyle w:val="22"/>
      </w:pPr>
      <w:r>
        <w:t>5、持续深化监督贯通协同。</w:t>
      </w:r>
    </w:p>
    <w:p>
      <w:pPr>
        <w:pStyle w:val="22"/>
        <w:rPr>
          <w:lang w:eastAsia="zh-CN"/>
        </w:rPr>
      </w:pPr>
      <w:r>
        <w:t>绩效目标：以党内监督为主导，统筹衔接纪律监督、监察监督、派驻监督、巡察监督，贯通融合其他各类监督，推动审计、财政、统计部门的专业力量深度参与巡察、监督检查和审查调查。落实中央巡视要求和省委、市委、区委巡视巡察工作规划，推动巡察机构更好地发挥利剑作用，提升对村、社区巡察实效，协助党委落实巡察主体责任，强化日常监督和专项检查，深化巡视巡察整改和成果运用。二要坚决落实各项改革任务。严格按照中央纪委国家监委和省市纪委监委要求，自上而下，稳妥开展监察官等级确定工作。依法有序推进区监委向区人大常委会报告专项工作。</w:t>
      </w:r>
    </w:p>
    <w:p>
      <w:pPr>
        <w:pStyle w:val="22"/>
      </w:pPr>
      <w:r>
        <w:t>绩效指标：深化派驻机构改革，加强对驻部门机关纪委履职情况的监督指导，促进机关纪委工作规范化、制度化。全面推广“提级监督”有效做法，探索推进智慧贯通监督平台建设。加强区纪委监委对乡镇纪委（监察办公室）、派出机关对派驻机构的领导，健全“室组”联动监督、“室组地”联合办案机制，切实提升监督治理质效。强化基层监督力量建设。充分发挥乡镇纪委监督作用，着力解决“专责不专，职责不聚焦；专业不专，能力跟不上”等问题，确保实现“人员配齐、设施完备、职责专一、业务精湛”。下大力气建好“村纪检委员、监察联络员、村务监督委员会”三支队伍，真正把“最后一公里”的监督作用发挥起来</w:t>
      </w:r>
    </w:p>
    <w:p>
      <w:pPr>
        <w:spacing w:before="10" w:after="10"/>
        <w:ind w:firstLine="560"/>
        <w:outlineLvl w:val="1"/>
      </w:pPr>
      <w:bookmarkStart w:id="20" w:name="_Toc_2_2_0000000003"/>
      <w:r>
        <w:rPr>
          <w:rFonts w:hint="eastAsia" w:ascii="方正黑体_GBK" w:hAnsi="方正黑体_GBK" w:eastAsia="方正黑体_GBK" w:cs="方正黑体_GBK"/>
          <w:b/>
          <w:bCs/>
          <w:color w:val="000000"/>
          <w:sz w:val="30"/>
          <w:szCs w:val="30"/>
        </w:rPr>
        <w:t>（</w:t>
      </w:r>
      <w:r>
        <w:rPr>
          <w:rFonts w:ascii="方正黑体_GBK" w:hAnsi="方正黑体_GBK" w:eastAsia="方正黑体_GBK" w:cs="方正黑体_GBK"/>
          <w:b/>
          <w:bCs/>
          <w:color w:val="000000"/>
          <w:sz w:val="30"/>
          <w:szCs w:val="30"/>
        </w:rPr>
        <w:t>三</w:t>
      </w:r>
      <w:r>
        <w:rPr>
          <w:rFonts w:hint="eastAsia" w:ascii="方正黑体_GBK" w:hAnsi="方正黑体_GBK" w:eastAsia="方正黑体_GBK" w:cs="方正黑体_GBK"/>
          <w:b/>
          <w:bCs/>
          <w:color w:val="000000"/>
          <w:sz w:val="30"/>
          <w:szCs w:val="30"/>
        </w:rPr>
        <w:t>）</w:t>
      </w:r>
      <w:r>
        <w:rPr>
          <w:rFonts w:ascii="方正黑体_GBK" w:hAnsi="方正黑体_GBK" w:eastAsia="方正黑体_GBK" w:cs="方正黑体_GBK"/>
          <w:b/>
          <w:bCs/>
          <w:color w:val="000000"/>
          <w:sz w:val="30"/>
          <w:szCs w:val="30"/>
        </w:rPr>
        <w:t>、工作保障措施</w:t>
      </w:r>
      <w:bookmarkEnd w:id="20"/>
    </w:p>
    <w:p>
      <w:pPr>
        <w:pStyle w:val="23"/>
      </w:pPr>
      <w:r>
        <w:t>1、加强组织领导。定期召开纪委</w:t>
      </w:r>
      <w:r>
        <w:rPr>
          <w:rFonts w:hint="eastAsia"/>
          <w:lang w:eastAsia="zh-CN"/>
        </w:rPr>
        <w:t>常委会会议</w:t>
      </w:r>
      <w:r>
        <w:t>、专题会议，调度工作进展，不断完善制度建设。制定了完善的预算绩效管理制度、资金管理办法、工作保障制度等，为全年预算绩效目标的实现奠定制度基础。</w:t>
      </w:r>
    </w:p>
    <w:p>
      <w:pPr>
        <w:pStyle w:val="23"/>
      </w:pPr>
      <w:r>
        <w:t>2、加强支出管理。通过优化支出结构、编细编实预算。按规定及时下达资金等多种措施确保支出进度达标。</w:t>
      </w:r>
    </w:p>
    <w:p>
      <w:pPr>
        <w:pStyle w:val="23"/>
      </w:pPr>
      <w:r>
        <w:t>3、加强绩效运行监控。按要求开展绩效运行监控，发现问题及时采取措施，确保绩效目标如期保质实现。</w:t>
      </w:r>
    </w:p>
    <w:p>
      <w:pPr>
        <w:pStyle w:val="23"/>
      </w:pPr>
      <w:r>
        <w:t>4、做好绩效自评。按要求开展上年度部门预算绩效自评和重点评价工作，对评价中发现的问题及时整改，调整优化支出结构，提高财政资金使用效益。</w:t>
      </w:r>
    </w:p>
    <w:p>
      <w:pPr>
        <w:pStyle w:val="23"/>
        <w:rPr>
          <w:lang w:eastAsia="zh-CN"/>
        </w:rPr>
      </w:pPr>
      <w:r>
        <w:t>5、规范财务资产管理。完善财务管理制度，严格审批程序，加强固定资产登记、使用和报废处置管理，做到支出合理，物尽其用。</w:t>
      </w:r>
    </w:p>
    <w:p>
      <w:pPr>
        <w:pStyle w:val="23"/>
      </w:pPr>
      <w: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rPr>
          <w:lang w:eastAsia="zh-CN"/>
        </w:rPr>
      </w:pPr>
      <w:r>
        <w:t>7、加强宣传培训调研等。加强人员培训，提高本部门职工业务素质；加强调研，提出优化财政资金配置、提高资金使用效益的意见；加大宣传力度，强化预算绩效管理意识，促进预算绩效管理水平进一步提升。</w:t>
      </w:r>
    </w:p>
    <w:p/>
    <w:p>
      <w:pPr>
        <w:pStyle w:val="3"/>
        <w:tabs>
          <w:tab w:val="left" w:pos="2959"/>
        </w:tabs>
        <w:spacing w:line="455" w:lineRule="exact"/>
        <w:ind w:left="0" w:firstLine="5443" w:firstLineChars="1700"/>
      </w:pPr>
      <w:r>
        <w:t>第二部分</w:t>
      </w:r>
      <w:r>
        <w:tab/>
      </w:r>
      <w:r>
        <w:t>预算项目绩效目标</w:t>
      </w:r>
    </w:p>
    <w:p>
      <w:pPr>
        <w:ind w:firstLine="1400" w:firstLineChars="500"/>
        <w:outlineLvl w:val="3"/>
        <w:rPr>
          <w:rFonts w:ascii="方正仿宋_GBK" w:hAnsi="方正仿宋_GBK" w:eastAsia="方正仿宋_GBK" w:cs="方正仿宋_GBK"/>
          <w:color w:val="000000"/>
          <w:sz w:val="28"/>
        </w:rPr>
      </w:pPr>
      <w:bookmarkStart w:id="21" w:name="_Toc_4_4_0000000004"/>
    </w:p>
    <w:p>
      <w:pPr>
        <w:ind w:firstLine="1405" w:firstLineChars="500"/>
        <w:outlineLvl w:val="3"/>
        <w:rPr>
          <w:b/>
          <w:bCs/>
        </w:rPr>
      </w:pPr>
      <w:r>
        <w:rPr>
          <w:rFonts w:ascii="方正仿宋_GBK" w:hAnsi="方正仿宋_GBK" w:eastAsia="方正仿宋_GBK" w:cs="方正仿宋_GBK"/>
          <w:b/>
          <w:bCs/>
          <w:color w:val="000000"/>
          <w:sz w:val="28"/>
        </w:rPr>
        <w:t>1.</w:t>
      </w:r>
      <w:r>
        <w:rPr>
          <w:rFonts w:hint="eastAsia" w:ascii="方正仿宋_GBK" w:hAnsi="方正仿宋_GBK" w:eastAsia="方正仿宋_GBK" w:cs="方正仿宋_GBK"/>
          <w:b/>
          <w:bCs/>
          <w:color w:val="000000"/>
          <w:sz w:val="28"/>
          <w:lang w:eastAsia="zh-CN"/>
        </w:rPr>
        <w:t>内网系统</w:t>
      </w:r>
      <w:r>
        <w:rPr>
          <w:rFonts w:ascii="方正仿宋_GBK" w:hAnsi="方正仿宋_GBK" w:eastAsia="方正仿宋_GBK" w:cs="方正仿宋_GBK"/>
          <w:b/>
          <w:bCs/>
          <w:color w:val="000000"/>
          <w:sz w:val="28"/>
        </w:rPr>
        <w:t>工作经费（运转保障）绩效目标表</w:t>
      </w:r>
      <w:bookmarkEnd w:id="21"/>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pPr>
            <w:r>
              <w:t>222001中国共产党满城区纪律检查委员会</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项目编码</w:t>
            </w:r>
          </w:p>
        </w:tc>
        <w:tc>
          <w:tcPr>
            <w:tcW w:w="2608" w:type="dxa"/>
            <w:gridSpan w:val="2"/>
            <w:vAlign w:val="center"/>
          </w:tcPr>
          <w:p>
            <w:pPr>
              <w:pStyle w:val="26"/>
            </w:pPr>
            <w:r>
              <w:t>13062122P00495510003Q</w:t>
            </w:r>
          </w:p>
        </w:tc>
        <w:tc>
          <w:tcPr>
            <w:tcW w:w="1587" w:type="dxa"/>
            <w:vAlign w:val="center"/>
          </w:tcPr>
          <w:p>
            <w:pPr>
              <w:pStyle w:val="27"/>
            </w:pPr>
            <w:r>
              <w:t>项目名称</w:t>
            </w:r>
          </w:p>
        </w:tc>
        <w:tc>
          <w:tcPr>
            <w:tcW w:w="4422" w:type="dxa"/>
            <w:gridSpan w:val="3"/>
            <w:vAlign w:val="center"/>
          </w:tcPr>
          <w:p>
            <w:pPr>
              <w:pStyle w:val="26"/>
            </w:pPr>
            <w:r>
              <w:rPr>
                <w:rFonts w:hint="eastAsia"/>
                <w:lang w:eastAsia="zh-CN"/>
              </w:rPr>
              <w:t>内网系统</w:t>
            </w:r>
            <w:r>
              <w:t>工作经费（运转保障）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预算规模及资金用途</w:t>
            </w:r>
          </w:p>
        </w:tc>
        <w:tc>
          <w:tcPr>
            <w:tcW w:w="1276" w:type="dxa"/>
            <w:vAlign w:val="center"/>
          </w:tcPr>
          <w:p>
            <w:pPr>
              <w:pStyle w:val="27"/>
            </w:pPr>
            <w:r>
              <w:t>预算数</w:t>
            </w:r>
          </w:p>
        </w:tc>
        <w:tc>
          <w:tcPr>
            <w:tcW w:w="1332" w:type="dxa"/>
            <w:vAlign w:val="center"/>
          </w:tcPr>
          <w:p>
            <w:pPr>
              <w:pStyle w:val="26"/>
            </w:pPr>
            <w:r>
              <w:t>29.00</w:t>
            </w:r>
          </w:p>
        </w:tc>
        <w:tc>
          <w:tcPr>
            <w:tcW w:w="1587" w:type="dxa"/>
            <w:vAlign w:val="center"/>
          </w:tcPr>
          <w:p>
            <w:pPr>
              <w:pStyle w:val="27"/>
            </w:pPr>
            <w:r>
              <w:t>其中：财政    资金</w:t>
            </w:r>
          </w:p>
        </w:tc>
        <w:tc>
          <w:tcPr>
            <w:tcW w:w="1304" w:type="dxa"/>
            <w:vAlign w:val="center"/>
          </w:tcPr>
          <w:p>
            <w:pPr>
              <w:pStyle w:val="26"/>
            </w:pPr>
            <w:r>
              <w:t>29.00</w:t>
            </w:r>
          </w:p>
        </w:tc>
        <w:tc>
          <w:tcPr>
            <w:tcW w:w="1276" w:type="dxa"/>
            <w:vAlign w:val="center"/>
          </w:tcPr>
          <w:p>
            <w:pPr>
              <w:pStyle w:val="27"/>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rPr>
                <w:rFonts w:hint="eastAsia"/>
                <w:lang w:eastAsia="zh-CN"/>
              </w:rPr>
              <w:t>内网系统</w:t>
            </w:r>
            <w:r>
              <w:t>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资金支出计划（%）</w:t>
            </w:r>
          </w:p>
        </w:tc>
        <w:tc>
          <w:tcPr>
            <w:tcW w:w="2608" w:type="dxa"/>
            <w:gridSpan w:val="2"/>
            <w:vAlign w:val="center"/>
          </w:tcPr>
          <w:p>
            <w:pPr>
              <w:pStyle w:val="27"/>
            </w:pPr>
            <w:r>
              <w:t>3月底</w:t>
            </w:r>
          </w:p>
        </w:tc>
        <w:tc>
          <w:tcPr>
            <w:tcW w:w="1587" w:type="dxa"/>
            <w:vAlign w:val="center"/>
          </w:tcPr>
          <w:p>
            <w:pPr>
              <w:pStyle w:val="27"/>
            </w:pPr>
            <w:r>
              <w:t>6月底</w:t>
            </w:r>
          </w:p>
        </w:tc>
        <w:tc>
          <w:tcPr>
            <w:tcW w:w="1304" w:type="dxa"/>
            <w:vAlign w:val="center"/>
          </w:tcPr>
          <w:p>
            <w:pPr>
              <w:pStyle w:val="27"/>
            </w:pPr>
            <w:r>
              <w:t>10月底</w:t>
            </w:r>
          </w:p>
        </w:tc>
        <w:tc>
          <w:tcPr>
            <w:tcW w:w="3118" w:type="dxa"/>
            <w:gridSpan w:val="2"/>
            <w:vAlign w:val="center"/>
          </w:tcPr>
          <w:p>
            <w:pPr>
              <w:pStyle w:val="2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100%</w:t>
            </w:r>
          </w:p>
        </w:tc>
        <w:tc>
          <w:tcPr>
            <w:tcW w:w="1587" w:type="dxa"/>
            <w:vAlign w:val="center"/>
          </w:tcPr>
          <w:p>
            <w:pPr>
              <w:pStyle w:val="28"/>
            </w:pPr>
            <w:r>
              <w:t xml:space="preserve"> </w:t>
            </w:r>
          </w:p>
        </w:tc>
        <w:tc>
          <w:tcPr>
            <w:tcW w:w="1304" w:type="dxa"/>
            <w:vAlign w:val="center"/>
          </w:tcPr>
          <w:p>
            <w:pPr>
              <w:pStyle w:val="28"/>
            </w:pPr>
            <w:r>
              <w:t xml:space="preserve"> </w:t>
            </w:r>
          </w:p>
        </w:tc>
        <w:tc>
          <w:tcPr>
            <w:tcW w:w="3118" w:type="dxa"/>
            <w:gridSpan w:val="2"/>
            <w:vAlign w:val="center"/>
          </w:tcPr>
          <w:p>
            <w:pPr>
              <w:pStyle w:val="2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绩效目标</w:t>
            </w:r>
          </w:p>
        </w:tc>
        <w:tc>
          <w:tcPr>
            <w:tcW w:w="8617" w:type="dxa"/>
            <w:gridSpan w:val="6"/>
            <w:vAlign w:val="center"/>
          </w:tcPr>
          <w:p>
            <w:pPr>
              <w:pStyle w:val="26"/>
            </w:pPr>
            <w:r>
              <w:t>1.</w:t>
            </w:r>
            <w:r>
              <w:rPr>
                <w:rFonts w:hint="eastAsia"/>
                <w:lang w:eastAsia="zh-CN"/>
              </w:rPr>
              <w:t>内网系统</w:t>
            </w:r>
            <w:r>
              <w:t>工程正常使用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7"/>
            </w:pPr>
            <w:r>
              <w:t>一级指标</w:t>
            </w:r>
          </w:p>
        </w:tc>
        <w:tc>
          <w:tcPr>
            <w:tcW w:w="1276" w:type="dxa"/>
            <w:vAlign w:val="center"/>
          </w:tcPr>
          <w:p>
            <w:pPr>
              <w:pStyle w:val="27"/>
            </w:pPr>
            <w:r>
              <w:t>二级指标</w:t>
            </w:r>
          </w:p>
        </w:tc>
        <w:tc>
          <w:tcPr>
            <w:tcW w:w="1332" w:type="dxa"/>
            <w:vAlign w:val="center"/>
          </w:tcPr>
          <w:p>
            <w:pPr>
              <w:pStyle w:val="27"/>
            </w:pPr>
            <w:r>
              <w:t>三级指标</w:t>
            </w:r>
          </w:p>
        </w:tc>
        <w:tc>
          <w:tcPr>
            <w:tcW w:w="2891" w:type="dxa"/>
            <w:vAlign w:val="center"/>
          </w:tcPr>
          <w:p>
            <w:pPr>
              <w:pStyle w:val="27"/>
            </w:pPr>
            <w:r>
              <w:t>绩效指标描述</w:t>
            </w:r>
          </w:p>
        </w:tc>
        <w:tc>
          <w:tcPr>
            <w:tcW w:w="1276" w:type="dxa"/>
            <w:vAlign w:val="center"/>
          </w:tcPr>
          <w:p>
            <w:pPr>
              <w:pStyle w:val="27"/>
            </w:pPr>
            <w:r>
              <w:t>指标值</w:t>
            </w:r>
          </w:p>
        </w:tc>
        <w:tc>
          <w:tcPr>
            <w:tcW w:w="1843"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6"/>
            </w:pPr>
            <w:r>
              <w:t>数量指标</w:t>
            </w:r>
          </w:p>
        </w:tc>
        <w:tc>
          <w:tcPr>
            <w:tcW w:w="1332" w:type="dxa"/>
            <w:vAlign w:val="center"/>
          </w:tcPr>
          <w:p>
            <w:pPr>
              <w:pStyle w:val="26"/>
            </w:pPr>
            <w:r>
              <w:t>购买数量</w:t>
            </w:r>
          </w:p>
        </w:tc>
        <w:tc>
          <w:tcPr>
            <w:tcW w:w="2891" w:type="dxa"/>
            <w:vAlign w:val="center"/>
          </w:tcPr>
          <w:p>
            <w:pPr>
              <w:pStyle w:val="26"/>
            </w:pPr>
            <w:r>
              <w:t>购买</w:t>
            </w:r>
            <w:r>
              <w:rPr>
                <w:rFonts w:hint="eastAsia"/>
                <w:lang w:eastAsia="zh-CN"/>
              </w:rPr>
              <w:t>内网系统</w:t>
            </w:r>
            <w:r>
              <w:t>系统数量</w:t>
            </w:r>
          </w:p>
        </w:tc>
        <w:tc>
          <w:tcPr>
            <w:tcW w:w="1276" w:type="dxa"/>
            <w:vAlign w:val="center"/>
          </w:tcPr>
          <w:p>
            <w:pPr>
              <w:pStyle w:val="26"/>
            </w:pPr>
            <w:r>
              <w:t>18套</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购买质量</w:t>
            </w:r>
          </w:p>
        </w:tc>
        <w:tc>
          <w:tcPr>
            <w:tcW w:w="2891" w:type="dxa"/>
            <w:vAlign w:val="center"/>
          </w:tcPr>
          <w:p>
            <w:pPr>
              <w:pStyle w:val="26"/>
            </w:pPr>
            <w:r>
              <w:t>质量符合上级要求</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购买时间</w:t>
            </w:r>
          </w:p>
        </w:tc>
        <w:tc>
          <w:tcPr>
            <w:tcW w:w="2891" w:type="dxa"/>
            <w:vAlign w:val="center"/>
          </w:tcPr>
          <w:p>
            <w:pPr>
              <w:pStyle w:val="26"/>
            </w:pPr>
            <w:r>
              <w:t>按照省市纪委要求按期完成</w:t>
            </w:r>
          </w:p>
        </w:tc>
        <w:tc>
          <w:tcPr>
            <w:tcW w:w="1276" w:type="dxa"/>
            <w:vAlign w:val="center"/>
          </w:tcPr>
          <w:p>
            <w:pPr>
              <w:pStyle w:val="26"/>
            </w:pPr>
            <w:r>
              <w:t>按期完成</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6"/>
            </w:pPr>
            <w:r>
              <w:t>社会效益指标</w:t>
            </w:r>
          </w:p>
        </w:tc>
        <w:tc>
          <w:tcPr>
            <w:tcW w:w="1332" w:type="dxa"/>
            <w:vAlign w:val="center"/>
          </w:tcPr>
          <w:p>
            <w:pPr>
              <w:pStyle w:val="26"/>
            </w:pPr>
            <w:r>
              <w:t>工作实施率</w:t>
            </w:r>
          </w:p>
        </w:tc>
        <w:tc>
          <w:tcPr>
            <w:tcW w:w="2891" w:type="dxa"/>
            <w:vAlign w:val="center"/>
          </w:tcPr>
          <w:p>
            <w:pPr>
              <w:pStyle w:val="26"/>
            </w:pPr>
            <w:r>
              <w:t>保障各项工作有效实施率（%）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服务水平</w:t>
            </w:r>
          </w:p>
        </w:tc>
        <w:tc>
          <w:tcPr>
            <w:tcW w:w="2891" w:type="dxa"/>
            <w:vAlign w:val="center"/>
          </w:tcPr>
          <w:p>
            <w:pPr>
              <w:pStyle w:val="26"/>
            </w:pPr>
            <w:r>
              <w:t>提升机关服务水平</w:t>
            </w:r>
          </w:p>
        </w:tc>
        <w:tc>
          <w:tcPr>
            <w:tcW w:w="1276" w:type="dxa"/>
            <w:vAlign w:val="center"/>
          </w:tcPr>
          <w:p>
            <w:pPr>
              <w:pStyle w:val="26"/>
            </w:pPr>
            <w:r>
              <w:t>提高</w:t>
            </w:r>
          </w:p>
        </w:tc>
        <w:tc>
          <w:tcPr>
            <w:tcW w:w="1843" w:type="dxa"/>
            <w:vAlign w:val="center"/>
          </w:tcPr>
          <w:p>
            <w:pPr>
              <w:pStyle w:val="26"/>
            </w:pPr>
            <w:r>
              <w:t>工作需要</w:t>
            </w:r>
          </w:p>
        </w:tc>
      </w:tr>
    </w:tbl>
    <w:p>
      <w:pPr>
        <w:sectPr>
          <w:pgSz w:w="16840" w:h="11900" w:orient="landscape"/>
          <w:pgMar w:top="1304" w:right="1984" w:bottom="1304" w:left="1134" w:header="720" w:footer="720" w:gutter="0"/>
          <w:cols w:space="720" w:num="1"/>
          <w:docGrid w:linePitch="326" w:charSpace="0"/>
        </w:sectPr>
      </w:pPr>
    </w:p>
    <w:p>
      <w:pPr>
        <w:ind w:firstLine="1405" w:firstLineChars="500"/>
        <w:outlineLvl w:val="3"/>
        <w:rPr>
          <w:b/>
          <w:bCs/>
        </w:rPr>
      </w:pPr>
      <w:bookmarkStart w:id="22" w:name="_Toc_4_4_0000000005"/>
      <w:r>
        <w:rPr>
          <w:rFonts w:ascii="方正仿宋_GBK" w:hAnsi="方正仿宋_GBK" w:eastAsia="方正仿宋_GBK" w:cs="方正仿宋_GBK"/>
          <w:b/>
          <w:bCs/>
          <w:color w:val="000000"/>
          <w:sz w:val="28"/>
        </w:rPr>
        <w:t>2.公用经费（运转保障）绩效目标表</w:t>
      </w:r>
      <w:bookmarkEnd w:id="22"/>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pPr>
            <w:r>
              <w:t>222001中国共产党满城区纪律检查委员会</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项目编码</w:t>
            </w:r>
          </w:p>
        </w:tc>
        <w:tc>
          <w:tcPr>
            <w:tcW w:w="2608" w:type="dxa"/>
            <w:gridSpan w:val="2"/>
            <w:vAlign w:val="center"/>
          </w:tcPr>
          <w:p>
            <w:pPr>
              <w:pStyle w:val="26"/>
            </w:pPr>
            <w:r>
              <w:t>13062122P00495510001H</w:t>
            </w:r>
          </w:p>
        </w:tc>
        <w:tc>
          <w:tcPr>
            <w:tcW w:w="1587" w:type="dxa"/>
            <w:vAlign w:val="center"/>
          </w:tcPr>
          <w:p>
            <w:pPr>
              <w:pStyle w:val="27"/>
            </w:pPr>
            <w:r>
              <w:t>项目名称</w:t>
            </w:r>
          </w:p>
        </w:tc>
        <w:tc>
          <w:tcPr>
            <w:tcW w:w="4422" w:type="dxa"/>
            <w:gridSpan w:val="3"/>
            <w:vAlign w:val="center"/>
          </w:tcPr>
          <w:p>
            <w:pPr>
              <w:pStyle w:val="26"/>
            </w:pPr>
            <w:r>
              <w:t>公用经费（运转保障）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预算规模及资金用途</w:t>
            </w:r>
          </w:p>
        </w:tc>
        <w:tc>
          <w:tcPr>
            <w:tcW w:w="1276" w:type="dxa"/>
            <w:vAlign w:val="center"/>
          </w:tcPr>
          <w:p>
            <w:pPr>
              <w:pStyle w:val="27"/>
            </w:pPr>
            <w:r>
              <w:t>预算数</w:t>
            </w:r>
          </w:p>
        </w:tc>
        <w:tc>
          <w:tcPr>
            <w:tcW w:w="1332" w:type="dxa"/>
            <w:vAlign w:val="center"/>
          </w:tcPr>
          <w:p>
            <w:pPr>
              <w:pStyle w:val="26"/>
            </w:pPr>
            <w:r>
              <w:t>146.74</w:t>
            </w:r>
          </w:p>
        </w:tc>
        <w:tc>
          <w:tcPr>
            <w:tcW w:w="1587" w:type="dxa"/>
            <w:vAlign w:val="center"/>
          </w:tcPr>
          <w:p>
            <w:pPr>
              <w:pStyle w:val="27"/>
            </w:pPr>
            <w:r>
              <w:t>其中：财政    资金</w:t>
            </w:r>
          </w:p>
        </w:tc>
        <w:tc>
          <w:tcPr>
            <w:tcW w:w="1304" w:type="dxa"/>
            <w:vAlign w:val="center"/>
          </w:tcPr>
          <w:p>
            <w:pPr>
              <w:pStyle w:val="26"/>
            </w:pPr>
            <w:r>
              <w:t>146.74</w:t>
            </w:r>
          </w:p>
        </w:tc>
        <w:tc>
          <w:tcPr>
            <w:tcW w:w="1276" w:type="dxa"/>
            <w:vAlign w:val="center"/>
          </w:tcPr>
          <w:p>
            <w:pPr>
              <w:pStyle w:val="27"/>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机关办案公用经费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资金支出计划（%）</w:t>
            </w:r>
          </w:p>
        </w:tc>
        <w:tc>
          <w:tcPr>
            <w:tcW w:w="2608" w:type="dxa"/>
            <w:gridSpan w:val="2"/>
            <w:vAlign w:val="center"/>
          </w:tcPr>
          <w:p>
            <w:pPr>
              <w:pStyle w:val="27"/>
            </w:pPr>
            <w:r>
              <w:t>3月底</w:t>
            </w:r>
          </w:p>
        </w:tc>
        <w:tc>
          <w:tcPr>
            <w:tcW w:w="1587" w:type="dxa"/>
            <w:vAlign w:val="center"/>
          </w:tcPr>
          <w:p>
            <w:pPr>
              <w:pStyle w:val="27"/>
            </w:pPr>
            <w:r>
              <w:t>6月底</w:t>
            </w:r>
          </w:p>
        </w:tc>
        <w:tc>
          <w:tcPr>
            <w:tcW w:w="1304" w:type="dxa"/>
            <w:vAlign w:val="center"/>
          </w:tcPr>
          <w:p>
            <w:pPr>
              <w:pStyle w:val="27"/>
            </w:pPr>
            <w:r>
              <w:t>10月底</w:t>
            </w:r>
          </w:p>
        </w:tc>
        <w:tc>
          <w:tcPr>
            <w:tcW w:w="3118" w:type="dxa"/>
            <w:gridSpan w:val="2"/>
            <w:vAlign w:val="center"/>
          </w:tcPr>
          <w:p>
            <w:pPr>
              <w:pStyle w:val="2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25%</w:t>
            </w:r>
          </w:p>
        </w:tc>
        <w:tc>
          <w:tcPr>
            <w:tcW w:w="1587" w:type="dxa"/>
            <w:vAlign w:val="center"/>
          </w:tcPr>
          <w:p>
            <w:pPr>
              <w:pStyle w:val="28"/>
            </w:pPr>
            <w:r>
              <w:t>50%</w:t>
            </w:r>
          </w:p>
        </w:tc>
        <w:tc>
          <w:tcPr>
            <w:tcW w:w="1304" w:type="dxa"/>
            <w:vAlign w:val="center"/>
          </w:tcPr>
          <w:p>
            <w:pPr>
              <w:pStyle w:val="28"/>
            </w:pPr>
            <w:r>
              <w:t>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绩效目标</w:t>
            </w:r>
          </w:p>
        </w:tc>
        <w:tc>
          <w:tcPr>
            <w:tcW w:w="8617" w:type="dxa"/>
            <w:gridSpan w:val="6"/>
            <w:vAlign w:val="center"/>
          </w:tcPr>
          <w:p>
            <w:pPr>
              <w:pStyle w:val="26"/>
            </w:pPr>
            <w:r>
              <w:t>1.保障机关办案工作正常开展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7"/>
            </w:pPr>
            <w:r>
              <w:t>一级指标</w:t>
            </w:r>
          </w:p>
        </w:tc>
        <w:tc>
          <w:tcPr>
            <w:tcW w:w="1276" w:type="dxa"/>
            <w:vAlign w:val="center"/>
          </w:tcPr>
          <w:p>
            <w:pPr>
              <w:pStyle w:val="27"/>
            </w:pPr>
            <w:r>
              <w:t>二级指标</w:t>
            </w:r>
          </w:p>
        </w:tc>
        <w:tc>
          <w:tcPr>
            <w:tcW w:w="1332" w:type="dxa"/>
            <w:vAlign w:val="center"/>
          </w:tcPr>
          <w:p>
            <w:pPr>
              <w:pStyle w:val="27"/>
            </w:pPr>
            <w:r>
              <w:t>三级指标</w:t>
            </w:r>
          </w:p>
        </w:tc>
        <w:tc>
          <w:tcPr>
            <w:tcW w:w="2891" w:type="dxa"/>
            <w:vAlign w:val="center"/>
          </w:tcPr>
          <w:p>
            <w:pPr>
              <w:pStyle w:val="27"/>
            </w:pPr>
            <w:r>
              <w:t>绩效指标描述</w:t>
            </w:r>
          </w:p>
        </w:tc>
        <w:tc>
          <w:tcPr>
            <w:tcW w:w="1276" w:type="dxa"/>
            <w:vAlign w:val="center"/>
          </w:tcPr>
          <w:p>
            <w:pPr>
              <w:pStyle w:val="27"/>
            </w:pPr>
            <w:r>
              <w:t>指标值</w:t>
            </w:r>
          </w:p>
        </w:tc>
        <w:tc>
          <w:tcPr>
            <w:tcW w:w="1843"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6"/>
            </w:pPr>
            <w:r>
              <w:t>数量指标</w:t>
            </w:r>
          </w:p>
        </w:tc>
        <w:tc>
          <w:tcPr>
            <w:tcW w:w="1332" w:type="dxa"/>
            <w:vAlign w:val="center"/>
          </w:tcPr>
          <w:p>
            <w:pPr>
              <w:pStyle w:val="26"/>
            </w:pPr>
            <w:r>
              <w:t>单位数</w:t>
            </w:r>
          </w:p>
        </w:tc>
        <w:tc>
          <w:tcPr>
            <w:tcW w:w="2891" w:type="dxa"/>
            <w:vAlign w:val="center"/>
          </w:tcPr>
          <w:p>
            <w:pPr>
              <w:pStyle w:val="26"/>
            </w:pPr>
            <w:r>
              <w:t>使用公用经费的单位数</w:t>
            </w:r>
          </w:p>
        </w:tc>
        <w:tc>
          <w:tcPr>
            <w:tcW w:w="1276" w:type="dxa"/>
            <w:vAlign w:val="center"/>
          </w:tcPr>
          <w:p>
            <w:pPr>
              <w:pStyle w:val="26"/>
            </w:pPr>
            <w:r>
              <w:t>1个</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案件办结率</w:t>
            </w:r>
          </w:p>
        </w:tc>
        <w:tc>
          <w:tcPr>
            <w:tcW w:w="2891" w:type="dxa"/>
            <w:vAlign w:val="center"/>
          </w:tcPr>
          <w:p>
            <w:pPr>
              <w:pStyle w:val="26"/>
            </w:pPr>
            <w:r>
              <w:t>重点案件办结率（%）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经费支出</w:t>
            </w:r>
          </w:p>
        </w:tc>
        <w:tc>
          <w:tcPr>
            <w:tcW w:w="2891" w:type="dxa"/>
            <w:vAlign w:val="center"/>
          </w:tcPr>
          <w:p>
            <w:pPr>
              <w:pStyle w:val="26"/>
            </w:pPr>
            <w:r>
              <w:t>公用经费支出周期</w:t>
            </w:r>
          </w:p>
        </w:tc>
        <w:tc>
          <w:tcPr>
            <w:tcW w:w="1276" w:type="dxa"/>
            <w:vAlign w:val="center"/>
          </w:tcPr>
          <w:p>
            <w:pPr>
              <w:pStyle w:val="26"/>
            </w:pPr>
            <w:r>
              <w:t>2022年1-12月</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6"/>
            </w:pPr>
            <w:r>
              <w:t>社会效益指标</w:t>
            </w:r>
          </w:p>
        </w:tc>
        <w:tc>
          <w:tcPr>
            <w:tcW w:w="1332" w:type="dxa"/>
            <w:vAlign w:val="center"/>
          </w:tcPr>
          <w:p>
            <w:pPr>
              <w:pStyle w:val="26"/>
            </w:pPr>
            <w:r>
              <w:t>工作实施率（%）</w:t>
            </w:r>
          </w:p>
        </w:tc>
        <w:tc>
          <w:tcPr>
            <w:tcW w:w="2891" w:type="dxa"/>
            <w:vAlign w:val="center"/>
          </w:tcPr>
          <w:p>
            <w:pPr>
              <w:pStyle w:val="26"/>
            </w:pPr>
            <w:r>
              <w:t>保障办案工作有效实施率（%）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服务水平</w:t>
            </w:r>
          </w:p>
        </w:tc>
        <w:tc>
          <w:tcPr>
            <w:tcW w:w="2891" w:type="dxa"/>
            <w:vAlign w:val="center"/>
          </w:tcPr>
          <w:p>
            <w:pPr>
              <w:pStyle w:val="26"/>
            </w:pPr>
            <w:r>
              <w:t>提升机关服务水平</w:t>
            </w:r>
          </w:p>
        </w:tc>
        <w:tc>
          <w:tcPr>
            <w:tcW w:w="1276" w:type="dxa"/>
            <w:vAlign w:val="center"/>
          </w:tcPr>
          <w:p>
            <w:pPr>
              <w:pStyle w:val="26"/>
            </w:pPr>
            <w:r>
              <w:t>提高</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服务对象满意度（%）</w:t>
            </w:r>
          </w:p>
        </w:tc>
        <w:tc>
          <w:tcPr>
            <w:tcW w:w="1276" w:type="dxa"/>
            <w:vAlign w:val="center"/>
          </w:tcPr>
          <w:p>
            <w:pPr>
              <w:pStyle w:val="26"/>
            </w:pPr>
            <w:r>
              <w:t>≤100%</w:t>
            </w:r>
          </w:p>
        </w:tc>
        <w:tc>
          <w:tcPr>
            <w:tcW w:w="1843" w:type="dxa"/>
            <w:vAlign w:val="center"/>
          </w:tcPr>
          <w:p>
            <w:pPr>
              <w:pStyle w:val="26"/>
            </w:pPr>
            <w:r>
              <w:t>工作需要</w:t>
            </w:r>
          </w:p>
        </w:tc>
      </w:tr>
    </w:tbl>
    <w:p>
      <w:pPr>
        <w:sectPr>
          <w:pgSz w:w="16840" w:h="11900" w:orient="landscape"/>
          <w:pgMar w:top="1304" w:right="1984" w:bottom="1304" w:left="1134" w:header="720" w:footer="720" w:gutter="0"/>
          <w:cols w:space="720" w:num="1"/>
          <w:docGrid w:linePitch="326" w:charSpace="0"/>
        </w:sectPr>
      </w:pPr>
    </w:p>
    <w:p>
      <w:pPr>
        <w:ind w:firstLine="1546" w:firstLineChars="550"/>
        <w:outlineLvl w:val="3"/>
        <w:rPr>
          <w:b/>
          <w:bCs/>
        </w:rPr>
      </w:pPr>
      <w:bookmarkStart w:id="23" w:name="_Toc_4_4_0000000006"/>
      <w:r>
        <w:rPr>
          <w:rFonts w:ascii="方正仿宋_GBK" w:hAnsi="方正仿宋_GBK" w:eastAsia="方正仿宋_GBK" w:cs="方正仿宋_GBK"/>
          <w:b/>
          <w:bCs/>
          <w:color w:val="000000"/>
          <w:sz w:val="28"/>
        </w:rPr>
        <w:t>3.乡镇纪委日常办案及工作经费（运转保障）绩效目标表</w:t>
      </w:r>
      <w:bookmarkEnd w:id="23"/>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pPr>
            <w:r>
              <w:t>222001中国共产党满城区纪律检查委员会</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项目编码</w:t>
            </w:r>
          </w:p>
        </w:tc>
        <w:tc>
          <w:tcPr>
            <w:tcW w:w="2608" w:type="dxa"/>
            <w:gridSpan w:val="2"/>
            <w:vAlign w:val="center"/>
          </w:tcPr>
          <w:p>
            <w:pPr>
              <w:pStyle w:val="26"/>
            </w:pPr>
            <w:r>
              <w:t>13062122P004955100025</w:t>
            </w:r>
          </w:p>
        </w:tc>
        <w:tc>
          <w:tcPr>
            <w:tcW w:w="1587" w:type="dxa"/>
            <w:vAlign w:val="center"/>
          </w:tcPr>
          <w:p>
            <w:pPr>
              <w:pStyle w:val="27"/>
            </w:pPr>
            <w:r>
              <w:t>项目名称</w:t>
            </w:r>
          </w:p>
        </w:tc>
        <w:tc>
          <w:tcPr>
            <w:tcW w:w="4422" w:type="dxa"/>
            <w:gridSpan w:val="3"/>
            <w:vAlign w:val="center"/>
          </w:tcPr>
          <w:p>
            <w:pPr>
              <w:pStyle w:val="26"/>
            </w:pPr>
            <w:r>
              <w:t>乡镇纪委日常办案及工作经费（运转保障）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预算规模及资金用途</w:t>
            </w:r>
          </w:p>
        </w:tc>
        <w:tc>
          <w:tcPr>
            <w:tcW w:w="1276" w:type="dxa"/>
            <w:vAlign w:val="center"/>
          </w:tcPr>
          <w:p>
            <w:pPr>
              <w:pStyle w:val="27"/>
            </w:pPr>
            <w:r>
              <w:t>预算数</w:t>
            </w:r>
          </w:p>
        </w:tc>
        <w:tc>
          <w:tcPr>
            <w:tcW w:w="1332" w:type="dxa"/>
            <w:vAlign w:val="center"/>
          </w:tcPr>
          <w:p>
            <w:pPr>
              <w:pStyle w:val="26"/>
            </w:pPr>
            <w:r>
              <w:t>72.60</w:t>
            </w:r>
          </w:p>
        </w:tc>
        <w:tc>
          <w:tcPr>
            <w:tcW w:w="1587" w:type="dxa"/>
            <w:vAlign w:val="center"/>
          </w:tcPr>
          <w:p>
            <w:pPr>
              <w:pStyle w:val="27"/>
            </w:pPr>
            <w:r>
              <w:t>其中：财政    资金</w:t>
            </w:r>
          </w:p>
        </w:tc>
        <w:tc>
          <w:tcPr>
            <w:tcW w:w="1304" w:type="dxa"/>
            <w:vAlign w:val="center"/>
          </w:tcPr>
          <w:p>
            <w:pPr>
              <w:pStyle w:val="26"/>
            </w:pPr>
            <w:r>
              <w:t>72.60</w:t>
            </w:r>
          </w:p>
        </w:tc>
        <w:tc>
          <w:tcPr>
            <w:tcW w:w="1276" w:type="dxa"/>
            <w:vAlign w:val="center"/>
          </w:tcPr>
          <w:p>
            <w:pPr>
              <w:pStyle w:val="27"/>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乡镇纪委日常办案工作正常开展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资金支出计划（%）</w:t>
            </w:r>
          </w:p>
        </w:tc>
        <w:tc>
          <w:tcPr>
            <w:tcW w:w="2608" w:type="dxa"/>
            <w:gridSpan w:val="2"/>
            <w:vAlign w:val="center"/>
          </w:tcPr>
          <w:p>
            <w:pPr>
              <w:pStyle w:val="27"/>
            </w:pPr>
            <w:r>
              <w:t>3月底</w:t>
            </w:r>
          </w:p>
        </w:tc>
        <w:tc>
          <w:tcPr>
            <w:tcW w:w="1587" w:type="dxa"/>
            <w:vAlign w:val="center"/>
          </w:tcPr>
          <w:p>
            <w:pPr>
              <w:pStyle w:val="27"/>
            </w:pPr>
            <w:r>
              <w:t>6月底</w:t>
            </w:r>
          </w:p>
        </w:tc>
        <w:tc>
          <w:tcPr>
            <w:tcW w:w="1304" w:type="dxa"/>
            <w:vAlign w:val="center"/>
          </w:tcPr>
          <w:p>
            <w:pPr>
              <w:pStyle w:val="27"/>
            </w:pPr>
            <w:r>
              <w:t>10月底</w:t>
            </w:r>
          </w:p>
        </w:tc>
        <w:tc>
          <w:tcPr>
            <w:tcW w:w="3118" w:type="dxa"/>
            <w:gridSpan w:val="2"/>
            <w:vAlign w:val="center"/>
          </w:tcPr>
          <w:p>
            <w:pPr>
              <w:pStyle w:val="2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25%</w:t>
            </w:r>
          </w:p>
        </w:tc>
        <w:tc>
          <w:tcPr>
            <w:tcW w:w="1587" w:type="dxa"/>
            <w:vAlign w:val="center"/>
          </w:tcPr>
          <w:p>
            <w:pPr>
              <w:pStyle w:val="28"/>
            </w:pPr>
            <w:r>
              <w:t>50%</w:t>
            </w:r>
          </w:p>
        </w:tc>
        <w:tc>
          <w:tcPr>
            <w:tcW w:w="1304" w:type="dxa"/>
            <w:vAlign w:val="center"/>
          </w:tcPr>
          <w:p>
            <w:pPr>
              <w:pStyle w:val="28"/>
            </w:pPr>
            <w:r>
              <w:t>75%</w:t>
            </w:r>
          </w:p>
        </w:tc>
        <w:tc>
          <w:tcPr>
            <w:tcW w:w="3118" w:type="dxa"/>
            <w:gridSpan w:val="2"/>
            <w:vAlign w:val="center"/>
          </w:tcPr>
          <w:p>
            <w:pPr>
              <w:pStyle w:val="2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绩效目标</w:t>
            </w:r>
          </w:p>
        </w:tc>
        <w:tc>
          <w:tcPr>
            <w:tcW w:w="8617" w:type="dxa"/>
            <w:gridSpan w:val="6"/>
            <w:vAlign w:val="center"/>
          </w:tcPr>
          <w:p>
            <w:pPr>
              <w:pStyle w:val="26"/>
            </w:pPr>
            <w:r>
              <w:t>1.保障乡镇纪委办案工作正常开展</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7"/>
            </w:pPr>
            <w:r>
              <w:t>一级指标</w:t>
            </w:r>
          </w:p>
        </w:tc>
        <w:tc>
          <w:tcPr>
            <w:tcW w:w="1276" w:type="dxa"/>
            <w:vAlign w:val="center"/>
          </w:tcPr>
          <w:p>
            <w:pPr>
              <w:pStyle w:val="27"/>
            </w:pPr>
            <w:r>
              <w:t>二级指标</w:t>
            </w:r>
          </w:p>
        </w:tc>
        <w:tc>
          <w:tcPr>
            <w:tcW w:w="1332" w:type="dxa"/>
            <w:vAlign w:val="center"/>
          </w:tcPr>
          <w:p>
            <w:pPr>
              <w:pStyle w:val="27"/>
            </w:pPr>
            <w:r>
              <w:t>三级指标</w:t>
            </w:r>
          </w:p>
        </w:tc>
        <w:tc>
          <w:tcPr>
            <w:tcW w:w="2891" w:type="dxa"/>
            <w:vAlign w:val="center"/>
          </w:tcPr>
          <w:p>
            <w:pPr>
              <w:pStyle w:val="27"/>
            </w:pPr>
            <w:r>
              <w:t>绩效指标描述</w:t>
            </w:r>
          </w:p>
        </w:tc>
        <w:tc>
          <w:tcPr>
            <w:tcW w:w="1276" w:type="dxa"/>
            <w:vAlign w:val="center"/>
          </w:tcPr>
          <w:p>
            <w:pPr>
              <w:pStyle w:val="27"/>
            </w:pPr>
            <w:r>
              <w:t>指标值</w:t>
            </w:r>
          </w:p>
        </w:tc>
        <w:tc>
          <w:tcPr>
            <w:tcW w:w="1843"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6"/>
            </w:pPr>
            <w:r>
              <w:t>数量指标</w:t>
            </w:r>
          </w:p>
        </w:tc>
        <w:tc>
          <w:tcPr>
            <w:tcW w:w="1332" w:type="dxa"/>
            <w:vAlign w:val="center"/>
          </w:tcPr>
          <w:p>
            <w:pPr>
              <w:pStyle w:val="26"/>
            </w:pPr>
            <w:r>
              <w:t>单位数</w:t>
            </w:r>
          </w:p>
        </w:tc>
        <w:tc>
          <w:tcPr>
            <w:tcW w:w="2891" w:type="dxa"/>
            <w:vAlign w:val="center"/>
          </w:tcPr>
          <w:p>
            <w:pPr>
              <w:pStyle w:val="26"/>
            </w:pPr>
            <w:r>
              <w:t>使用公用经费的单位数</w:t>
            </w:r>
          </w:p>
        </w:tc>
        <w:tc>
          <w:tcPr>
            <w:tcW w:w="1276" w:type="dxa"/>
            <w:vAlign w:val="center"/>
          </w:tcPr>
          <w:p>
            <w:pPr>
              <w:pStyle w:val="26"/>
            </w:pPr>
            <w:r>
              <w:t>11个</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案件办结率</w:t>
            </w:r>
          </w:p>
        </w:tc>
        <w:tc>
          <w:tcPr>
            <w:tcW w:w="2891" w:type="dxa"/>
            <w:vAlign w:val="center"/>
          </w:tcPr>
          <w:p>
            <w:pPr>
              <w:pStyle w:val="26"/>
            </w:pPr>
            <w:r>
              <w:t>重点案件办结率（%）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经费支出</w:t>
            </w:r>
          </w:p>
        </w:tc>
        <w:tc>
          <w:tcPr>
            <w:tcW w:w="2891" w:type="dxa"/>
            <w:vAlign w:val="center"/>
          </w:tcPr>
          <w:p>
            <w:pPr>
              <w:pStyle w:val="26"/>
            </w:pPr>
            <w:r>
              <w:t>公用经费支出周期</w:t>
            </w:r>
          </w:p>
        </w:tc>
        <w:tc>
          <w:tcPr>
            <w:tcW w:w="1276" w:type="dxa"/>
            <w:vAlign w:val="center"/>
          </w:tcPr>
          <w:p>
            <w:pPr>
              <w:pStyle w:val="26"/>
            </w:pPr>
            <w:r>
              <w:t>2022年1-12月</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6"/>
            </w:pPr>
            <w:r>
              <w:t>社会效益指标</w:t>
            </w:r>
          </w:p>
        </w:tc>
        <w:tc>
          <w:tcPr>
            <w:tcW w:w="1332" w:type="dxa"/>
            <w:vAlign w:val="center"/>
          </w:tcPr>
          <w:p>
            <w:pPr>
              <w:pStyle w:val="26"/>
            </w:pPr>
            <w:r>
              <w:t>工作实施率（%）</w:t>
            </w:r>
          </w:p>
        </w:tc>
        <w:tc>
          <w:tcPr>
            <w:tcW w:w="2891" w:type="dxa"/>
            <w:vAlign w:val="center"/>
          </w:tcPr>
          <w:p>
            <w:pPr>
              <w:pStyle w:val="26"/>
            </w:pPr>
            <w:r>
              <w:t>保障办案工作有效实施率（%）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可持续影响指标</w:t>
            </w:r>
          </w:p>
        </w:tc>
        <w:tc>
          <w:tcPr>
            <w:tcW w:w="1332" w:type="dxa"/>
            <w:vAlign w:val="center"/>
          </w:tcPr>
          <w:p>
            <w:pPr>
              <w:pStyle w:val="26"/>
            </w:pPr>
            <w:r>
              <w:t>服务水平</w:t>
            </w:r>
          </w:p>
        </w:tc>
        <w:tc>
          <w:tcPr>
            <w:tcW w:w="2891" w:type="dxa"/>
            <w:vAlign w:val="center"/>
          </w:tcPr>
          <w:p>
            <w:pPr>
              <w:pStyle w:val="26"/>
            </w:pPr>
            <w:r>
              <w:t>提升机关服务水平</w:t>
            </w:r>
          </w:p>
        </w:tc>
        <w:tc>
          <w:tcPr>
            <w:tcW w:w="1276" w:type="dxa"/>
            <w:vAlign w:val="center"/>
          </w:tcPr>
          <w:p>
            <w:pPr>
              <w:pStyle w:val="26"/>
            </w:pPr>
            <w:r>
              <w:t>提高</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服务对象满意度（%）</w:t>
            </w:r>
          </w:p>
        </w:tc>
        <w:tc>
          <w:tcPr>
            <w:tcW w:w="1276" w:type="dxa"/>
            <w:vAlign w:val="center"/>
          </w:tcPr>
          <w:p>
            <w:pPr>
              <w:pStyle w:val="26"/>
            </w:pPr>
            <w:r>
              <w:t>≤100%</w:t>
            </w:r>
          </w:p>
        </w:tc>
        <w:tc>
          <w:tcPr>
            <w:tcW w:w="1843" w:type="dxa"/>
            <w:vAlign w:val="center"/>
          </w:tcPr>
          <w:p>
            <w:pPr>
              <w:pStyle w:val="26"/>
            </w:pPr>
            <w:r>
              <w:t>工作需要</w:t>
            </w:r>
          </w:p>
        </w:tc>
      </w:tr>
    </w:tbl>
    <w:p>
      <w:pPr>
        <w:sectPr>
          <w:pgSz w:w="16840" w:h="11900" w:orient="landscape"/>
          <w:pgMar w:top="1304" w:right="1984" w:bottom="1304" w:left="1134" w:header="720" w:footer="720" w:gutter="0"/>
          <w:cols w:space="720" w:num="1"/>
          <w:docGrid w:linePitch="326" w:charSpace="0"/>
        </w:sectPr>
      </w:pPr>
    </w:p>
    <w:p>
      <w:pPr>
        <w:ind w:firstLine="1827" w:firstLineChars="650"/>
        <w:outlineLvl w:val="3"/>
        <w:rPr>
          <w:b/>
          <w:bCs/>
        </w:rPr>
      </w:pPr>
      <w:r>
        <w:rPr>
          <w:rFonts w:hint="eastAsia" w:ascii="方正仿宋_GBK" w:hAnsi="方正仿宋_GBK" w:eastAsia="方正仿宋_GBK" w:cs="方正仿宋_GBK"/>
          <w:b/>
          <w:bCs/>
          <w:color w:val="000000"/>
          <w:sz w:val="28"/>
        </w:rPr>
        <w:t>4、</w:t>
      </w:r>
      <w:r>
        <w:rPr>
          <w:rFonts w:ascii="方正仿宋_GBK" w:hAnsi="方正仿宋_GBK" w:eastAsia="方正仿宋_GBK" w:cs="方正仿宋_GBK"/>
          <w:b/>
          <w:bCs/>
          <w:color w:val="000000"/>
          <w:sz w:val="28"/>
        </w:rPr>
        <w:t>巡察办接入纪检监察内网绩效目标表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5"/>
            </w:pPr>
            <w:r>
              <w:t>222001中国共产党满城区纪律检查委员会</w:t>
            </w:r>
          </w:p>
        </w:tc>
        <w:tc>
          <w:tcPr>
            <w:tcW w:w="1843" w:type="dxa"/>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项目编码</w:t>
            </w:r>
          </w:p>
        </w:tc>
        <w:tc>
          <w:tcPr>
            <w:tcW w:w="2608" w:type="dxa"/>
            <w:gridSpan w:val="2"/>
            <w:vAlign w:val="center"/>
          </w:tcPr>
          <w:p>
            <w:pPr>
              <w:pStyle w:val="26"/>
            </w:pPr>
            <w:r>
              <w:t>13062122P00495510004C</w:t>
            </w:r>
          </w:p>
        </w:tc>
        <w:tc>
          <w:tcPr>
            <w:tcW w:w="1587" w:type="dxa"/>
            <w:vAlign w:val="center"/>
          </w:tcPr>
          <w:p>
            <w:pPr>
              <w:pStyle w:val="27"/>
            </w:pPr>
            <w:r>
              <w:t>项目名称</w:t>
            </w:r>
          </w:p>
        </w:tc>
        <w:tc>
          <w:tcPr>
            <w:tcW w:w="4422" w:type="dxa"/>
            <w:gridSpan w:val="3"/>
            <w:vAlign w:val="center"/>
          </w:tcPr>
          <w:p>
            <w:pPr>
              <w:pStyle w:val="26"/>
            </w:pPr>
            <w:r>
              <w:t>巡察办接入纪检监察内网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预算规模及资金用途</w:t>
            </w:r>
          </w:p>
        </w:tc>
        <w:tc>
          <w:tcPr>
            <w:tcW w:w="1276" w:type="dxa"/>
            <w:vAlign w:val="center"/>
          </w:tcPr>
          <w:p>
            <w:pPr>
              <w:pStyle w:val="27"/>
            </w:pPr>
            <w:r>
              <w:t>预算数</w:t>
            </w:r>
          </w:p>
        </w:tc>
        <w:tc>
          <w:tcPr>
            <w:tcW w:w="1332" w:type="dxa"/>
            <w:vAlign w:val="center"/>
          </w:tcPr>
          <w:p>
            <w:pPr>
              <w:pStyle w:val="26"/>
            </w:pPr>
            <w:r>
              <w:t>0.95</w:t>
            </w:r>
          </w:p>
        </w:tc>
        <w:tc>
          <w:tcPr>
            <w:tcW w:w="1587" w:type="dxa"/>
            <w:vAlign w:val="center"/>
          </w:tcPr>
          <w:p>
            <w:pPr>
              <w:pStyle w:val="27"/>
            </w:pPr>
            <w:r>
              <w:t>其中：财政    资金</w:t>
            </w:r>
          </w:p>
        </w:tc>
        <w:tc>
          <w:tcPr>
            <w:tcW w:w="1304" w:type="dxa"/>
            <w:vAlign w:val="center"/>
          </w:tcPr>
          <w:p>
            <w:pPr>
              <w:pStyle w:val="26"/>
            </w:pPr>
            <w:r>
              <w:t>0.95</w:t>
            </w:r>
          </w:p>
        </w:tc>
        <w:tc>
          <w:tcPr>
            <w:tcW w:w="1276" w:type="dxa"/>
            <w:vAlign w:val="center"/>
          </w:tcPr>
          <w:p>
            <w:pPr>
              <w:pStyle w:val="27"/>
            </w:pPr>
            <w:r>
              <w:t>其他资金</w:t>
            </w:r>
          </w:p>
        </w:tc>
        <w:tc>
          <w:tcPr>
            <w:tcW w:w="1843" w:type="dxa"/>
            <w:vAlign w:val="center"/>
          </w:tcPr>
          <w:p>
            <w:pPr>
              <w:pStyle w:val="2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6"/>
            </w:pPr>
            <w:r>
              <w:t>巡察办接入纪检监察内网服务费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7"/>
            </w:pPr>
            <w:r>
              <w:t>资金支出计划（%）</w:t>
            </w:r>
          </w:p>
        </w:tc>
        <w:tc>
          <w:tcPr>
            <w:tcW w:w="2608" w:type="dxa"/>
            <w:gridSpan w:val="2"/>
            <w:vAlign w:val="center"/>
          </w:tcPr>
          <w:p>
            <w:pPr>
              <w:pStyle w:val="27"/>
            </w:pPr>
            <w:r>
              <w:t>3月底</w:t>
            </w:r>
          </w:p>
        </w:tc>
        <w:tc>
          <w:tcPr>
            <w:tcW w:w="1587" w:type="dxa"/>
            <w:vAlign w:val="center"/>
          </w:tcPr>
          <w:p>
            <w:pPr>
              <w:pStyle w:val="27"/>
            </w:pPr>
            <w:r>
              <w:t>6月底</w:t>
            </w:r>
          </w:p>
        </w:tc>
        <w:tc>
          <w:tcPr>
            <w:tcW w:w="1304" w:type="dxa"/>
            <w:vAlign w:val="center"/>
          </w:tcPr>
          <w:p>
            <w:pPr>
              <w:pStyle w:val="27"/>
            </w:pPr>
            <w:r>
              <w:t>10月底</w:t>
            </w:r>
          </w:p>
        </w:tc>
        <w:tc>
          <w:tcPr>
            <w:tcW w:w="3118" w:type="dxa"/>
            <w:gridSpan w:val="2"/>
            <w:vAlign w:val="center"/>
          </w:tcPr>
          <w:p>
            <w:pPr>
              <w:pStyle w:val="2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8"/>
            </w:pPr>
            <w:r>
              <w:t>100%</w:t>
            </w:r>
          </w:p>
        </w:tc>
        <w:tc>
          <w:tcPr>
            <w:tcW w:w="1587" w:type="dxa"/>
            <w:vAlign w:val="center"/>
          </w:tcPr>
          <w:p>
            <w:pPr>
              <w:pStyle w:val="28"/>
            </w:pPr>
            <w:r>
              <w:t xml:space="preserve"> </w:t>
            </w:r>
          </w:p>
        </w:tc>
        <w:tc>
          <w:tcPr>
            <w:tcW w:w="1304" w:type="dxa"/>
            <w:vAlign w:val="center"/>
          </w:tcPr>
          <w:p>
            <w:pPr>
              <w:pStyle w:val="28"/>
            </w:pPr>
            <w:r>
              <w:t xml:space="preserve"> </w:t>
            </w:r>
          </w:p>
        </w:tc>
        <w:tc>
          <w:tcPr>
            <w:tcW w:w="3118" w:type="dxa"/>
            <w:gridSpan w:val="2"/>
            <w:vAlign w:val="center"/>
          </w:tcPr>
          <w:p>
            <w:pPr>
              <w:pStyle w:val="2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7"/>
            </w:pPr>
            <w:r>
              <w:t>绩效目标</w:t>
            </w:r>
          </w:p>
        </w:tc>
        <w:tc>
          <w:tcPr>
            <w:tcW w:w="8617" w:type="dxa"/>
            <w:gridSpan w:val="6"/>
            <w:vAlign w:val="center"/>
          </w:tcPr>
          <w:p>
            <w:pPr>
              <w:pStyle w:val="26"/>
            </w:pPr>
            <w:r>
              <w:t>1.巡察办接入纪检监察内网正常使用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7"/>
            </w:pPr>
            <w:r>
              <w:t>一级指标</w:t>
            </w:r>
          </w:p>
        </w:tc>
        <w:tc>
          <w:tcPr>
            <w:tcW w:w="1276" w:type="dxa"/>
            <w:vAlign w:val="center"/>
          </w:tcPr>
          <w:p>
            <w:pPr>
              <w:pStyle w:val="27"/>
            </w:pPr>
            <w:r>
              <w:t>二级指标</w:t>
            </w:r>
          </w:p>
        </w:tc>
        <w:tc>
          <w:tcPr>
            <w:tcW w:w="1332" w:type="dxa"/>
            <w:vAlign w:val="center"/>
          </w:tcPr>
          <w:p>
            <w:pPr>
              <w:pStyle w:val="27"/>
            </w:pPr>
            <w:r>
              <w:t>三级指标</w:t>
            </w:r>
          </w:p>
        </w:tc>
        <w:tc>
          <w:tcPr>
            <w:tcW w:w="2891" w:type="dxa"/>
            <w:vAlign w:val="center"/>
          </w:tcPr>
          <w:p>
            <w:pPr>
              <w:pStyle w:val="27"/>
            </w:pPr>
            <w:r>
              <w:t>绩效指标描述</w:t>
            </w:r>
          </w:p>
        </w:tc>
        <w:tc>
          <w:tcPr>
            <w:tcW w:w="1276" w:type="dxa"/>
            <w:vAlign w:val="center"/>
          </w:tcPr>
          <w:p>
            <w:pPr>
              <w:pStyle w:val="27"/>
            </w:pPr>
            <w:r>
              <w:t>指标值</w:t>
            </w:r>
          </w:p>
        </w:tc>
        <w:tc>
          <w:tcPr>
            <w:tcW w:w="1843"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产出指标</w:t>
            </w:r>
          </w:p>
        </w:tc>
        <w:tc>
          <w:tcPr>
            <w:tcW w:w="1276" w:type="dxa"/>
            <w:vAlign w:val="center"/>
          </w:tcPr>
          <w:p>
            <w:pPr>
              <w:pStyle w:val="26"/>
            </w:pPr>
            <w:r>
              <w:t>数量指标</w:t>
            </w:r>
          </w:p>
        </w:tc>
        <w:tc>
          <w:tcPr>
            <w:tcW w:w="1332" w:type="dxa"/>
            <w:vAlign w:val="center"/>
          </w:tcPr>
          <w:p>
            <w:pPr>
              <w:pStyle w:val="26"/>
            </w:pPr>
            <w:r>
              <w:t>接入内网单位数</w:t>
            </w:r>
          </w:p>
        </w:tc>
        <w:tc>
          <w:tcPr>
            <w:tcW w:w="2891" w:type="dxa"/>
            <w:vAlign w:val="center"/>
          </w:tcPr>
          <w:p>
            <w:pPr>
              <w:pStyle w:val="26"/>
            </w:pPr>
            <w:r>
              <w:t>接入内网单位数</w:t>
            </w:r>
          </w:p>
        </w:tc>
        <w:tc>
          <w:tcPr>
            <w:tcW w:w="1276" w:type="dxa"/>
            <w:vAlign w:val="center"/>
          </w:tcPr>
          <w:p>
            <w:pPr>
              <w:pStyle w:val="26"/>
            </w:pPr>
            <w:r>
              <w:t>1个</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质量指标</w:t>
            </w:r>
          </w:p>
        </w:tc>
        <w:tc>
          <w:tcPr>
            <w:tcW w:w="1332" w:type="dxa"/>
            <w:vAlign w:val="center"/>
          </w:tcPr>
          <w:p>
            <w:pPr>
              <w:pStyle w:val="26"/>
            </w:pPr>
            <w:r>
              <w:t>接入内网网速</w:t>
            </w:r>
          </w:p>
        </w:tc>
        <w:tc>
          <w:tcPr>
            <w:tcW w:w="2891" w:type="dxa"/>
            <w:vAlign w:val="center"/>
          </w:tcPr>
          <w:p>
            <w:pPr>
              <w:pStyle w:val="26"/>
            </w:pPr>
            <w:r>
              <w:t>接入内网网速</w:t>
            </w:r>
          </w:p>
        </w:tc>
        <w:tc>
          <w:tcPr>
            <w:tcW w:w="1276" w:type="dxa"/>
            <w:vAlign w:val="center"/>
          </w:tcPr>
          <w:p>
            <w:pPr>
              <w:pStyle w:val="26"/>
            </w:pPr>
            <w:r>
              <w:t>提高</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时效指标</w:t>
            </w:r>
          </w:p>
        </w:tc>
        <w:tc>
          <w:tcPr>
            <w:tcW w:w="1332" w:type="dxa"/>
            <w:vAlign w:val="center"/>
          </w:tcPr>
          <w:p>
            <w:pPr>
              <w:pStyle w:val="26"/>
            </w:pPr>
            <w:r>
              <w:t>1月份接入内网</w:t>
            </w:r>
          </w:p>
        </w:tc>
        <w:tc>
          <w:tcPr>
            <w:tcW w:w="2891" w:type="dxa"/>
            <w:vAlign w:val="center"/>
          </w:tcPr>
          <w:p>
            <w:pPr>
              <w:pStyle w:val="26"/>
            </w:pPr>
            <w:r>
              <w:t>接入内网时间</w:t>
            </w:r>
          </w:p>
        </w:tc>
        <w:tc>
          <w:tcPr>
            <w:tcW w:w="1276" w:type="dxa"/>
            <w:vAlign w:val="center"/>
          </w:tcPr>
          <w:p>
            <w:pPr>
              <w:pStyle w:val="26"/>
            </w:pPr>
            <w:r>
              <w:t>最晚1月中旬接入内网</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8"/>
            </w:pPr>
            <w:r>
              <w:t>效益指标</w:t>
            </w:r>
          </w:p>
        </w:tc>
        <w:tc>
          <w:tcPr>
            <w:tcW w:w="1276" w:type="dxa"/>
            <w:vAlign w:val="center"/>
          </w:tcPr>
          <w:p>
            <w:pPr>
              <w:pStyle w:val="26"/>
            </w:pPr>
            <w:r>
              <w:t>经济效益指标</w:t>
            </w:r>
          </w:p>
        </w:tc>
        <w:tc>
          <w:tcPr>
            <w:tcW w:w="1332" w:type="dxa"/>
            <w:vAlign w:val="center"/>
          </w:tcPr>
          <w:p>
            <w:pPr>
              <w:pStyle w:val="26"/>
            </w:pPr>
            <w:r>
              <w:t>提高效率</w:t>
            </w:r>
          </w:p>
        </w:tc>
        <w:tc>
          <w:tcPr>
            <w:tcW w:w="2891" w:type="dxa"/>
            <w:vAlign w:val="center"/>
          </w:tcPr>
          <w:p>
            <w:pPr>
              <w:pStyle w:val="26"/>
            </w:pPr>
            <w:r>
              <w:t>提高效率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6"/>
            </w:pPr>
            <w:r>
              <w:t>社会效益指标</w:t>
            </w:r>
          </w:p>
        </w:tc>
        <w:tc>
          <w:tcPr>
            <w:tcW w:w="1332" w:type="dxa"/>
            <w:vAlign w:val="center"/>
          </w:tcPr>
          <w:p>
            <w:pPr>
              <w:pStyle w:val="26"/>
            </w:pPr>
            <w:r>
              <w:t>工作实施率</w:t>
            </w:r>
          </w:p>
        </w:tc>
        <w:tc>
          <w:tcPr>
            <w:tcW w:w="2891" w:type="dxa"/>
            <w:vAlign w:val="center"/>
          </w:tcPr>
          <w:p>
            <w:pPr>
              <w:pStyle w:val="26"/>
            </w:pPr>
            <w:r>
              <w:t>保证各项工作有效实施率</w:t>
            </w:r>
          </w:p>
        </w:tc>
        <w:tc>
          <w:tcPr>
            <w:tcW w:w="1276" w:type="dxa"/>
            <w:vAlign w:val="center"/>
          </w:tcPr>
          <w:p>
            <w:pPr>
              <w:pStyle w:val="26"/>
            </w:pPr>
            <w:r>
              <w:t>≤100%</w:t>
            </w:r>
          </w:p>
        </w:tc>
        <w:tc>
          <w:tcPr>
            <w:tcW w:w="1843" w:type="dxa"/>
            <w:vAlign w:val="center"/>
          </w:tcPr>
          <w:p>
            <w:pPr>
              <w:pStyle w:val="2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8"/>
            </w:pPr>
            <w:r>
              <w:t>满意度指标</w:t>
            </w:r>
          </w:p>
        </w:tc>
        <w:tc>
          <w:tcPr>
            <w:tcW w:w="1276" w:type="dxa"/>
            <w:vAlign w:val="center"/>
          </w:tcPr>
          <w:p>
            <w:pPr>
              <w:pStyle w:val="26"/>
            </w:pPr>
            <w:r>
              <w:t>服务对象满意度指标</w:t>
            </w:r>
          </w:p>
        </w:tc>
        <w:tc>
          <w:tcPr>
            <w:tcW w:w="1332" w:type="dxa"/>
            <w:vAlign w:val="center"/>
          </w:tcPr>
          <w:p>
            <w:pPr>
              <w:pStyle w:val="26"/>
            </w:pPr>
            <w:r>
              <w:t>服务对象满意度</w:t>
            </w:r>
          </w:p>
        </w:tc>
        <w:tc>
          <w:tcPr>
            <w:tcW w:w="2891" w:type="dxa"/>
            <w:vAlign w:val="center"/>
          </w:tcPr>
          <w:p>
            <w:pPr>
              <w:pStyle w:val="26"/>
            </w:pPr>
            <w:r>
              <w:t>服务对象满意度</w:t>
            </w:r>
          </w:p>
        </w:tc>
        <w:tc>
          <w:tcPr>
            <w:tcW w:w="1276" w:type="dxa"/>
            <w:vAlign w:val="center"/>
          </w:tcPr>
          <w:p>
            <w:pPr>
              <w:pStyle w:val="26"/>
            </w:pPr>
            <w:r>
              <w:t>≤100%</w:t>
            </w:r>
          </w:p>
        </w:tc>
        <w:tc>
          <w:tcPr>
            <w:tcW w:w="1843" w:type="dxa"/>
            <w:vAlign w:val="center"/>
          </w:tcPr>
          <w:p>
            <w:pPr>
              <w:pStyle w:val="26"/>
            </w:pPr>
            <w:r>
              <w:t>工作需要</w:t>
            </w:r>
          </w:p>
        </w:tc>
      </w:tr>
    </w:tbl>
    <w:p>
      <w:pPr>
        <w:sectPr>
          <w:pgSz w:w="16840" w:h="11900" w:orient="landscape"/>
          <w:pgMar w:top="1304" w:right="1984" w:bottom="1304" w:left="1134" w:header="720" w:footer="720" w:gutter="0"/>
          <w:cols w:space="720" w:num="1"/>
          <w:docGrid w:linePitch="326" w:charSpace="0"/>
        </w:sectPr>
      </w:pPr>
    </w:p>
    <w:p>
      <w:pPr>
        <w:pStyle w:val="4"/>
        <w:spacing w:before="54"/>
        <w:ind w:firstLine="916" w:firstLineChars="300"/>
        <w:rPr>
          <w:b/>
          <w:bCs/>
        </w:rPr>
      </w:pPr>
      <w:r>
        <w:rPr>
          <w:b/>
          <w:bCs/>
          <w:w w:val="95"/>
        </w:rPr>
        <w:t>六、政府采购预算情况</w:t>
      </w:r>
    </w:p>
    <w:p>
      <w:pPr>
        <w:pStyle w:val="4"/>
        <w:spacing w:before="193"/>
        <w:ind w:left="1360"/>
      </w:pPr>
      <w:r>
        <w:rPr>
          <w:w w:val="95"/>
        </w:rPr>
        <w:t>2022</w:t>
      </w:r>
      <w:r>
        <w:rPr>
          <w:spacing w:val="3"/>
          <w:w w:val="95"/>
        </w:rPr>
        <w:t xml:space="preserve"> 年，保定市满城区</w:t>
      </w:r>
      <w:r>
        <w:rPr>
          <w:rFonts w:hint="eastAsia"/>
          <w:spacing w:val="3"/>
          <w:w w:val="95"/>
        </w:rPr>
        <w:t>纪委监委</w:t>
      </w:r>
      <w:r>
        <w:rPr>
          <w:spacing w:val="3"/>
          <w:w w:val="95"/>
        </w:rPr>
        <w:t xml:space="preserve">无政府采购预算 </w:t>
      </w:r>
      <w:r>
        <w:rPr>
          <w:rFonts w:hint="eastAsia"/>
          <w:spacing w:val="6"/>
          <w:w w:val="95"/>
        </w:rPr>
        <w:t>，</w:t>
      </w:r>
      <w:r>
        <w:rPr>
          <w:spacing w:val="6"/>
          <w:w w:val="95"/>
        </w:rPr>
        <w:t>空表列示。</w:t>
      </w:r>
    </w:p>
    <w:p>
      <w:pPr>
        <w:pStyle w:val="2"/>
      </w:pPr>
      <w:r>
        <mc:AlternateContent>
          <mc:Choice Requires="wps">
            <w:drawing>
              <wp:anchor distT="0" distB="0" distL="114300" distR="114300" simplePos="0" relativeHeight="251661312" behindDoc="0" locked="0" layoutInCell="1" allowOverlap="1">
                <wp:simplePos x="0" y="0"/>
                <wp:positionH relativeFrom="page">
                  <wp:posOffset>255905</wp:posOffset>
                </wp:positionH>
                <wp:positionV relativeFrom="paragraph">
                  <wp:posOffset>410210</wp:posOffset>
                </wp:positionV>
                <wp:extent cx="10185400" cy="47009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0185400" cy="4700905"/>
                        </a:xfrm>
                        <a:prstGeom prst="rect">
                          <a:avLst/>
                        </a:prstGeom>
                        <a:noFill/>
                        <a:ln>
                          <a:noFill/>
                        </a:ln>
                        <a:effectLst/>
                      </wps:spPr>
                      <wps:txbx>
                        <w:txbxContent>
                          <w:tbl>
                            <w:tblPr>
                              <w:tblStyle w:val="12"/>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6018" w:type="dxa"/>
                                  <w:gridSpan w:val="16"/>
                                  <w:tcBorders>
                                    <w:top w:val="nil"/>
                                    <w:bottom w:val="single" w:color="000000" w:sz="6" w:space="0"/>
                                  </w:tcBorders>
                                </w:tcPr>
                                <w:p>
                                  <w:pPr>
                                    <w:pStyle w:val="16"/>
                                    <w:tabs>
                                      <w:tab w:val="left" w:pos="14708"/>
                                    </w:tabs>
                                    <w:spacing w:line="406" w:lineRule="exact"/>
                                    <w:ind w:left="107"/>
                                    <w:rPr>
                                      <w:sz w:val="24"/>
                                    </w:rPr>
                                  </w:pPr>
                                  <w:r>
                                    <w:rPr>
                                      <w:rFonts w:hint="eastAsia"/>
                                      <w:sz w:val="24"/>
                                    </w:rPr>
                                    <w:t>【222001】中国共产党保定市满城区纪律检查委员会</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491"/>
                                    <w:rPr>
                                      <w:b/>
                                      <w:sz w:val="21"/>
                                    </w:rPr>
                                  </w:pPr>
                                  <w:r>
                                    <w:rPr>
                                      <w:b/>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355" w:right="132" w:hanging="209"/>
                                    <w:rPr>
                                      <w:b/>
                                      <w:sz w:val="21"/>
                                    </w:rPr>
                                  </w:pPr>
                                  <w:r>
                                    <w:rPr>
                                      <w:b/>
                                      <w:spacing w:val="-2"/>
                                      <w:sz w:val="21"/>
                                    </w:rPr>
                                    <w:t>采购物品</w:t>
                                  </w:r>
                                  <w:r>
                                    <w:rPr>
                                      <w:b/>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145" w:right="133"/>
                                    <w:rPr>
                                      <w:b/>
                                      <w:sz w:val="21"/>
                                    </w:rPr>
                                  </w:pPr>
                                  <w:r>
                                    <w:rPr>
                                      <w:b/>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144" w:right="129"/>
                                    <w:rPr>
                                      <w:b/>
                                      <w:sz w:val="21"/>
                                    </w:rPr>
                                  </w:pPr>
                                  <w:r>
                                    <w:rPr>
                                      <w:b/>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12"/>
                                    <w:rPr>
                                      <w:sz w:val="38"/>
                                    </w:rPr>
                                  </w:pPr>
                                </w:p>
                                <w:p>
                                  <w:pPr>
                                    <w:pStyle w:val="16"/>
                                    <w:ind w:left="215"/>
                                    <w:rPr>
                                      <w:b/>
                                      <w:sz w:val="21"/>
                                    </w:rPr>
                                  </w:pPr>
                                  <w:r>
                                    <w:rPr>
                                      <w:b/>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12"/>
                                    <w:rPr>
                                      <w:sz w:val="38"/>
                                    </w:rPr>
                                  </w:pPr>
                                </w:p>
                                <w:p>
                                  <w:pPr>
                                    <w:pStyle w:val="16"/>
                                    <w:ind w:left="215"/>
                                    <w:rPr>
                                      <w:b/>
                                      <w:sz w:val="21"/>
                                    </w:rPr>
                                  </w:pPr>
                                  <w:r>
                                    <w:rPr>
                                      <w:b/>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6"/>
                                    <w:spacing w:line="340" w:lineRule="exact"/>
                                    <w:ind w:left="1966"/>
                                    <w:rPr>
                                      <w:b/>
                                      <w:sz w:val="21"/>
                                    </w:rPr>
                                  </w:pPr>
                                  <w:r>
                                    <w:rPr>
                                      <w:b/>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6"/>
                                    <w:spacing w:line="366" w:lineRule="exact"/>
                                    <w:ind w:left="165" w:right="150"/>
                                    <w:jc w:val="center"/>
                                    <w:rPr>
                                      <w:b/>
                                      <w:sz w:val="21"/>
                                    </w:rPr>
                                  </w:pPr>
                                  <w:r>
                                    <w:rPr>
                                      <w:b/>
                                      <w:sz w:val="21"/>
                                    </w:rPr>
                                    <w:t>2022</w:t>
                                  </w:r>
                                </w:p>
                                <w:p>
                                  <w:pPr>
                                    <w:pStyle w:val="16"/>
                                    <w:tabs>
                                      <w:tab w:val="left" w:pos="585"/>
                                    </w:tabs>
                                    <w:spacing w:before="6" w:line="223" w:lineRule="auto"/>
                                    <w:ind w:left="165" w:right="152"/>
                                    <w:jc w:val="center"/>
                                    <w:rPr>
                                      <w:b/>
                                      <w:sz w:val="21"/>
                                    </w:rPr>
                                  </w:pPr>
                                  <w:r>
                                    <w:rPr>
                                      <w:b/>
                                      <w:sz w:val="21"/>
                                    </w:rPr>
                                    <w:t>年</w:t>
                                  </w:r>
                                  <w:r>
                                    <w:rPr>
                                      <w:b/>
                                      <w:sz w:val="21"/>
                                    </w:rPr>
                                    <w:tab/>
                                  </w:r>
                                  <w:r>
                                    <w:rPr>
                                      <w:b/>
                                      <w:spacing w:val="-5"/>
                                      <w:sz w:val="21"/>
                                    </w:rPr>
                                    <w:t>预</w:t>
                                  </w:r>
                                  <w:r>
                                    <w:rPr>
                                      <w:b/>
                                      <w:sz w:val="21"/>
                                    </w:rPr>
                                    <w:t>留中</w:t>
                                  </w:r>
                                  <w:r>
                                    <w:rPr>
                                      <w:b/>
                                      <w:w w:val="95"/>
                                      <w:sz w:val="21"/>
                                    </w:rPr>
                                    <w:t>小微企</w:t>
                                  </w:r>
                                </w:p>
                                <w:p>
                                  <w:pPr>
                                    <w:pStyle w:val="16"/>
                                    <w:spacing w:line="344" w:lineRule="exact"/>
                                    <w:ind w:left="160" w:right="149"/>
                                    <w:jc w:val="center"/>
                                    <w:rPr>
                                      <w:b/>
                                      <w:sz w:val="21"/>
                                    </w:rPr>
                                  </w:pPr>
                                  <w:r>
                                    <w:rPr>
                                      <w:b/>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1701" w:type="dxa"/>
                                  <w:tcBorders>
                                    <w:top w:val="single" w:color="000000" w:sz="6" w:space="0"/>
                                    <w:left w:val="single" w:color="000000" w:sz="6" w:space="0"/>
                                    <w:bottom w:val="single" w:color="000000" w:sz="6" w:space="0"/>
                                    <w:right w:val="single" w:color="000000" w:sz="6" w:space="0"/>
                                  </w:tcBorders>
                                </w:tcPr>
                                <w:p>
                                  <w:pPr>
                                    <w:pStyle w:val="16"/>
                                    <w:spacing w:before="9"/>
                                    <w:rPr>
                                      <w:sz w:val="28"/>
                                    </w:rPr>
                                  </w:pPr>
                                </w:p>
                                <w:p>
                                  <w:pPr>
                                    <w:pStyle w:val="16"/>
                                    <w:ind w:left="428"/>
                                    <w:rPr>
                                      <w:b/>
                                      <w:sz w:val="21"/>
                                    </w:rPr>
                                  </w:pPr>
                                  <w:r>
                                    <w:rPr>
                                      <w:b/>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270" w:right="258"/>
                                    <w:rPr>
                                      <w:b/>
                                      <w:sz w:val="21"/>
                                    </w:rPr>
                                  </w:pPr>
                                  <w:r>
                                    <w:rPr>
                                      <w:b/>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9"/>
                                    <w:rPr>
                                      <w:sz w:val="28"/>
                                    </w:rPr>
                                  </w:pPr>
                                </w:p>
                                <w:p>
                                  <w:pPr>
                                    <w:pStyle w:val="16"/>
                                    <w:ind w:left="272"/>
                                    <w:rPr>
                                      <w:b/>
                                      <w:sz w:val="21"/>
                                    </w:rPr>
                                  </w:pPr>
                                  <w:r>
                                    <w:rPr>
                                      <w:b/>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84" w:line="223" w:lineRule="auto"/>
                                    <w:ind w:left="167" w:right="150"/>
                                    <w:jc w:val="both"/>
                                    <w:rPr>
                                      <w:b/>
                                      <w:sz w:val="21"/>
                                    </w:rPr>
                                  </w:pPr>
                                  <w:r>
                                    <w:rPr>
                                      <w:b/>
                                      <w:spacing w:val="-2"/>
                                      <w:sz w:val="21"/>
                                    </w:rPr>
                                    <w:t>一般公共预算</w:t>
                                  </w:r>
                                  <w:r>
                                    <w:rPr>
                                      <w:b/>
                                      <w:sz w:val="21"/>
                                    </w:rPr>
                                    <w:t>拨款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5" w:right="152"/>
                                    <w:rPr>
                                      <w:b/>
                                      <w:sz w:val="21"/>
                                    </w:rPr>
                                  </w:pPr>
                                  <w:r>
                                    <w:rPr>
                                      <w:b/>
                                      <w:spacing w:val="-2"/>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7" w:line="223" w:lineRule="auto"/>
                                    <w:ind w:left="166" w:right="151"/>
                                    <w:jc w:val="both"/>
                                    <w:rPr>
                                      <w:b/>
                                      <w:sz w:val="21"/>
                                    </w:rPr>
                                  </w:pPr>
                                  <w:r>
                                    <w:rPr>
                                      <w:b/>
                                      <w:spacing w:val="-2"/>
                                      <w:sz w:val="21"/>
                                    </w:rPr>
                                    <w:t>国有资本经营预算拨</w:t>
                                  </w:r>
                                </w:p>
                                <w:p>
                                  <w:pPr>
                                    <w:pStyle w:val="16"/>
                                    <w:spacing w:line="334" w:lineRule="exact"/>
                                    <w:ind w:left="11"/>
                                    <w:jc w:val="center"/>
                                    <w:rPr>
                                      <w:b/>
                                      <w:sz w:val="21"/>
                                    </w:rPr>
                                  </w:pPr>
                                  <w:r>
                                    <w:rPr>
                                      <w:b/>
                                      <w:w w:val="99"/>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7" w:right="150"/>
                                    <w:rPr>
                                      <w:b/>
                                      <w:sz w:val="21"/>
                                    </w:rPr>
                                  </w:pPr>
                                  <w:r>
                                    <w:rPr>
                                      <w:b/>
                                      <w:spacing w:val="-2"/>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271" w:right="257"/>
                                    <w:rPr>
                                      <w:b/>
                                      <w:sz w:val="21"/>
                                    </w:rPr>
                                  </w:pPr>
                                  <w:r>
                                    <w:rPr>
                                      <w:b/>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6" w:right="151"/>
                                    <w:rPr>
                                      <w:b/>
                                      <w:sz w:val="21"/>
                                    </w:rPr>
                                  </w:pPr>
                                  <w:r>
                                    <w:rPr>
                                      <w:b/>
                                      <w:spacing w:val="-2"/>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84" w:line="223" w:lineRule="auto"/>
                                    <w:ind w:left="167" w:right="150"/>
                                    <w:jc w:val="both"/>
                                    <w:rPr>
                                      <w:b/>
                                      <w:sz w:val="21"/>
                                    </w:rPr>
                                  </w:pPr>
                                  <w:r>
                                    <w:rPr>
                                      <w:b/>
                                      <w:spacing w:val="-2"/>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701" w:type="dxa"/>
                                  <w:tcBorders>
                                    <w:top w:val="single" w:color="000000" w:sz="6" w:space="0"/>
                                    <w:left w:val="single" w:color="000000" w:sz="6" w:space="0"/>
                                    <w:bottom w:val="single" w:color="000000" w:sz="6" w:space="0"/>
                                    <w:right w:val="single" w:color="000000" w:sz="6" w:space="0"/>
                                  </w:tcBorders>
                                </w:tcPr>
                                <w:p>
                                  <w:pPr>
                                    <w:pStyle w:val="16"/>
                                    <w:tabs>
                                      <w:tab w:val="left" w:pos="954"/>
                                    </w:tabs>
                                    <w:spacing w:line="341" w:lineRule="exact"/>
                                    <w:ind w:left="534"/>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13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13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709"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85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85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7"/>
                                    <w:jc w:val="right"/>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9"/>
                                    <w:jc w:val="right"/>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8"/>
                                    <w:jc w:val="right"/>
                                    <w:rPr>
                                      <w:b/>
                                      <w:sz w:val="21"/>
                                    </w:rPr>
                                  </w:pPr>
                                </w:p>
                              </w:tc>
                            </w:tr>
                          </w:tbl>
                          <w:p>
                            <w:pPr>
                              <w:pStyle w:val="4"/>
                            </w:pPr>
                          </w:p>
                        </w:txbxContent>
                      </wps:txbx>
                      <wps:bodyPr lIns="0" tIns="0" rIns="0" bIns="0" upright="1"/>
                    </wps:wsp>
                  </a:graphicData>
                </a:graphic>
              </wp:anchor>
            </w:drawing>
          </mc:Choice>
          <mc:Fallback>
            <w:pict>
              <v:shape id="_x0000_s1026" o:spid="_x0000_s1026" o:spt="202" type="#_x0000_t202" style="position:absolute;left:0pt;margin-left:20.15pt;margin-top:32.3pt;height:370.15pt;width:802pt;mso-position-horizontal-relative:page;z-index:251661312;mso-width-relative:page;mso-height-relative:page;" filled="f" stroked="f" coordsize="21600,21600" o:gfxdata="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terLjYAAAACgEAAA8AAAAAAAAAAQAgAAAAIgAAAGRycy9kb3ducmV2Lnht&#10;bFBLAQIUABQAAAAIAIdO4kAu8/FTwAEAAIIDAAAOAAAAAAAAAAEAIAAAACcBAABkcnMvZTJvRG9j&#10;LnhtbFBLBQYAAAAABgAGAFkBAABZBQAAAAA=&#10;">
                <v:fill on="f" focussize="0,0"/>
                <v:stroke on="f"/>
                <v:imagedata o:title=""/>
                <o:lock v:ext="edit" aspectratio="f"/>
                <v:textbox inset="0mm,0mm,0mm,0mm">
                  <w:txbxContent>
                    <w:tbl>
                      <w:tblPr>
                        <w:tblStyle w:val="12"/>
                        <w:tblW w:w="0" w:type="auto"/>
                        <w:tblInd w:w="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5" w:hRule="atLeast"/>
                        </w:trPr>
                        <w:tc>
                          <w:tcPr>
                            <w:tcW w:w="16018" w:type="dxa"/>
                            <w:gridSpan w:val="16"/>
                            <w:tcBorders>
                              <w:top w:val="nil"/>
                              <w:bottom w:val="single" w:color="000000" w:sz="6" w:space="0"/>
                            </w:tcBorders>
                          </w:tcPr>
                          <w:p>
                            <w:pPr>
                              <w:pStyle w:val="16"/>
                              <w:tabs>
                                <w:tab w:val="left" w:pos="14708"/>
                              </w:tabs>
                              <w:spacing w:line="406" w:lineRule="exact"/>
                              <w:ind w:left="107"/>
                              <w:rPr>
                                <w:sz w:val="24"/>
                              </w:rPr>
                            </w:pPr>
                            <w:r>
                              <w:rPr>
                                <w:rFonts w:hint="eastAsia"/>
                                <w:sz w:val="24"/>
                              </w:rPr>
                              <w:t>【222001】中国共产党保定市满城区纪律检查委员会</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491"/>
                              <w:rPr>
                                <w:b/>
                                <w:sz w:val="21"/>
                              </w:rPr>
                            </w:pPr>
                            <w:r>
                              <w:rPr>
                                <w:b/>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355" w:right="132" w:hanging="209"/>
                              <w:rPr>
                                <w:b/>
                                <w:sz w:val="21"/>
                              </w:rPr>
                            </w:pPr>
                            <w:r>
                              <w:rPr>
                                <w:b/>
                                <w:spacing w:val="-2"/>
                                <w:sz w:val="21"/>
                              </w:rPr>
                              <w:t>采购物品</w:t>
                            </w:r>
                            <w:r>
                              <w:rPr>
                                <w:b/>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145" w:right="133"/>
                              <w:rPr>
                                <w:b/>
                                <w:sz w:val="21"/>
                              </w:rPr>
                            </w:pPr>
                            <w:r>
                              <w:rPr>
                                <w:b/>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6"/>
                              <w:spacing w:before="17"/>
                              <w:rPr>
                                <w:sz w:val="29"/>
                              </w:rPr>
                            </w:pPr>
                          </w:p>
                          <w:p>
                            <w:pPr>
                              <w:pStyle w:val="16"/>
                              <w:spacing w:line="223" w:lineRule="auto"/>
                              <w:ind w:left="144" w:right="129"/>
                              <w:rPr>
                                <w:b/>
                                <w:sz w:val="21"/>
                              </w:rPr>
                            </w:pPr>
                            <w:r>
                              <w:rPr>
                                <w:b/>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12"/>
                              <w:rPr>
                                <w:sz w:val="38"/>
                              </w:rPr>
                            </w:pPr>
                          </w:p>
                          <w:p>
                            <w:pPr>
                              <w:pStyle w:val="16"/>
                              <w:ind w:left="215"/>
                              <w:rPr>
                                <w:b/>
                                <w:sz w:val="21"/>
                              </w:rPr>
                            </w:pPr>
                            <w:r>
                              <w:rPr>
                                <w:b/>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6"/>
                              <w:spacing w:before="12"/>
                              <w:rPr>
                                <w:sz w:val="38"/>
                              </w:rPr>
                            </w:pPr>
                          </w:p>
                          <w:p>
                            <w:pPr>
                              <w:pStyle w:val="16"/>
                              <w:ind w:left="215"/>
                              <w:rPr>
                                <w:b/>
                                <w:sz w:val="21"/>
                              </w:rPr>
                            </w:pPr>
                            <w:r>
                              <w:rPr>
                                <w:b/>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6"/>
                              <w:spacing w:line="340" w:lineRule="exact"/>
                              <w:ind w:left="1966"/>
                              <w:rPr>
                                <w:b/>
                                <w:sz w:val="21"/>
                              </w:rPr>
                            </w:pPr>
                            <w:r>
                              <w:rPr>
                                <w:b/>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6"/>
                              <w:spacing w:line="366" w:lineRule="exact"/>
                              <w:ind w:left="165" w:right="150"/>
                              <w:jc w:val="center"/>
                              <w:rPr>
                                <w:b/>
                                <w:sz w:val="21"/>
                              </w:rPr>
                            </w:pPr>
                            <w:r>
                              <w:rPr>
                                <w:b/>
                                <w:sz w:val="21"/>
                              </w:rPr>
                              <w:t>2022</w:t>
                            </w:r>
                          </w:p>
                          <w:p>
                            <w:pPr>
                              <w:pStyle w:val="16"/>
                              <w:tabs>
                                <w:tab w:val="left" w:pos="585"/>
                              </w:tabs>
                              <w:spacing w:before="6" w:line="223" w:lineRule="auto"/>
                              <w:ind w:left="165" w:right="152"/>
                              <w:jc w:val="center"/>
                              <w:rPr>
                                <w:b/>
                                <w:sz w:val="21"/>
                              </w:rPr>
                            </w:pPr>
                            <w:r>
                              <w:rPr>
                                <w:b/>
                                <w:sz w:val="21"/>
                              </w:rPr>
                              <w:t>年</w:t>
                            </w:r>
                            <w:r>
                              <w:rPr>
                                <w:b/>
                                <w:sz w:val="21"/>
                              </w:rPr>
                              <w:tab/>
                            </w:r>
                            <w:r>
                              <w:rPr>
                                <w:b/>
                                <w:spacing w:val="-5"/>
                                <w:sz w:val="21"/>
                              </w:rPr>
                              <w:t>预</w:t>
                            </w:r>
                            <w:r>
                              <w:rPr>
                                <w:b/>
                                <w:sz w:val="21"/>
                              </w:rPr>
                              <w:t>留中</w:t>
                            </w:r>
                            <w:r>
                              <w:rPr>
                                <w:b/>
                                <w:w w:val="95"/>
                                <w:sz w:val="21"/>
                              </w:rPr>
                              <w:t>小微企</w:t>
                            </w:r>
                          </w:p>
                          <w:p>
                            <w:pPr>
                              <w:pStyle w:val="16"/>
                              <w:spacing w:line="344" w:lineRule="exact"/>
                              <w:ind w:left="160" w:right="149"/>
                              <w:jc w:val="center"/>
                              <w:rPr>
                                <w:b/>
                                <w:sz w:val="21"/>
                              </w:rPr>
                            </w:pPr>
                            <w:r>
                              <w:rPr>
                                <w:b/>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441" w:hRule="atLeast"/>
                        </w:trPr>
                        <w:tc>
                          <w:tcPr>
                            <w:tcW w:w="1701" w:type="dxa"/>
                            <w:tcBorders>
                              <w:top w:val="single" w:color="000000" w:sz="6" w:space="0"/>
                              <w:left w:val="single" w:color="000000" w:sz="6" w:space="0"/>
                              <w:bottom w:val="single" w:color="000000" w:sz="6" w:space="0"/>
                              <w:right w:val="single" w:color="000000" w:sz="6" w:space="0"/>
                            </w:tcBorders>
                          </w:tcPr>
                          <w:p>
                            <w:pPr>
                              <w:pStyle w:val="16"/>
                              <w:spacing w:before="9"/>
                              <w:rPr>
                                <w:sz w:val="28"/>
                              </w:rPr>
                            </w:pPr>
                          </w:p>
                          <w:p>
                            <w:pPr>
                              <w:pStyle w:val="16"/>
                              <w:ind w:left="428"/>
                              <w:rPr>
                                <w:b/>
                                <w:sz w:val="21"/>
                              </w:rPr>
                            </w:pPr>
                            <w:r>
                              <w:rPr>
                                <w:b/>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270" w:right="258"/>
                              <w:rPr>
                                <w:b/>
                                <w:sz w:val="21"/>
                              </w:rPr>
                            </w:pPr>
                            <w:r>
                              <w:rPr>
                                <w:b/>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9"/>
                              <w:rPr>
                                <w:sz w:val="28"/>
                              </w:rPr>
                            </w:pPr>
                          </w:p>
                          <w:p>
                            <w:pPr>
                              <w:pStyle w:val="16"/>
                              <w:ind w:left="272"/>
                              <w:rPr>
                                <w:b/>
                                <w:sz w:val="21"/>
                              </w:rPr>
                            </w:pPr>
                            <w:r>
                              <w:rPr>
                                <w:b/>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84" w:line="223" w:lineRule="auto"/>
                              <w:ind w:left="167" w:right="150"/>
                              <w:jc w:val="both"/>
                              <w:rPr>
                                <w:b/>
                                <w:sz w:val="21"/>
                              </w:rPr>
                            </w:pPr>
                            <w:r>
                              <w:rPr>
                                <w:b/>
                                <w:spacing w:val="-2"/>
                                <w:sz w:val="21"/>
                              </w:rPr>
                              <w:t>一般公共预算</w:t>
                            </w:r>
                            <w:r>
                              <w:rPr>
                                <w:b/>
                                <w:sz w:val="21"/>
                              </w:rPr>
                              <w:t>拨款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5" w:right="152"/>
                              <w:rPr>
                                <w:b/>
                                <w:sz w:val="21"/>
                              </w:rPr>
                            </w:pPr>
                            <w:r>
                              <w:rPr>
                                <w:b/>
                                <w:spacing w:val="-2"/>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7" w:line="223" w:lineRule="auto"/>
                              <w:ind w:left="166" w:right="151"/>
                              <w:jc w:val="both"/>
                              <w:rPr>
                                <w:b/>
                                <w:sz w:val="21"/>
                              </w:rPr>
                            </w:pPr>
                            <w:r>
                              <w:rPr>
                                <w:b/>
                                <w:spacing w:val="-2"/>
                                <w:sz w:val="21"/>
                              </w:rPr>
                              <w:t>国有资本经营预算拨</w:t>
                            </w:r>
                          </w:p>
                          <w:p>
                            <w:pPr>
                              <w:pStyle w:val="16"/>
                              <w:spacing w:line="334" w:lineRule="exact"/>
                              <w:ind w:left="11"/>
                              <w:jc w:val="center"/>
                              <w:rPr>
                                <w:b/>
                                <w:sz w:val="21"/>
                              </w:rPr>
                            </w:pPr>
                            <w:r>
                              <w:rPr>
                                <w:b/>
                                <w:w w:val="99"/>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7" w:right="150"/>
                              <w:rPr>
                                <w:b/>
                                <w:sz w:val="21"/>
                              </w:rPr>
                            </w:pPr>
                            <w:r>
                              <w:rPr>
                                <w:b/>
                                <w:spacing w:val="-2"/>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271" w:right="257"/>
                              <w:rPr>
                                <w:b/>
                                <w:sz w:val="21"/>
                              </w:rPr>
                            </w:pPr>
                            <w:r>
                              <w:rPr>
                                <w:b/>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4"/>
                              <w:rPr>
                                <w:sz w:val="19"/>
                              </w:rPr>
                            </w:pPr>
                          </w:p>
                          <w:p>
                            <w:pPr>
                              <w:pStyle w:val="16"/>
                              <w:spacing w:line="223" w:lineRule="auto"/>
                              <w:ind w:left="166" w:right="151"/>
                              <w:rPr>
                                <w:b/>
                                <w:sz w:val="21"/>
                              </w:rPr>
                            </w:pPr>
                            <w:r>
                              <w:rPr>
                                <w:b/>
                                <w:spacing w:val="-2"/>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6"/>
                              <w:spacing w:before="184" w:line="223" w:lineRule="auto"/>
                              <w:ind w:left="167" w:right="150"/>
                              <w:jc w:val="both"/>
                              <w:rPr>
                                <w:b/>
                                <w:sz w:val="21"/>
                              </w:rPr>
                            </w:pPr>
                            <w:r>
                              <w:rPr>
                                <w:b/>
                                <w:spacing w:val="-2"/>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1701" w:type="dxa"/>
                            <w:tcBorders>
                              <w:top w:val="single" w:color="000000" w:sz="6" w:space="0"/>
                              <w:left w:val="single" w:color="000000" w:sz="6" w:space="0"/>
                              <w:bottom w:val="single" w:color="000000" w:sz="6" w:space="0"/>
                              <w:right w:val="single" w:color="000000" w:sz="6" w:space="0"/>
                            </w:tcBorders>
                          </w:tcPr>
                          <w:p>
                            <w:pPr>
                              <w:pStyle w:val="16"/>
                              <w:tabs>
                                <w:tab w:val="left" w:pos="954"/>
                              </w:tabs>
                              <w:spacing w:line="341" w:lineRule="exact"/>
                              <w:ind w:left="534"/>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13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113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709"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85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850"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7"/>
                              <w:jc w:val="right"/>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9"/>
                              <w:jc w:val="right"/>
                              <w:rPr>
                                <w:b/>
                                <w:sz w:val="21"/>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rPr>
                                <w:rFonts w:ascii="Times New Roman"/>
                              </w:rPr>
                            </w:pPr>
                          </w:p>
                        </w:tc>
                        <w:tc>
                          <w:tcPr>
                            <w:tcW w:w="964" w:type="dxa"/>
                            <w:tcBorders>
                              <w:top w:val="single" w:color="000000" w:sz="6" w:space="0"/>
                              <w:left w:val="single" w:color="000000" w:sz="6" w:space="0"/>
                              <w:bottom w:val="single" w:color="000000" w:sz="6" w:space="0"/>
                              <w:right w:val="single" w:color="000000" w:sz="6" w:space="0"/>
                            </w:tcBorders>
                          </w:tcPr>
                          <w:p>
                            <w:pPr>
                              <w:pStyle w:val="16"/>
                              <w:spacing w:line="341" w:lineRule="exact"/>
                              <w:ind w:right="88"/>
                              <w:jc w:val="right"/>
                              <w:rPr>
                                <w:b/>
                                <w:sz w:val="21"/>
                              </w:rPr>
                            </w:pPr>
                          </w:p>
                        </w:tc>
                      </w:tr>
                    </w:tbl>
                    <w:p>
                      <w:pPr>
                        <w:pStyle w:val="4"/>
                      </w:pPr>
                    </w:p>
                  </w:txbxContent>
                </v:textbox>
              </v:shape>
            </w:pict>
          </mc:Fallback>
        </mc:AlternateContent>
      </w:r>
      <w:r>
        <w:t>部门政府采购预算</w:t>
      </w:r>
    </w:p>
    <w:p>
      <w:pPr>
        <w:sectPr>
          <w:pgSz w:w="16840" w:h="11900" w:orient="landscape"/>
          <w:pgMar w:top="1100" w:right="280" w:bottom="900" w:left="300" w:header="0" w:footer="706" w:gutter="0"/>
          <w:cols w:space="720" w:num="1"/>
        </w:sectPr>
      </w:pPr>
    </w:p>
    <w:p/>
    <w:p>
      <w:pPr>
        <w:ind w:firstLine="1426" w:firstLineChars="500"/>
        <w:rPr>
          <w:b/>
          <w:bCs/>
          <w:sz w:val="30"/>
          <w:szCs w:val="30"/>
        </w:rPr>
      </w:pPr>
      <w:r>
        <w:rPr>
          <w:b/>
          <w:bCs/>
          <w:w w:val="95"/>
          <w:sz w:val="30"/>
          <w:szCs w:val="30"/>
        </w:rPr>
        <w:t>七、国有资产信息</w:t>
      </w:r>
    </w:p>
    <w:p>
      <w:pPr>
        <w:pStyle w:val="4"/>
        <w:spacing w:before="192"/>
        <w:ind w:left="1360" w:leftChars="618" w:firstLine="297" w:firstLineChars="98"/>
      </w:pPr>
      <w:r>
        <w:rPr>
          <w:w w:val="95"/>
        </w:rPr>
        <w:t>保定市满城区</w:t>
      </w:r>
      <w:r>
        <w:rPr>
          <w:rFonts w:hint="eastAsia"/>
          <w:w w:val="95"/>
        </w:rPr>
        <w:t>纪委监委</w:t>
      </w:r>
      <w:r>
        <w:rPr>
          <w:w w:val="95"/>
        </w:rPr>
        <w:t>上年末固定资产金额为</w:t>
      </w:r>
      <w:r>
        <w:rPr>
          <w:rFonts w:hint="eastAsia"/>
          <w:w w:val="95"/>
        </w:rPr>
        <w:t>319.83</w:t>
      </w:r>
      <w:r>
        <w:rPr>
          <w:w w:val="95"/>
        </w:rPr>
        <w:t>万元（详见下表</w:t>
      </w:r>
      <w:r>
        <w:rPr>
          <w:spacing w:val="-161"/>
          <w:w w:val="95"/>
        </w:rPr>
        <w:t>）</w:t>
      </w:r>
      <w:r>
        <w:rPr>
          <w:w w:val="95"/>
        </w:rPr>
        <w:t>。</w:t>
      </w:r>
    </w:p>
    <w:p>
      <w:pPr>
        <w:pStyle w:val="4"/>
        <w:spacing w:before="192"/>
        <w:ind w:firstLine="1216" w:firstLineChars="400"/>
        <w:rPr>
          <w:w w:val="95"/>
        </w:rPr>
      </w:pPr>
      <w:r>
        <w:rPr>
          <w:rFonts w:hint="eastAsia"/>
          <w:w w:val="95"/>
        </w:rPr>
        <w:t>2022</w:t>
      </w:r>
      <w:r>
        <w:rPr>
          <w:w w:val="95"/>
        </w:rPr>
        <w:t>年度无拟购置固定资产计划。</w:t>
      </w:r>
    </w:p>
    <w:p>
      <w:pPr>
        <w:pStyle w:val="4"/>
        <w:spacing w:before="192"/>
        <w:ind w:left="1360" w:leftChars="618" w:firstLine="3675" w:firstLineChars="1209"/>
        <w:rPr>
          <w:w w:val="95"/>
        </w:rPr>
      </w:pPr>
      <w:r>
        <w:rPr>
          <w:rFonts w:hint="eastAsia"/>
          <w:w w:val="95"/>
        </w:rPr>
        <w:t>满城区纪委监委固定资产占用情况表</w:t>
      </w:r>
    </w:p>
    <w:p>
      <w:pPr>
        <w:ind w:firstLine="11438" w:firstLineChars="4300"/>
        <w:rPr>
          <w:rFonts w:ascii="宋体" w:hAnsi="宋体" w:eastAsia="宋体" w:cs="宋体"/>
          <w:w w:val="95"/>
          <w:sz w:val="28"/>
          <w:szCs w:val="28"/>
        </w:rPr>
      </w:pPr>
      <w:r>
        <w:rPr>
          <w:w w:val="95"/>
          <w:sz w:val="28"/>
          <w:szCs w:val="28"/>
        </w:rPr>
        <w:t>截止时间：202</w:t>
      </w:r>
      <w:r>
        <w:rPr>
          <w:rFonts w:hint="eastAsia"/>
          <w:w w:val="95"/>
          <w:sz w:val="28"/>
          <w:szCs w:val="28"/>
        </w:rPr>
        <w:t>1</w:t>
      </w:r>
      <w:r>
        <w:rPr>
          <w:w w:val="95"/>
          <w:sz w:val="28"/>
          <w:szCs w:val="28"/>
        </w:rPr>
        <w:t>年12月31日</w:t>
      </w:r>
    </w:p>
    <w:tbl>
      <w:tblPr>
        <w:tblStyle w:val="12"/>
        <w:tblpPr w:leftFromText="180" w:rightFromText="180" w:vertAnchor="text" w:horzAnchor="page" w:tblpX="2327" w:tblpY="413"/>
        <w:tblW w:w="0" w:type="auto"/>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3685"/>
        <w:gridCol w:w="3687"/>
        <w:gridCol w:w="2836"/>
        <w:gridCol w:w="283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3685" w:type="dxa"/>
            <w:tcBorders>
              <w:top w:val="single" w:color="000000" w:sz="6" w:space="0"/>
              <w:left w:val="single" w:color="000000" w:sz="6" w:space="0"/>
              <w:bottom w:val="single" w:color="000000" w:sz="6" w:space="0"/>
              <w:right w:val="nil"/>
            </w:tcBorders>
          </w:tcPr>
          <w:p>
            <w:pPr>
              <w:pStyle w:val="16"/>
              <w:spacing w:line="340" w:lineRule="exact"/>
              <w:ind w:right="149"/>
              <w:jc w:val="right"/>
              <w:rPr>
                <w:b/>
                <w:sz w:val="21"/>
              </w:rPr>
            </w:pPr>
            <w:r>
              <w:rPr>
                <w:b/>
                <w:w w:val="99"/>
                <w:sz w:val="21"/>
              </w:rPr>
              <w:t>项</w:t>
            </w:r>
          </w:p>
        </w:tc>
        <w:tc>
          <w:tcPr>
            <w:tcW w:w="3687" w:type="dxa"/>
            <w:tcBorders>
              <w:top w:val="single" w:color="000000" w:sz="6" w:space="0"/>
              <w:left w:val="nil"/>
              <w:bottom w:val="single" w:color="000000" w:sz="6" w:space="0"/>
              <w:right w:val="single" w:color="000000" w:sz="6" w:space="0"/>
            </w:tcBorders>
          </w:tcPr>
          <w:p>
            <w:pPr>
              <w:pStyle w:val="16"/>
              <w:spacing w:line="340" w:lineRule="exact"/>
              <w:ind w:left="163"/>
              <w:rPr>
                <w:b/>
                <w:sz w:val="21"/>
              </w:rPr>
            </w:pPr>
            <w:r>
              <w:rPr>
                <w:b/>
                <w:w w:val="99"/>
                <w:sz w:val="21"/>
              </w:rPr>
              <w:t>目</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left="237" w:right="233"/>
              <w:jc w:val="center"/>
              <w:rPr>
                <w:b/>
                <w:sz w:val="21"/>
              </w:rPr>
            </w:pPr>
            <w:r>
              <w:rPr>
                <w:b/>
                <w:sz w:val="21"/>
              </w:rPr>
              <w:t>数量</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left="258"/>
              <w:rPr>
                <w:b/>
                <w:sz w:val="21"/>
              </w:rPr>
            </w:pPr>
            <w:r>
              <w:rPr>
                <w:b/>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资产总额</w:t>
            </w:r>
          </w:p>
        </w:tc>
        <w:tc>
          <w:tcPr>
            <w:tcW w:w="2836" w:type="dxa"/>
            <w:tcBorders>
              <w:top w:val="single" w:color="000000" w:sz="6" w:space="0"/>
              <w:left w:val="single" w:color="000000" w:sz="6" w:space="0"/>
              <w:bottom w:val="single" w:color="000000" w:sz="6" w:space="0"/>
              <w:right w:val="single" w:color="000000" w:sz="6" w:space="0"/>
            </w:tcBorders>
          </w:tcPr>
          <w:p>
            <w:pPr>
              <w:pStyle w:val="16"/>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319.83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1、房屋（平方米）</w:t>
            </w:r>
          </w:p>
        </w:tc>
        <w:tc>
          <w:tcPr>
            <w:tcW w:w="2836" w:type="dxa"/>
            <w:tcBorders>
              <w:top w:val="single" w:color="000000" w:sz="6" w:space="0"/>
              <w:left w:val="single" w:color="000000" w:sz="6" w:space="0"/>
              <w:bottom w:val="single" w:color="000000" w:sz="6" w:space="0"/>
              <w:right w:val="single" w:color="000000" w:sz="6" w:space="0"/>
            </w:tcBorders>
          </w:tcPr>
          <w:p>
            <w:pPr>
              <w:pStyle w:val="16"/>
              <w:spacing w:before="42"/>
              <w:ind w:left="238" w:right="230"/>
              <w:jc w:val="center"/>
              <w:rPr>
                <w:rFonts w:asciiTheme="majorEastAsia" w:hAnsiTheme="majorEastAsia" w:eastAsiaTheme="majorEastAsia"/>
                <w:sz w:val="24"/>
              </w:rPr>
            </w:pPr>
            <w:r>
              <w:rPr>
                <w:rFonts w:hint="eastAsia" w:asciiTheme="majorEastAsia" w:hAnsiTheme="majorEastAsia" w:eastAsiaTheme="majorEastAsia"/>
                <w:sz w:val="24"/>
              </w:rPr>
              <w:t>95</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11.4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1"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1" w:lineRule="exact"/>
              <w:ind w:left="528"/>
              <w:rPr>
                <w:rFonts w:asciiTheme="majorEastAsia" w:hAnsiTheme="majorEastAsia" w:eastAsiaTheme="majorEastAsia"/>
                <w:sz w:val="21"/>
              </w:rPr>
            </w:pPr>
            <w:r>
              <w:rPr>
                <w:rFonts w:asciiTheme="majorEastAsia" w:hAnsiTheme="majorEastAsia" w:eastAsiaTheme="majorEastAsia"/>
                <w:sz w:val="21"/>
              </w:rPr>
              <w:t>其中：办公用房（平方米）</w:t>
            </w:r>
          </w:p>
        </w:tc>
        <w:tc>
          <w:tcPr>
            <w:tcW w:w="2836" w:type="dxa"/>
            <w:tcBorders>
              <w:top w:val="single" w:color="000000" w:sz="6" w:space="0"/>
              <w:left w:val="single" w:color="000000" w:sz="6" w:space="0"/>
              <w:bottom w:val="single" w:color="000000" w:sz="6" w:space="0"/>
              <w:right w:val="single" w:color="000000" w:sz="6" w:space="0"/>
            </w:tcBorders>
          </w:tcPr>
          <w:p>
            <w:pPr>
              <w:pStyle w:val="16"/>
              <w:spacing w:before="41"/>
              <w:ind w:left="238" w:right="230"/>
              <w:jc w:val="center"/>
              <w:rPr>
                <w:rFonts w:asciiTheme="majorEastAsia" w:hAnsiTheme="majorEastAsia" w:eastAsiaTheme="majorEastAsia"/>
                <w:sz w:val="24"/>
              </w:rPr>
            </w:pPr>
            <w:r>
              <w:rPr>
                <w:rFonts w:hint="eastAsia" w:asciiTheme="majorEastAsia" w:hAnsiTheme="majorEastAsia" w:eastAsiaTheme="majorEastAsia"/>
                <w:sz w:val="24"/>
              </w:rPr>
              <w:t>95</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1"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11.4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2、车辆（台、辆）</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left="238" w:right="230"/>
              <w:jc w:val="center"/>
              <w:rPr>
                <w:rFonts w:asciiTheme="majorEastAsia" w:hAnsiTheme="majorEastAsia" w:eastAsiaTheme="majorEastAsia"/>
                <w:sz w:val="21"/>
              </w:rPr>
            </w:pPr>
            <w:r>
              <w:rPr>
                <w:rFonts w:hint="eastAsia" w:asciiTheme="majorEastAsia" w:hAnsiTheme="majorEastAsia" w:eastAsiaTheme="majorEastAsia"/>
                <w:sz w:val="21"/>
              </w:rPr>
              <w:t>8</w:t>
            </w: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102.90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3</w:t>
            </w:r>
            <w:r>
              <w:rPr>
                <w:rFonts w:asciiTheme="majorEastAsia" w:hAnsiTheme="majorEastAsia" w:eastAsiaTheme="majorEastAsia"/>
                <w:spacing w:val="-3"/>
                <w:sz w:val="21"/>
              </w:rPr>
              <w:t>、通用</w:t>
            </w:r>
            <w:r>
              <w:rPr>
                <w:rFonts w:asciiTheme="majorEastAsia" w:hAnsiTheme="majorEastAsia" w:eastAsiaTheme="majorEastAsia"/>
                <w:spacing w:val="-4"/>
                <w:sz w:val="21"/>
              </w:rPr>
              <w:t>设备</w:t>
            </w:r>
            <w:r>
              <w:rPr>
                <w:rFonts w:hint="eastAsia" w:asciiTheme="majorEastAsia" w:hAnsiTheme="majorEastAsia" w:eastAsiaTheme="majorEastAsia"/>
                <w:spacing w:val="-4"/>
                <w:sz w:val="21"/>
              </w:rPr>
              <w:t>（除车辆外）</w:t>
            </w:r>
          </w:p>
        </w:tc>
        <w:tc>
          <w:tcPr>
            <w:tcW w:w="2836" w:type="dxa"/>
            <w:tcBorders>
              <w:top w:val="single" w:color="000000" w:sz="6" w:space="0"/>
              <w:left w:val="single" w:color="000000" w:sz="6" w:space="0"/>
              <w:bottom w:val="single" w:color="000000" w:sz="6" w:space="0"/>
              <w:right w:val="single" w:color="000000" w:sz="6" w:space="0"/>
            </w:tcBorders>
          </w:tcPr>
          <w:p>
            <w:pPr>
              <w:pStyle w:val="16"/>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6"/>
              <w:jc w:val="right"/>
              <w:rPr>
                <w:rFonts w:asciiTheme="majorEastAsia" w:hAnsiTheme="majorEastAsia" w:eastAsiaTheme="majorEastAsia"/>
                <w:sz w:val="21"/>
              </w:rPr>
            </w:pPr>
            <w:r>
              <w:rPr>
                <w:rFonts w:hint="eastAsia" w:asciiTheme="majorEastAsia" w:hAnsiTheme="majorEastAsia" w:eastAsiaTheme="majorEastAsia"/>
                <w:w w:val="99"/>
                <w:sz w:val="21"/>
              </w:rPr>
              <w:t>163.18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hint="eastAsia" w:asciiTheme="majorEastAsia" w:hAnsiTheme="majorEastAsia" w:eastAsiaTheme="majorEastAsia"/>
                <w:sz w:val="21"/>
              </w:rPr>
              <w:t>4、专用设备</w:t>
            </w:r>
          </w:p>
        </w:tc>
        <w:tc>
          <w:tcPr>
            <w:tcW w:w="2836" w:type="dxa"/>
            <w:tcBorders>
              <w:top w:val="single" w:color="000000" w:sz="6" w:space="0"/>
              <w:left w:val="single" w:color="000000" w:sz="6" w:space="0"/>
              <w:bottom w:val="single" w:color="000000" w:sz="6" w:space="0"/>
              <w:right w:val="single" w:color="000000" w:sz="6" w:space="0"/>
            </w:tcBorders>
          </w:tcPr>
          <w:p>
            <w:pPr>
              <w:pStyle w:val="16"/>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6"/>
              <w:jc w:val="right"/>
              <w:rPr>
                <w:rFonts w:asciiTheme="majorEastAsia" w:hAnsiTheme="majorEastAsia" w:eastAsiaTheme="majorEastAsia"/>
                <w:w w:val="99"/>
                <w:sz w:val="21"/>
              </w:rPr>
            </w:pPr>
            <w:r>
              <w:rPr>
                <w:rFonts w:hint="eastAsia" w:asciiTheme="majorEastAsia" w:hAnsiTheme="majorEastAsia" w:eastAsiaTheme="majorEastAsia"/>
                <w:w w:val="99"/>
                <w:sz w:val="21"/>
              </w:rPr>
              <w:t>2.10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0" w:hRule="atLeast"/>
        </w:trPr>
        <w:tc>
          <w:tcPr>
            <w:tcW w:w="7372" w:type="dxa"/>
            <w:gridSpan w:val="2"/>
            <w:tcBorders>
              <w:top w:val="single" w:color="000000" w:sz="6" w:space="0"/>
              <w:left w:val="single" w:color="000000" w:sz="6" w:space="0"/>
              <w:bottom w:val="single" w:color="000000" w:sz="6" w:space="0"/>
              <w:right w:val="single" w:color="000000" w:sz="6" w:space="0"/>
            </w:tcBorders>
          </w:tcPr>
          <w:p>
            <w:pPr>
              <w:pStyle w:val="16"/>
              <w:spacing w:line="340" w:lineRule="exact"/>
              <w:ind w:left="108"/>
              <w:rPr>
                <w:rFonts w:asciiTheme="majorEastAsia" w:hAnsiTheme="majorEastAsia" w:eastAsiaTheme="majorEastAsia"/>
                <w:sz w:val="21"/>
              </w:rPr>
            </w:pPr>
            <w:r>
              <w:rPr>
                <w:rFonts w:asciiTheme="majorEastAsia" w:hAnsiTheme="majorEastAsia" w:eastAsiaTheme="majorEastAsia"/>
                <w:sz w:val="21"/>
              </w:rPr>
              <w:t>4、</w:t>
            </w:r>
            <w:r>
              <w:rPr>
                <w:rFonts w:hint="eastAsia" w:asciiTheme="majorEastAsia" w:hAnsiTheme="majorEastAsia" w:eastAsiaTheme="majorEastAsia"/>
                <w:sz w:val="21"/>
              </w:rPr>
              <w:t>家具、用具、装具等</w:t>
            </w:r>
          </w:p>
        </w:tc>
        <w:tc>
          <w:tcPr>
            <w:tcW w:w="2836" w:type="dxa"/>
            <w:tcBorders>
              <w:top w:val="single" w:color="000000" w:sz="6" w:space="0"/>
              <w:left w:val="single" w:color="000000" w:sz="6" w:space="0"/>
              <w:bottom w:val="single" w:color="000000" w:sz="6" w:space="0"/>
              <w:right w:val="single" w:color="000000" w:sz="6" w:space="0"/>
            </w:tcBorders>
          </w:tcPr>
          <w:p>
            <w:pPr>
              <w:pStyle w:val="16"/>
              <w:rPr>
                <w:rFonts w:asciiTheme="majorEastAsia" w:hAnsiTheme="majorEastAsia" w:eastAsiaTheme="majorEastAsia"/>
                <w:sz w:val="26"/>
              </w:rPr>
            </w:pPr>
          </w:p>
        </w:tc>
        <w:tc>
          <w:tcPr>
            <w:tcW w:w="2836" w:type="dxa"/>
            <w:tcBorders>
              <w:top w:val="single" w:color="000000" w:sz="6" w:space="0"/>
              <w:left w:val="single" w:color="000000" w:sz="6" w:space="0"/>
              <w:bottom w:val="single" w:color="000000" w:sz="6" w:space="0"/>
              <w:right w:val="single" w:color="000000" w:sz="6" w:space="0"/>
            </w:tcBorders>
          </w:tcPr>
          <w:p>
            <w:pPr>
              <w:pStyle w:val="16"/>
              <w:spacing w:line="340" w:lineRule="exact"/>
              <w:ind w:right="95"/>
              <w:jc w:val="right"/>
              <w:rPr>
                <w:rFonts w:asciiTheme="majorEastAsia" w:hAnsiTheme="majorEastAsia" w:eastAsiaTheme="majorEastAsia"/>
                <w:sz w:val="21"/>
              </w:rPr>
            </w:pPr>
            <w:r>
              <w:rPr>
                <w:rFonts w:hint="eastAsia" w:asciiTheme="majorEastAsia" w:hAnsiTheme="majorEastAsia" w:eastAsiaTheme="majorEastAsia"/>
                <w:sz w:val="21"/>
              </w:rPr>
              <w:t>40.25</w:t>
            </w:r>
          </w:p>
        </w:tc>
      </w:tr>
    </w:tbl>
    <w:p>
      <w:pPr>
        <w:ind w:firstLine="15200" w:firstLineChars="5000"/>
        <w:rPr>
          <w:rFonts w:ascii="宋体" w:hAnsi="宋体" w:eastAsia="宋体" w:cs="宋体"/>
          <w:w w:val="95"/>
          <w:sz w:val="32"/>
          <w:szCs w:val="32"/>
        </w:rPr>
        <w:sectPr>
          <w:pgSz w:w="16840" w:h="11900" w:orient="landscape"/>
          <w:pgMar w:top="1100" w:right="280" w:bottom="980" w:left="300" w:header="0" w:footer="706" w:gutter="0"/>
          <w:cols w:space="720" w:num="1"/>
        </w:sectPr>
      </w:pPr>
    </w:p>
    <w:p>
      <w:pPr>
        <w:pStyle w:val="4"/>
        <w:spacing w:before="54"/>
        <w:ind w:firstLine="1281" w:firstLineChars="400"/>
        <w:rPr>
          <w:rFonts w:ascii="Microsoft YaHei UI" w:hAnsi="微软雅黑" w:eastAsia="Microsoft YaHei UI" w:cs="微软雅黑"/>
          <w:b/>
          <w:szCs w:val="22"/>
          <w:u w:val="single"/>
        </w:rPr>
      </w:pPr>
      <w:bookmarkStart w:id="24" w:name="_bookmark15"/>
      <w:bookmarkEnd w:id="24"/>
      <w:bookmarkStart w:id="25" w:name="_bookmark16"/>
      <w:bookmarkEnd w:id="25"/>
      <w:bookmarkStart w:id="26" w:name="七、国有资产信息"/>
      <w:bookmarkEnd w:id="26"/>
      <w:bookmarkStart w:id="27" w:name="_bookmark14"/>
      <w:bookmarkEnd w:id="27"/>
      <w:bookmarkStart w:id="28" w:name="八、名词解释"/>
      <w:bookmarkEnd w:id="28"/>
      <w:bookmarkStart w:id="29" w:name="六、政府采购预算情况"/>
      <w:bookmarkEnd w:id="29"/>
      <w:r>
        <w:rPr>
          <w:rFonts w:hint="eastAsia" w:ascii="Microsoft YaHei UI" w:hAnsi="微软雅黑" w:eastAsia="Microsoft YaHei UI" w:cs="微软雅黑"/>
          <w:b/>
          <w:szCs w:val="22"/>
          <w:u w:val="single"/>
        </w:rPr>
        <w:t>八、名词解释</w:t>
      </w:r>
    </w:p>
    <w:p>
      <w:pPr>
        <w:spacing w:before="75" w:line="564" w:lineRule="exact"/>
        <w:ind w:left="1360"/>
        <w:rPr>
          <w:rFonts w:ascii="宋体" w:eastAsia="宋体"/>
          <w:sz w:val="32"/>
        </w:rPr>
      </w:pPr>
      <w:r>
        <w:rPr>
          <w:rFonts w:hint="eastAsia" w:ascii="宋体" w:eastAsia="宋体"/>
          <w:b/>
          <w:sz w:val="32"/>
        </w:rPr>
        <w:t>1、</w:t>
      </w:r>
      <w:r>
        <w:rPr>
          <w:rFonts w:hint="eastAsia" w:ascii="Microsoft YaHei UI" w:eastAsia="Microsoft YaHei UI"/>
          <w:b/>
          <w:sz w:val="32"/>
        </w:rPr>
        <w:t>一般公共预算拨款收入：</w:t>
      </w:r>
      <w:r>
        <w:rPr>
          <w:rFonts w:hint="eastAsia" w:ascii="宋体" w:eastAsia="宋体"/>
          <w:sz w:val="32"/>
        </w:rPr>
        <w:t>指区级财政当年拨付的资金。</w:t>
      </w:r>
    </w:p>
    <w:p>
      <w:pPr>
        <w:pStyle w:val="4"/>
        <w:spacing w:line="564" w:lineRule="exact"/>
        <w:ind w:left="1360"/>
      </w:pPr>
      <w:r>
        <w:rPr>
          <w:rFonts w:hint="eastAsia"/>
          <w:b/>
        </w:rPr>
        <w:t>2</w:t>
      </w:r>
      <w:r>
        <w:rPr>
          <w:b/>
        </w:rPr>
        <w:t>、</w:t>
      </w:r>
      <w:r>
        <w:rPr>
          <w:rFonts w:hint="eastAsia" w:ascii="Microsoft YaHei UI" w:eastAsia="Microsoft YaHei UI"/>
          <w:b/>
        </w:rPr>
        <w:t>基本支出：</w:t>
      </w:r>
      <w:r>
        <w:t>指为保障机构正常运转、完成日常工作任务而发生的人员支出和公用支出。</w:t>
      </w:r>
    </w:p>
    <w:p>
      <w:pPr>
        <w:pStyle w:val="4"/>
        <w:spacing w:line="560" w:lineRule="exact"/>
        <w:ind w:left="1360"/>
      </w:pPr>
      <w:r>
        <w:rPr>
          <w:rFonts w:hint="eastAsia"/>
          <w:b/>
        </w:rPr>
        <w:t>3</w:t>
      </w:r>
      <w:r>
        <w:rPr>
          <w:b/>
        </w:rPr>
        <w:t>、</w:t>
      </w:r>
      <w:r>
        <w:rPr>
          <w:rFonts w:hint="eastAsia" w:ascii="Microsoft YaHei UI" w:eastAsia="Microsoft YaHei UI"/>
          <w:b/>
        </w:rPr>
        <w:t>项目支出：</w:t>
      </w:r>
      <w:r>
        <w:t>指在基本支出之外为完成特定行政任务和事业发展目标所发生的支出。</w:t>
      </w:r>
    </w:p>
    <w:p>
      <w:pPr>
        <w:pStyle w:val="4"/>
        <w:spacing w:line="564" w:lineRule="exact"/>
        <w:ind w:left="1360"/>
      </w:pPr>
      <w:r>
        <w:rPr>
          <w:rFonts w:hint="eastAsia"/>
          <w:b/>
        </w:rPr>
        <w:t>4</w:t>
      </w:r>
      <w:r>
        <w:rPr>
          <w:b/>
        </w:rPr>
        <w:t>、</w:t>
      </w:r>
      <w:r>
        <w:rPr>
          <w:rFonts w:hint="eastAsia" w:ascii="Microsoft YaHei UI" w:hAnsi="Microsoft YaHei UI" w:eastAsia="Microsoft YaHei UI"/>
          <w:b/>
        </w:rPr>
        <w:t>“三公”经费：</w:t>
      </w:r>
      <w:r>
        <w:t>纳入</w:t>
      </w:r>
      <w:r>
        <w:rPr>
          <w:rFonts w:hint="eastAsia"/>
        </w:rPr>
        <w:t>区</w:t>
      </w:r>
      <w:r>
        <w:t>级财政预算管理的“三公”经费，是指</w:t>
      </w:r>
      <w:r>
        <w:rPr>
          <w:rFonts w:hint="eastAsia"/>
        </w:rPr>
        <w:t>区</w:t>
      </w:r>
      <w:r>
        <w:t>级部门用财政拨款安排的因公出国</w:t>
      </w:r>
    </w:p>
    <w:p>
      <w:pPr>
        <w:pStyle w:val="4"/>
        <w:spacing w:before="76"/>
        <w:ind w:left="720"/>
      </w:pPr>
      <w:r>
        <w:t>（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4"/>
        <w:spacing w:before="54" w:line="326" w:lineRule="auto"/>
        <w:ind w:right="819"/>
        <w:jc w:val="both"/>
      </w:pPr>
      <w:r>
        <w:rPr>
          <w:rFonts w:hint="eastAsia"/>
        </w:rPr>
        <w:t xml:space="preserve">   </w:t>
      </w:r>
      <w:r>
        <w:rPr>
          <w:rFonts w:hint="eastAsia"/>
          <w:b/>
        </w:rPr>
        <w:t xml:space="preserve">     </w:t>
      </w:r>
      <w:r>
        <w:rPr>
          <w:rFonts w:hint="eastAsia" w:ascii="Microsoft YaHei UI" w:hAnsi="Microsoft YaHei UI" w:eastAsia="Microsoft YaHei UI"/>
          <w:b/>
        </w:rPr>
        <w:t>5、公务费</w:t>
      </w:r>
      <w:r>
        <w:rPr>
          <w:rFonts w:hint="eastAsia"/>
          <w:b/>
        </w:rPr>
        <w:t>：</w:t>
      </w:r>
      <w:r>
        <w:rPr>
          <w:rFonts w:hint="eastAsia"/>
        </w:rPr>
        <w:t>包括办公费、水电费、邮电费、取暖费、交通费、一般会议费和物业管理费。</w:t>
      </w:r>
    </w:p>
    <w:p>
      <w:pPr>
        <w:pStyle w:val="4"/>
        <w:spacing w:line="490" w:lineRule="exact"/>
        <w:ind w:firstLine="1277" w:firstLineChars="400"/>
      </w:pPr>
      <w:r>
        <w:rPr>
          <w:rFonts w:hint="eastAsia"/>
          <w:b/>
          <w:spacing w:val="-1"/>
        </w:rPr>
        <w:t>6</w:t>
      </w:r>
      <w:r>
        <w:rPr>
          <w:b/>
          <w:spacing w:val="-1"/>
        </w:rPr>
        <w:t>、</w:t>
      </w:r>
      <w:r>
        <w:rPr>
          <w:rFonts w:hint="eastAsia" w:ascii="Microsoft YaHei UI" w:eastAsia="Microsoft YaHei UI"/>
          <w:b/>
          <w:spacing w:val="-1"/>
        </w:rPr>
        <w:t>机关运行费：</w:t>
      </w:r>
      <w:r>
        <w:rPr>
          <w:spacing w:val="-1"/>
        </w:rPr>
        <w:t>是指各部门的公用经费，包括办公及印刷费、邮电费、差旅费、会议费、福利费、日</w:t>
      </w:r>
    </w:p>
    <w:p>
      <w:pPr>
        <w:pStyle w:val="4"/>
        <w:spacing w:before="77" w:line="326" w:lineRule="auto"/>
        <w:ind w:left="720" w:right="819"/>
      </w:pPr>
      <w:r>
        <w:rPr>
          <w:w w:val="95"/>
        </w:rPr>
        <w:t>常维修费、专用材料及一般设备购置费、办公用房水电费、办公用房取暖费、办公用房物业管理费、公务</w:t>
      </w:r>
      <w:r>
        <w:t>用车运行维护费以及其他费用。</w:t>
      </w:r>
    </w:p>
    <w:p>
      <w:pPr>
        <w:pStyle w:val="4"/>
        <w:spacing w:line="560" w:lineRule="exact"/>
        <w:ind w:left="1360"/>
        <w:rPr>
          <w:rFonts w:ascii="Microsoft YaHei UI" w:eastAsia="Microsoft YaHei UI"/>
          <w:b/>
        </w:rPr>
      </w:pPr>
      <w:r>
        <w:rPr>
          <w:rFonts w:hint="eastAsia" w:ascii="Microsoft YaHei UI" w:eastAsia="Microsoft YaHei UI"/>
          <w:b/>
        </w:rPr>
        <w:t>九、其他需要说明的事项</w:t>
      </w:r>
    </w:p>
    <w:p>
      <w:pPr>
        <w:pStyle w:val="4"/>
        <w:spacing w:before="168"/>
        <w:ind w:left="1360"/>
      </w:pPr>
      <w:r>
        <w:t>我部门无其他需要说明的事项</w:t>
      </w:r>
      <w:bookmarkStart w:id="30" w:name="_bookmark7"/>
      <w:bookmarkEnd w:id="30"/>
      <w:bookmarkStart w:id="31" w:name="_bookmark5"/>
      <w:bookmarkEnd w:id="31"/>
      <w:bookmarkStart w:id="32" w:name="部门预算政府基金预算财政拨款支出表"/>
      <w:bookmarkEnd w:id="32"/>
      <w:bookmarkStart w:id="33" w:name="九、其他需要说明的事项"/>
      <w:bookmarkEnd w:id="33"/>
      <w:bookmarkStart w:id="34" w:name="_bookmark17"/>
      <w:bookmarkEnd w:id="34"/>
      <w:bookmarkStart w:id="35" w:name="部门预算国有资本经营预算财政拨款支出表"/>
      <w:bookmarkEnd w:id="35"/>
      <w:bookmarkStart w:id="36" w:name="部门预算一般公共预算财政拨款基本支出表"/>
      <w:bookmarkEnd w:id="36"/>
      <w:bookmarkStart w:id="37" w:name="_bookmark6"/>
      <w:bookmarkEnd w:id="37"/>
      <w:r>
        <w:rPr>
          <w:rFonts w:hint="eastAsia"/>
        </w:rPr>
        <w:t>。</w:t>
      </w:r>
    </w:p>
    <w:sectPr>
      <w:pgSz w:w="16840" w:h="11900" w:orient="landscape"/>
      <w:pgMar w:top="1100" w:right="280" w:bottom="980" w:left="300" w:header="0" w:footer="70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方正黑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9"/>
      </w:rPr>
    </w:pPr>
    <w:r>
      <mc:AlternateContent>
        <mc:Choice Requires="wps">
          <w:drawing>
            <wp:anchor distT="0" distB="0" distL="114300" distR="114300" simplePos="0" relativeHeight="251659264" behindDoc="1" locked="0" layoutInCell="1" allowOverlap="1">
              <wp:simplePos x="0" y="0"/>
              <wp:positionH relativeFrom="page">
                <wp:posOffset>9855200</wp:posOffset>
              </wp:positionH>
              <wp:positionV relativeFrom="page">
                <wp:posOffset>6917055</wp:posOffset>
              </wp:positionV>
              <wp:extent cx="228600" cy="19431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28600" cy="194310"/>
                      </a:xfrm>
                      <a:prstGeom prst="rect">
                        <a:avLst/>
                      </a:prstGeom>
                      <a:noFill/>
                      <a:ln>
                        <a:noFill/>
                      </a:ln>
                      <a:effectLst/>
                    </wps:spPr>
                    <wps:txbx>
                      <w:txbxContent>
                        <w:p>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sz w:val="24"/>
                            </w:rPr>
                            <w:t>30</w:t>
                          </w:r>
                          <w:r>
                            <w:fldChar w:fldCharType="end"/>
                          </w:r>
                        </w:p>
                      </w:txbxContent>
                    </wps:txbx>
                    <wps:bodyPr lIns="0" tIns="0" rIns="0" bIns="0" upright="1"/>
                  </wps:wsp>
                </a:graphicData>
              </a:graphic>
            </wp:anchor>
          </w:drawing>
        </mc:Choice>
        <mc:Fallback>
          <w:pict>
            <v:shape id="文本框 1" o:spid="_x0000_s1026" o:spt="202" type="#_x0000_t202" style="position:absolute;left:0pt;margin-left:776pt;margin-top:544.65pt;height:15.3pt;width:18pt;mso-position-horizontal-relative:page;mso-position-vertical-relative:page;z-index:-251657216;mso-width-relative:page;mso-height-relative:page;" filled="f" stroked="f" coordsize="21600,21600" o:gfxdata="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WE5ITaAAAADwEAAA8AAAAAAAAAAQAgAAAAIgAAAGRycy9kb3ducmV2Lnht&#10;bFBLAQIUABQAAAAIAIdO4kDNV9iqvgEAAH8DAAAOAAAAAAAAAAEAIAAAACkBAABkcnMvZTJvRG9j&#10;LnhtbFBLBQYAAAAABgAGAFkBAABZBQAAAAA=&#10;">
              <v:fill on="f" focussize="0,0"/>
              <v:stroke on="f"/>
              <v:imagedata o:title=""/>
              <o:lock v:ext="edit" aspectratio="f"/>
              <v:textbox inset="0mm,0mm,0mm,0mm">
                <w:txbxContent>
                  <w:p>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sz w:val="24"/>
                      </w:rP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2413B6"/>
    <w:multiLevelType w:val="singleLevel"/>
    <w:tmpl w:val="112413B6"/>
    <w:lvl w:ilvl="0" w:tentative="0">
      <w:start w:val="1"/>
      <w:numFmt w:val="chineseCounting"/>
      <w:suff w:val="nothing"/>
      <w:lvlText w:val="%1、"/>
      <w:lvlJc w:val="left"/>
      <w:rPr>
        <w:rFonts w:hint="eastAsia"/>
      </w:rPr>
    </w:lvl>
  </w:abstractNum>
  <w:abstractNum w:abstractNumId="1">
    <w:nsid w:val="382E6EA6"/>
    <w:multiLevelType w:val="multilevel"/>
    <w:tmpl w:val="382E6EA6"/>
    <w:lvl w:ilvl="0" w:tentative="0">
      <w:start w:val="1"/>
      <w:numFmt w:val="decimal"/>
      <w:lvlText w:val="%1"/>
      <w:lvlJc w:val="left"/>
      <w:pPr>
        <w:ind w:left="615" w:hanging="615"/>
      </w:pPr>
      <w:rPr>
        <w:rFonts w:hint="default" w:ascii="仿宋_GB2312" w:hAnsi="仿宋"/>
      </w:rPr>
    </w:lvl>
    <w:lvl w:ilvl="1" w:tentative="0">
      <w:start w:val="1"/>
      <w:numFmt w:val="decimal"/>
      <w:lvlText w:val="%1.%2"/>
      <w:lvlJc w:val="left"/>
      <w:pPr>
        <w:ind w:left="1925" w:hanging="720"/>
      </w:pPr>
      <w:rPr>
        <w:rFonts w:hint="default" w:ascii="仿宋_GB2312" w:hAnsi="仿宋"/>
      </w:rPr>
    </w:lvl>
    <w:lvl w:ilvl="2" w:tentative="0">
      <w:start w:val="1"/>
      <w:numFmt w:val="decimal"/>
      <w:lvlText w:val="%1.%2.%3"/>
      <w:lvlJc w:val="left"/>
      <w:pPr>
        <w:ind w:left="3490" w:hanging="1080"/>
      </w:pPr>
      <w:rPr>
        <w:rFonts w:hint="default" w:ascii="仿宋_GB2312" w:hAnsi="仿宋"/>
      </w:rPr>
    </w:lvl>
    <w:lvl w:ilvl="3" w:tentative="0">
      <w:start w:val="1"/>
      <w:numFmt w:val="decimal"/>
      <w:lvlText w:val="%1.%2.%3.%4"/>
      <w:lvlJc w:val="left"/>
      <w:pPr>
        <w:ind w:left="5055" w:hanging="1440"/>
      </w:pPr>
      <w:rPr>
        <w:rFonts w:hint="default" w:ascii="仿宋_GB2312" w:hAnsi="仿宋"/>
      </w:rPr>
    </w:lvl>
    <w:lvl w:ilvl="4" w:tentative="0">
      <w:start w:val="1"/>
      <w:numFmt w:val="decimal"/>
      <w:lvlText w:val="%1.%2.%3.%4.%5"/>
      <w:lvlJc w:val="left"/>
      <w:pPr>
        <w:ind w:left="6260" w:hanging="1440"/>
      </w:pPr>
      <w:rPr>
        <w:rFonts w:hint="default" w:ascii="仿宋_GB2312" w:hAnsi="仿宋"/>
      </w:rPr>
    </w:lvl>
    <w:lvl w:ilvl="5" w:tentative="0">
      <w:start w:val="1"/>
      <w:numFmt w:val="decimal"/>
      <w:lvlText w:val="%1.%2.%3.%4.%5.%6"/>
      <w:lvlJc w:val="left"/>
      <w:pPr>
        <w:ind w:left="7825" w:hanging="1800"/>
      </w:pPr>
      <w:rPr>
        <w:rFonts w:hint="default" w:ascii="仿宋_GB2312" w:hAnsi="仿宋"/>
      </w:rPr>
    </w:lvl>
    <w:lvl w:ilvl="6" w:tentative="0">
      <w:start w:val="1"/>
      <w:numFmt w:val="decimal"/>
      <w:lvlText w:val="%1.%2.%3.%4.%5.%6.%7"/>
      <w:lvlJc w:val="left"/>
      <w:pPr>
        <w:ind w:left="9390" w:hanging="2160"/>
      </w:pPr>
      <w:rPr>
        <w:rFonts w:hint="default" w:ascii="仿宋_GB2312" w:hAnsi="仿宋"/>
      </w:rPr>
    </w:lvl>
    <w:lvl w:ilvl="7" w:tentative="0">
      <w:start w:val="1"/>
      <w:numFmt w:val="decimal"/>
      <w:lvlText w:val="%1.%2.%3.%4.%5.%6.%7.%8"/>
      <w:lvlJc w:val="left"/>
      <w:pPr>
        <w:ind w:left="10955" w:hanging="2520"/>
      </w:pPr>
      <w:rPr>
        <w:rFonts w:hint="default" w:ascii="仿宋_GB2312" w:hAnsi="仿宋"/>
      </w:rPr>
    </w:lvl>
    <w:lvl w:ilvl="8" w:tentative="0">
      <w:start w:val="1"/>
      <w:numFmt w:val="decimal"/>
      <w:lvlText w:val="%1.%2.%3.%4.%5.%6.%7.%8.%9"/>
      <w:lvlJc w:val="left"/>
      <w:pPr>
        <w:ind w:left="12520" w:hanging="2880"/>
      </w:pPr>
      <w:rPr>
        <w:rFonts w:hint="default" w:ascii="仿宋_GB2312" w:hAnsi="仿宋"/>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noPunctuationKerning w:val="1"/>
  <w:characterSpacingControl w:val="doNotCompress"/>
  <w:hdrShapeDefaults>
    <o:shapelayout v:ext="edit">
      <o:idmap v:ext="edit" data="2"/>
    </o:shapelayout>
  </w:hdrShapeDefault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M2VmMGMyYjFiYzEzMTg1ZDAwMTA0MGY1MDI0YTAifQ=="/>
  </w:docVars>
  <w:rsids>
    <w:rsidRoot w:val="00172A27"/>
    <w:rsid w:val="00172A27"/>
    <w:rsid w:val="00231AB4"/>
    <w:rsid w:val="00264208"/>
    <w:rsid w:val="00391D77"/>
    <w:rsid w:val="003D0473"/>
    <w:rsid w:val="005824B0"/>
    <w:rsid w:val="005B48BE"/>
    <w:rsid w:val="005C213A"/>
    <w:rsid w:val="00690EE6"/>
    <w:rsid w:val="00770DAD"/>
    <w:rsid w:val="007E2D73"/>
    <w:rsid w:val="008048C2"/>
    <w:rsid w:val="008F4A2B"/>
    <w:rsid w:val="00956612"/>
    <w:rsid w:val="00A122F3"/>
    <w:rsid w:val="00A407FE"/>
    <w:rsid w:val="00BB4F8E"/>
    <w:rsid w:val="00C4573C"/>
    <w:rsid w:val="00C53CEF"/>
    <w:rsid w:val="00CA3079"/>
    <w:rsid w:val="00CC1032"/>
    <w:rsid w:val="00CF174E"/>
    <w:rsid w:val="00CF3504"/>
    <w:rsid w:val="00D001DB"/>
    <w:rsid w:val="00D85211"/>
    <w:rsid w:val="00D9207F"/>
    <w:rsid w:val="00E27044"/>
    <w:rsid w:val="00FD01FD"/>
    <w:rsid w:val="00FE4BC8"/>
    <w:rsid w:val="01812BB2"/>
    <w:rsid w:val="04561E96"/>
    <w:rsid w:val="07480FF5"/>
    <w:rsid w:val="09C80241"/>
    <w:rsid w:val="0ABC55CE"/>
    <w:rsid w:val="0EEF1509"/>
    <w:rsid w:val="15575B16"/>
    <w:rsid w:val="15732E58"/>
    <w:rsid w:val="189C0824"/>
    <w:rsid w:val="1B6E165C"/>
    <w:rsid w:val="1F9562E0"/>
    <w:rsid w:val="21F36A31"/>
    <w:rsid w:val="25B478AE"/>
    <w:rsid w:val="26741135"/>
    <w:rsid w:val="27505673"/>
    <w:rsid w:val="35044A71"/>
    <w:rsid w:val="359235FF"/>
    <w:rsid w:val="360B2A33"/>
    <w:rsid w:val="36A51496"/>
    <w:rsid w:val="38B25085"/>
    <w:rsid w:val="38CF0119"/>
    <w:rsid w:val="3C4D1AD9"/>
    <w:rsid w:val="3FE80518"/>
    <w:rsid w:val="44CB519C"/>
    <w:rsid w:val="47D44EB5"/>
    <w:rsid w:val="490A587B"/>
    <w:rsid w:val="4EED45A0"/>
    <w:rsid w:val="5E3B3E42"/>
    <w:rsid w:val="61C94C5E"/>
    <w:rsid w:val="623F097F"/>
    <w:rsid w:val="629C6D4D"/>
    <w:rsid w:val="65E84A71"/>
    <w:rsid w:val="688D7219"/>
    <w:rsid w:val="6A463634"/>
    <w:rsid w:val="6EBC2EB7"/>
    <w:rsid w:val="739A18CB"/>
    <w:rsid w:val="74C82344"/>
    <w:rsid w:val="7AB56F38"/>
    <w:rsid w:val="7E0515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zh-CN" w:bidi="ar-SA"/>
    </w:rPr>
  </w:style>
  <w:style w:type="paragraph" w:styleId="2">
    <w:name w:val="heading 1"/>
    <w:basedOn w:val="1"/>
    <w:next w:val="1"/>
    <w:qFormat/>
    <w:uiPriority w:val="1"/>
    <w:pPr>
      <w:spacing w:before="6"/>
      <w:ind w:left="4680" w:right="4699"/>
      <w:jc w:val="center"/>
      <w:outlineLvl w:val="0"/>
    </w:pPr>
    <w:rPr>
      <w:sz w:val="36"/>
      <w:szCs w:val="36"/>
    </w:rPr>
  </w:style>
  <w:style w:type="paragraph" w:styleId="3">
    <w:name w:val="heading 2"/>
    <w:basedOn w:val="1"/>
    <w:next w:val="1"/>
    <w:qFormat/>
    <w:uiPriority w:val="1"/>
    <w:pPr>
      <w:ind w:left="1360"/>
      <w:outlineLvl w:val="1"/>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rPr>
  </w:style>
  <w:style w:type="paragraph" w:styleId="5">
    <w:name w:val="Balloon Text"/>
    <w:basedOn w:val="1"/>
    <w:link w:val="18"/>
    <w:qFormat/>
    <w:uiPriority w:val="0"/>
    <w:rPr>
      <w:sz w:val="18"/>
      <w:szCs w:val="18"/>
    </w:rPr>
  </w:style>
  <w:style w:type="paragraph" w:styleId="6">
    <w:name w:val="footer"/>
    <w:basedOn w:val="1"/>
    <w:link w:val="20"/>
    <w:qFormat/>
    <w:uiPriority w:val="0"/>
    <w:pPr>
      <w:tabs>
        <w:tab w:val="center" w:pos="4153"/>
        <w:tab w:val="right" w:pos="8306"/>
      </w:tabs>
      <w:snapToGrid w:val="0"/>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1"/>
    <w:pPr>
      <w:spacing w:before="240"/>
      <w:ind w:left="720"/>
    </w:pPr>
    <w:rPr>
      <w:b/>
      <w:bCs/>
      <w:sz w:val="28"/>
      <w:szCs w:val="28"/>
    </w:rPr>
  </w:style>
  <w:style w:type="paragraph" w:styleId="9">
    <w:name w:val="toc 2"/>
    <w:basedOn w:val="1"/>
    <w:next w:val="1"/>
    <w:qFormat/>
    <w:uiPriority w:val="1"/>
    <w:pPr>
      <w:spacing w:before="84"/>
      <w:ind w:left="1279"/>
    </w:pPr>
    <w:rPr>
      <w:sz w:val="28"/>
      <w:szCs w:val="28"/>
    </w:rPr>
  </w:style>
  <w:style w:type="paragraph" w:styleId="10">
    <w:name w:val="Normal (Web)"/>
    <w:basedOn w:val="1"/>
    <w:qFormat/>
    <w:uiPriority w:val="0"/>
    <w:rPr>
      <w:sz w:val="24"/>
    </w:rPr>
  </w:style>
  <w:style w:type="paragraph" w:styleId="11">
    <w:name w:val="Title"/>
    <w:basedOn w:val="1"/>
    <w:qFormat/>
    <w:uiPriority w:val="1"/>
    <w:pPr>
      <w:spacing w:line="702" w:lineRule="exact"/>
      <w:ind w:left="4680" w:right="4695"/>
      <w:jc w:val="center"/>
    </w:pPr>
    <w:rPr>
      <w:rFonts w:ascii="Microsoft YaHei UI" w:hAnsi="Microsoft YaHei UI" w:eastAsia="Microsoft YaHei UI" w:cs="Microsoft YaHei UI"/>
      <w:b/>
      <w:bCs/>
      <w:sz w:val="44"/>
      <w:szCs w:val="44"/>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style>
  <w:style w:type="paragraph" w:customStyle="1" w:styleId="16">
    <w:name w:val="Table Paragraph"/>
    <w:basedOn w:val="1"/>
    <w:qFormat/>
    <w:uiPriority w:val="1"/>
  </w:style>
  <w:style w:type="paragraph" w:customStyle="1" w:styleId="17">
    <w:name w:val="插入文本样式-插入部门职责文件"/>
    <w:basedOn w:val="1"/>
    <w:qFormat/>
    <w:uiPriority w:val="0"/>
    <w:pPr>
      <w:spacing w:line="500" w:lineRule="exact"/>
      <w:ind w:firstLine="560"/>
    </w:pPr>
    <w:rPr>
      <w:rFonts w:ascii="Times New Roman" w:hAnsi="Times New Roman" w:eastAsia="方正仿宋_GBK" w:cs="Times New Roman"/>
      <w:sz w:val="28"/>
    </w:rPr>
  </w:style>
  <w:style w:type="character" w:customStyle="1" w:styleId="18">
    <w:name w:val="批注框文本 Char"/>
    <w:basedOn w:val="13"/>
    <w:link w:val="5"/>
    <w:qFormat/>
    <w:uiPriority w:val="0"/>
    <w:rPr>
      <w:rFonts w:ascii="微软雅黑" w:hAnsi="微软雅黑" w:eastAsia="微软雅黑" w:cs="微软雅黑"/>
      <w:sz w:val="18"/>
      <w:szCs w:val="18"/>
    </w:rPr>
  </w:style>
  <w:style w:type="character" w:customStyle="1" w:styleId="19">
    <w:name w:val="页眉 Char"/>
    <w:basedOn w:val="13"/>
    <w:link w:val="7"/>
    <w:qFormat/>
    <w:uiPriority w:val="0"/>
    <w:rPr>
      <w:rFonts w:ascii="微软雅黑" w:hAnsi="微软雅黑" w:eastAsia="微软雅黑" w:cs="微软雅黑"/>
      <w:sz w:val="18"/>
      <w:szCs w:val="18"/>
    </w:rPr>
  </w:style>
  <w:style w:type="character" w:customStyle="1" w:styleId="20">
    <w:name w:val="页脚 Char"/>
    <w:basedOn w:val="13"/>
    <w:link w:val="6"/>
    <w:qFormat/>
    <w:uiPriority w:val="0"/>
    <w:rPr>
      <w:rFonts w:ascii="微软雅黑" w:hAnsi="微软雅黑" w:eastAsia="微软雅黑" w:cs="微软雅黑"/>
      <w:sz w:val="18"/>
      <w:szCs w:val="18"/>
    </w:rPr>
  </w:style>
  <w:style w:type="paragraph" w:customStyle="1" w:styleId="21">
    <w:name w:val="插入文本样式-插入总体目标文件"/>
    <w:basedOn w:val="1"/>
    <w:qFormat/>
    <w:uiPriority w:val="0"/>
    <w:pPr>
      <w:widowControl/>
      <w:autoSpaceDE/>
      <w:autoSpaceDN/>
      <w:spacing w:line="500" w:lineRule="exact"/>
      <w:ind w:firstLine="560"/>
    </w:pPr>
    <w:rPr>
      <w:rFonts w:ascii="Times New Roman" w:hAnsi="Times New Roman" w:eastAsia="方正仿宋_GBK" w:cs="Times New Roman"/>
      <w:sz w:val="28"/>
      <w:szCs w:val="24"/>
      <w:lang w:eastAsia="uk-UA"/>
    </w:rPr>
  </w:style>
  <w:style w:type="paragraph" w:customStyle="1" w:styleId="22">
    <w:name w:val="插入文本样式-插入职责分类绩效目标文件"/>
    <w:basedOn w:val="1"/>
    <w:qFormat/>
    <w:uiPriority w:val="0"/>
    <w:pPr>
      <w:widowControl/>
      <w:autoSpaceDE/>
      <w:autoSpaceDN/>
      <w:spacing w:line="500" w:lineRule="exact"/>
      <w:ind w:firstLine="560"/>
    </w:pPr>
    <w:rPr>
      <w:rFonts w:ascii="Times New Roman" w:hAnsi="Times New Roman" w:eastAsia="方正仿宋_GBK" w:cs="Times New Roman"/>
      <w:sz w:val="28"/>
      <w:szCs w:val="24"/>
      <w:lang w:eastAsia="uk-UA"/>
    </w:rPr>
  </w:style>
  <w:style w:type="paragraph" w:customStyle="1" w:styleId="23">
    <w:name w:val="插入文本样式-插入实现年度发展规划目标的保障措施文件"/>
    <w:basedOn w:val="1"/>
    <w:qFormat/>
    <w:uiPriority w:val="0"/>
    <w:pPr>
      <w:widowControl/>
      <w:autoSpaceDE/>
      <w:autoSpaceDN/>
      <w:spacing w:line="500" w:lineRule="exact"/>
      <w:ind w:firstLine="560"/>
    </w:pPr>
    <w:rPr>
      <w:rFonts w:ascii="Times New Roman" w:hAnsi="Times New Roman" w:eastAsia="方正仿宋_GBK" w:cs="Times New Roman"/>
      <w:sz w:val="28"/>
      <w:szCs w:val="24"/>
      <w:lang w:eastAsia="uk-UA"/>
    </w:rPr>
  </w:style>
  <w:style w:type="paragraph" w:customStyle="1" w:styleId="24">
    <w:name w:val="单元格样式4"/>
    <w:basedOn w:val="1"/>
    <w:qFormat/>
    <w:uiPriority w:val="0"/>
    <w:pPr>
      <w:widowControl/>
      <w:autoSpaceDE/>
      <w:autoSpaceDN/>
      <w:jc w:val="right"/>
    </w:pPr>
    <w:rPr>
      <w:rFonts w:ascii="方正书宋_GBK" w:hAnsi="方正书宋_GBK" w:eastAsia="方正书宋_GBK" w:cs="方正书宋_GBK"/>
      <w:sz w:val="21"/>
      <w:szCs w:val="24"/>
      <w:lang w:eastAsia="uk-UA"/>
    </w:rPr>
  </w:style>
  <w:style w:type="paragraph" w:customStyle="1" w:styleId="25">
    <w:name w:val="单元格样式5"/>
    <w:basedOn w:val="1"/>
    <w:qFormat/>
    <w:uiPriority w:val="0"/>
    <w:pPr>
      <w:widowControl/>
      <w:autoSpaceDE/>
      <w:autoSpaceDN/>
    </w:pPr>
    <w:rPr>
      <w:rFonts w:ascii="方正书宋_GBK" w:hAnsi="方正书宋_GBK" w:eastAsia="方正书宋_GBK" w:cs="方正书宋_GBK"/>
      <w:b/>
      <w:sz w:val="21"/>
      <w:szCs w:val="24"/>
      <w:lang w:eastAsia="uk-UA"/>
    </w:rPr>
  </w:style>
  <w:style w:type="paragraph" w:customStyle="1" w:styleId="26">
    <w:name w:val="单元格样式2"/>
    <w:basedOn w:val="1"/>
    <w:qFormat/>
    <w:uiPriority w:val="0"/>
    <w:pPr>
      <w:widowControl/>
      <w:autoSpaceDE/>
      <w:autoSpaceDN/>
    </w:pPr>
    <w:rPr>
      <w:rFonts w:ascii="方正书宋_GBK" w:hAnsi="方正书宋_GBK" w:eastAsia="方正书宋_GBK" w:cs="方正书宋_GBK"/>
      <w:sz w:val="21"/>
      <w:szCs w:val="24"/>
      <w:lang w:eastAsia="uk-UA"/>
    </w:rPr>
  </w:style>
  <w:style w:type="paragraph" w:customStyle="1" w:styleId="27">
    <w:name w:val="单元格样式1"/>
    <w:basedOn w:val="1"/>
    <w:qFormat/>
    <w:uiPriority w:val="0"/>
    <w:pPr>
      <w:widowControl/>
      <w:autoSpaceDE/>
      <w:autoSpaceDN/>
      <w:jc w:val="center"/>
    </w:pPr>
    <w:rPr>
      <w:rFonts w:ascii="方正书宋_GBK" w:hAnsi="方正书宋_GBK" w:eastAsia="方正书宋_GBK" w:cs="方正书宋_GBK"/>
      <w:b/>
      <w:sz w:val="21"/>
      <w:szCs w:val="24"/>
      <w:lang w:eastAsia="uk-UA"/>
    </w:rPr>
  </w:style>
  <w:style w:type="paragraph" w:customStyle="1" w:styleId="28">
    <w:name w:val="单元格样式3"/>
    <w:basedOn w:val="1"/>
    <w:qFormat/>
    <w:uiPriority w:val="0"/>
    <w:pPr>
      <w:widowControl/>
      <w:autoSpaceDE/>
      <w:autoSpaceDN/>
      <w:jc w:val="center"/>
    </w:pPr>
    <w:rPr>
      <w:rFonts w:ascii="方正书宋_GBK" w:hAnsi="方正书宋_GBK" w:eastAsia="方正书宋_GBK" w:cs="方正书宋_GBK"/>
      <w:sz w:val="21"/>
      <w:szCs w:val="24"/>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ABC778-BF5F-4EA6-A153-BA48896716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16489</Words>
  <Characters>18306</Characters>
  <Lines>150</Lines>
  <Paragraphs>42</Paragraphs>
  <TotalTime>27</TotalTime>
  <ScaleCrop>false</ScaleCrop>
  <LinksUpToDate>false</LinksUpToDate>
  <CharactersWithSpaces>18621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2022-03-24T07:21:00Z</dcterms:created>
  <dc:creator>user</dc:creator>
  <cp:lastModifiedBy>空白格</cp:lastModifiedBy>
  <cp:lastPrinted>2022-03-24T03:08:00Z</cp:lastPrinted>
  <dcterms:modified xsi:type="dcterms:W3CDTF">2023-11-09T11:25:33Z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WPS 文字</vt:lpwstr>
  </property>
  <property fmtid="{D5CDD505-2E9C-101B-9397-08002B2CF9AE}" pid="4" name="LastSaved">
    <vt:filetime>2022-03-21T00:00:00Z</vt:filetime>
  </property>
  <property fmtid="{D5CDD505-2E9C-101B-9397-08002B2CF9AE}" pid="5" name="KSOProductBuildVer">
    <vt:lpwstr>2052-12.1.0.15712</vt:lpwstr>
  </property>
  <property fmtid="{D5CDD505-2E9C-101B-9397-08002B2CF9AE}" pid="6" name="ICV">
    <vt:lpwstr>17AEB115178A4F758030EA878B3E71A3_13</vt:lpwstr>
  </property>
</Properties>
</file>