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wc ga"/>
                    <pic:cNvPicPr>
                      <a:picLocks noChangeAspect="1"/>
                    </pic:cNvPicPr>
                  </pic:nvPicPr>
                  <pic:blipFill>
                    <a:blip r:embed="rId6"/>
                    <a:stretch>
                      <a:fillRect/>
                    </a:stretch>
                  </pic:blipFill>
                  <pic:spPr>
                    <a:xfrm>
                      <a:off x="0" y="0"/>
                      <a:ext cx="7576820" cy="10796905"/>
                    </a:xfrm>
                    <a:prstGeom prst="rect">
                      <a:avLst/>
                    </a:prstGeom>
                    <a:noFill/>
                    <a:ln>
                      <a:noFill/>
                    </a:ln>
                  </pic:spPr>
                </pic:pic>
              </a:graphicData>
            </a:graphic>
          </wp:anchor>
        </w:drawing>
      </w:r>
    </w:p>
    <w:p>
      <w:pPr>
        <w:widowControl/>
        <w:jc w:val="center"/>
        <w:rPr>
          <w:rFonts w:ascii="黑体" w:hAnsi="宋体" w:eastAsia="黑体"/>
          <w:color w:val="002060"/>
          <w:sz w:val="72"/>
          <w:szCs w:val="72"/>
        </w:rPr>
      </w:pPr>
      <w: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2" name="文本框 8"/>
                <wp:cNvGraphicFramePr/>
                <a:graphic xmlns:a="http://schemas.openxmlformats.org/drawingml/2006/main">
                  <a:graphicData uri="http://schemas.microsoft.com/office/word/2010/wordprocessingShape">
                    <wps:wsp>
                      <wps:cNvSpPr txBox="1"/>
                      <wps:spPr>
                        <a:xfrm>
                          <a:off x="0" y="0"/>
                          <a:ext cx="7571740" cy="2111375"/>
                        </a:xfrm>
                        <a:prstGeom prst="rect">
                          <a:avLst/>
                        </a:prstGeom>
                        <a:noFill/>
                        <a:ln w="6350">
                          <a:noFill/>
                        </a:ln>
                      </wps:spPr>
                      <wps:txbx>
                        <w:txbxContent>
                          <w:p>
                            <w:pPr>
                              <w:widowControl/>
                              <w:spacing w:line="1200" w:lineRule="exact"/>
                              <w:jc w:val="center"/>
                              <w:rPr>
                                <w:rFonts w:hint="default" w:ascii="黑体" w:hAnsi="宋体" w:eastAsia="黑体"/>
                                <w:color w:val="FDEFBE"/>
                                <w:sz w:val="56"/>
                                <w:szCs w:val="56"/>
                                <w:lang w:val="en-US" w:eastAsia="zh-CN"/>
                              </w:rPr>
                            </w:pPr>
                            <w:r>
                              <w:rPr>
                                <w:rFonts w:hint="eastAsia" w:ascii="黑体" w:hAnsi="宋体" w:eastAsia="黑体"/>
                                <w:color w:val="FDEFBE"/>
                                <w:sz w:val="56"/>
                                <w:szCs w:val="56"/>
                                <w:lang w:val="en-US" w:eastAsia="zh-CN"/>
                              </w:rPr>
                              <w:t>保定市满城区城市管理综合行政执法局</w:t>
                            </w:r>
                          </w:p>
                          <w:p>
                            <w:pPr>
                              <w:widowControl/>
                              <w:spacing w:line="1200" w:lineRule="exact"/>
                              <w:jc w:val="center"/>
                              <w:rPr>
                                <w:color w:val="FDEFBE"/>
                                <w:sz w:val="96"/>
                                <w:szCs w:val="96"/>
                              </w:rPr>
                            </w:pPr>
                            <w:r>
                              <w:rPr>
                                <w:rFonts w:ascii="黑体" w:hAnsi="宋体" w:eastAsia="黑体"/>
                                <w:color w:val="FDEFBE"/>
                                <w:sz w:val="56"/>
                                <w:szCs w:val="56"/>
                              </w:rPr>
                              <w:t>2018</w:t>
                            </w:r>
                            <w:r>
                              <w:rPr>
                                <w:rFonts w:hint="eastAsia" w:ascii="黑体" w:hAnsi="宋体" w:eastAsia="黑体"/>
                                <w:color w:val="FDEFBE"/>
                                <w:sz w:val="56"/>
                                <w:szCs w:val="56"/>
                              </w:rPr>
                              <w:t>年度部门决算</w:t>
                            </w:r>
                          </w:p>
                          <w:p>
                            <w:pPr>
                              <w:rPr>
                                <w:color w:val="FDEFBE"/>
                                <w:sz w:val="96"/>
                                <w:szCs w:val="96"/>
                              </w:rPr>
                            </w:pPr>
                          </w:p>
                        </w:txbxContent>
                      </wps:txbx>
                      <wps:bodyPr upright="1"/>
                    </wps:wsp>
                  </a:graphicData>
                </a:graphic>
              </wp:anchor>
            </w:drawing>
          </mc:Choice>
          <mc:Fallback>
            <w:pict>
              <v:shape id="文本框 8"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DPDVNsAAAAMAQAADwAAAAAAAAABACAAAAAiAAAAZHJzL2Rvd25yZXYueG1sUEsBAhQA&#10;FAAAAAgAh07iQFwH79G2AQAAWAMAAA4AAAAAAAAAAQAgAAAAKgEAAGRycy9lMm9Eb2MueG1sUEsF&#10;BgAAAAAGAAYAWQEAAFIFAAAAAA==&#10;">
                <v:fill on="f" focussize="0,0"/>
                <v:stroke on="f" weight="0.5pt"/>
                <v:imagedata o:title=""/>
                <o:lock v:ext="edit" aspectratio="f"/>
                <v:textbox>
                  <w:txbxContent>
                    <w:p>
                      <w:pPr>
                        <w:widowControl/>
                        <w:spacing w:line="1200" w:lineRule="exact"/>
                        <w:jc w:val="center"/>
                        <w:rPr>
                          <w:rFonts w:hint="default" w:ascii="黑体" w:hAnsi="宋体" w:eastAsia="黑体"/>
                          <w:color w:val="FDEFBE"/>
                          <w:sz w:val="56"/>
                          <w:szCs w:val="56"/>
                          <w:lang w:val="en-US" w:eastAsia="zh-CN"/>
                        </w:rPr>
                      </w:pPr>
                      <w:r>
                        <w:rPr>
                          <w:rFonts w:hint="eastAsia" w:ascii="黑体" w:hAnsi="宋体" w:eastAsia="黑体"/>
                          <w:color w:val="FDEFBE"/>
                          <w:sz w:val="56"/>
                          <w:szCs w:val="56"/>
                          <w:lang w:val="en-US" w:eastAsia="zh-CN"/>
                        </w:rPr>
                        <w:t>保定市满城区城市管理综合行政执法局</w:t>
                      </w:r>
                    </w:p>
                    <w:p>
                      <w:pPr>
                        <w:widowControl/>
                        <w:spacing w:line="1200" w:lineRule="exact"/>
                        <w:jc w:val="center"/>
                        <w:rPr>
                          <w:color w:val="FDEFBE"/>
                          <w:sz w:val="96"/>
                          <w:szCs w:val="96"/>
                        </w:rPr>
                      </w:pPr>
                      <w:r>
                        <w:rPr>
                          <w:rFonts w:ascii="黑体" w:hAnsi="宋体" w:eastAsia="黑体"/>
                          <w:color w:val="FDEFBE"/>
                          <w:sz w:val="56"/>
                          <w:szCs w:val="56"/>
                        </w:rPr>
                        <w:t>2018</w:t>
                      </w:r>
                      <w:r>
                        <w:rPr>
                          <w:rFonts w:hint="eastAsia" w:ascii="黑体" w:hAnsi="宋体" w:eastAsia="黑体"/>
                          <w:color w:val="FDEFBE"/>
                          <w:sz w:val="56"/>
                          <w:szCs w:val="56"/>
                        </w:rPr>
                        <w:t>年度部门决算</w:t>
                      </w:r>
                    </w:p>
                    <w:p>
                      <w:pPr>
                        <w:rPr>
                          <w:color w:val="FDEFBE"/>
                          <w:sz w:val="96"/>
                          <w:szCs w:val="96"/>
                        </w:rPr>
                      </w:pPr>
                    </w:p>
                  </w:txbxContent>
                </v:textbox>
              </v:shape>
            </w:pict>
          </mc:Fallback>
        </mc:AlternateConten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3092" w:firstLineChars="700"/>
        <w:rPr>
          <w:rFonts w:ascii="楷体" w:hAnsi="楷体" w:eastAsia="楷体" w:cs="楷体"/>
          <w:b/>
          <w:sz w:val="44"/>
          <w:szCs w:val="44"/>
        </w:rPr>
      </w:pP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w:t>
      </w:r>
      <w:r>
        <w:rPr>
          <w:rFonts w:hint="eastAsia" w:ascii="楷体" w:hAnsi="楷体" w:eastAsia="楷体" w:cs="楷体"/>
          <w:b/>
          <w:sz w:val="44"/>
          <w:szCs w:val="44"/>
          <w:lang w:val="en-US" w:eastAsia="zh-CN"/>
        </w:rPr>
        <w:t>十一</w:t>
      </w:r>
      <w:r>
        <w:rPr>
          <w:rFonts w:hint="eastAsia" w:ascii="楷体" w:hAnsi="楷体" w:eastAsia="楷体" w:cs="楷体"/>
          <w:b/>
          <w:sz w:val="44"/>
          <w:szCs w:val="44"/>
        </w:rPr>
        <w:t>月</w:t>
      </w:r>
    </w:p>
    <w:p>
      <w:pPr>
        <w:spacing w:beforeLines="200" w:after="0" w:line="1000" w:lineRule="exact"/>
        <w:jc w:val="center"/>
        <w:rPr>
          <w:rFonts w:ascii="黑体" w:eastAsia="黑体"/>
          <w:sz w:val="48"/>
          <w:szCs w:val="48"/>
        </w:rPr>
      </w:pPr>
      <w:r>
        <mc:AlternateContent>
          <mc:Choice Requires="wpg">
            <w:drawing>
              <wp:anchor distT="0" distB="0" distL="114300" distR="114300" simplePos="0" relativeHeight="251672576"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2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27" name="矩形 13"/>
                        <wps:cNvSpPr/>
                        <wps:spPr>
                          <a:xfrm>
                            <a:off x="4551" y="52615"/>
                            <a:ext cx="8546" cy="1175"/>
                          </a:xfrm>
                          <a:prstGeom prst="rect">
                            <a:avLst/>
                          </a:prstGeom>
                          <a:solidFill>
                            <a:srgbClr val="96DA9D"/>
                          </a:solidFill>
                          <a:ln w="25400">
                            <a:noFill/>
                          </a:ln>
                        </wps:spPr>
                        <wps:bodyPr anchor="ctr" anchorCtr="0" upright="1"/>
                      </wps:wsp>
                      <wps:wsp>
                        <wps:cNvPr id="2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wps:txbx>
                        <wps:bodyPr anchor="ctr" anchorCtr="0" upright="1"/>
                      </wps:wsp>
                    </wpg:wgp>
                  </a:graphicData>
                </a:graphic>
              </wp:anchor>
            </w:drawing>
          </mc:Choice>
          <mc:Fallback>
            <w:pict>
              <v:group id="组合 179" o:spid="_x0000_s1026" o:spt="203" style="position:absolute;left:0pt;margin-left:-80.8pt;margin-top:39.95pt;height:46.7pt;width:250.05pt;mso-position-vertical-relative:page;z-index:251672576;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Ng8w1Tb&#10;AAAACwEAAA8AAAAAAAAAAQAgAAAAIgAAAGRycy9kb3ducmV2LnhtbFBLAQIUABQAAAAIAIdO4kD8&#10;KQDEyAIAACcHAAAOAAAAAAAAAAEAIAAAACoBAABkcnMvZTJvRG9jLnhtbFBLBQYAAAAABgAGAFkB&#10;AABkBgAAAAA=&#10;">
                <o:lock v:ext="edit" aspectratio="f"/>
                <v:rect id="矩形 13" o:spid="_x0000_s1026" o:spt="1" style="position:absolute;left:4551;top:52615;height:1175;width:8546;v-text-anchor:middle;" fillcolor="#96DA9D" filled="t" stroked="f" coordsize="21600,21600" o:gfxdata="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mUm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IJfbwAAADb&#10;AAAADwAAAGRycy9kb3ducmV2LnhtbEVPy2rCQBTdF/yH4Qrd1YkugqSZiBSKDyhSTRF3l8w1E8zc&#10;CZnRpP36zqLQ5eG889VoW/Gg3jeOFcxnCQjiyumGawXl6f1lCcIHZI2tY1LwTR5WxeQpx0y7gT/p&#10;cQy1iCHsM1RgQugyKX1lyKKfuY44clfXWwwR9rXUPQ4x3LZykSSptNhwbDDY0Zuh6na8WwWH0lw2&#10;uKez/djfvsp1g+nPLlXqeTpPXkEEGsO/+M+91QoWcWz8En+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yCX2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mc:Fallback>
        </mc:AlternateConten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2018</w:t>
      </w:r>
      <w:r>
        <w:rPr>
          <w:rFonts w:hint="eastAsia" w:eastAsia="黑体"/>
          <w:sz w:val="32"/>
          <w:szCs w:val="32"/>
        </w:rPr>
        <w:t>年部门决算情况说明</w:t>
      </w:r>
      <w:r>
        <mc:AlternateContent>
          <mc:Choice Requires="wpg">
            <w:drawing>
              <wp:anchor distT="0" distB="0" distL="114300" distR="114300" simplePos="0" relativeHeight="251671552"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2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24" name="矩形 13"/>
                        <wps:cNvSpPr/>
                        <wps:spPr>
                          <a:xfrm>
                            <a:off x="4551" y="52615"/>
                            <a:ext cx="8546" cy="1175"/>
                          </a:xfrm>
                          <a:prstGeom prst="rect">
                            <a:avLst/>
                          </a:prstGeom>
                          <a:solidFill>
                            <a:srgbClr val="96DA9D"/>
                          </a:solidFill>
                          <a:ln w="25400">
                            <a:noFill/>
                          </a:ln>
                        </wps:spPr>
                        <wps:bodyPr anchor="ctr" anchorCtr="0" upright="1"/>
                      </wps:wsp>
                      <wps:wsp>
                        <wps:cNvPr id="2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wps:txbx>
                        <wps:bodyPr anchor="ctr" anchorCtr="0" upright="1"/>
                      </wps:wsp>
                    </wpg:wgp>
                  </a:graphicData>
                </a:graphic>
              </wp:anchor>
            </w:drawing>
          </mc:Choice>
          <mc:Fallback>
            <w:pict>
              <v:group id="组合 176" o:spid="_x0000_s1026" o:spt="203" style="position:absolute;left:0pt;margin-left:-80.8pt;margin-top:38.95pt;height:46.7pt;width:222.8pt;mso-position-vertical-relative:page;z-index:251671552;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3s1cPtsAAAALAQAA&#10;DwAAAAAAAAABACAAAAAiAAAAZHJzL2Rvd25yZXYueG1sUEsBAhQAFAAAAAgAh07iQLr2K2TBAgAA&#10;JwcAAA4AAAAAAAAAAQAgAAAAKg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WDsK7LsAAADb&#10;AAAADwAAAGRycy9kb3ducmV2LnhtbEWPQWsCMRSE70L/Q3gFb/qy0hbZGj0UCj0VatuDt8fmuVnc&#10;vCxJXLf/vhEEj8PMfMNsdpPv1cgxdUEMVEsNiqUJtpPWwM/3+2INKmUSS30QNvDHCXbbh9mGahsu&#10;8sXjPreqQCTVZMDlPNSIqXHsKS3DwFK8Y4iecpGxRRvpUuC+x5XWL+ipk7LgaOA3x81pf/YGMHJE&#10;F6djPKTxjNWn/n1uTsbMHyv9CirzlO/hW/vDGlg9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7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fOm470AAADb&#10;AAAADwAAAGRycy9kb3ducmV2LnhtbEWPQWsCMRSE74L/ITyhN80qdJHVKCKIrSBSu0W8PTbPzeLm&#10;Zdmkav31piB4HGbmG2Y6v9laXKj1lWMFw0ECgrhwuuJSQf696o9B+ICssXZMCv7Iw3zW7Uwx0+7K&#10;X3TZh1JECPsMFZgQmkxKXxiy6AeuIY7eybUWQ5RtKXWL1wi3tRwlSSotVhwXDDa0NFSc979WwS43&#10;xzVu6GC3m/NPvqgwvX+mSr31hskERKBbeIWf7Q+tYPQO/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6bj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3"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2"/>
                    <pic:cNvPicPr>
                      <a:picLocks noChangeAspect="1"/>
                    </pic:cNvPicPr>
                  </pic:nvPicPr>
                  <pic:blipFill>
                    <a:blip r:embed="rId7"/>
                    <a:stretch>
                      <a:fillRect/>
                    </a:stretch>
                  </pic:blipFill>
                  <pic:spPr>
                    <a:xfrm>
                      <a:off x="0" y="0"/>
                      <a:ext cx="7585710" cy="10727055"/>
                    </a:xfrm>
                    <a:prstGeom prst="rect">
                      <a:avLst/>
                    </a:prstGeom>
                    <a:noFill/>
                    <a:ln>
                      <a:noFill/>
                    </a:ln>
                  </pic:spPr>
                </pic:pic>
              </a:graphicData>
            </a:graphic>
          </wp:anchor>
        </w:drawing>
      </w:r>
      <w:r>
        <mc:AlternateContent>
          <mc:Choice Requires="wps">
            <w:drawing>
              <wp:anchor distT="0" distB="0" distL="114300" distR="114300" simplePos="0" relativeHeight="251669504"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20"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txb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wps:txbx>
                      <wps:bodyPr upright="1"/>
                    </wps:wsp>
                  </a:graphicData>
                </a:graphic>
              </wp:anchor>
            </w:drawing>
          </mc:Choice>
          <mc:Fallback>
            <w:pict>
              <v:shape id="文本框 118" o:spid="_x0000_s1026" o:spt="202" type="#_x0000_t202" style="position:absolute;left:0pt;margin-left:-97.3pt;margin-top:259.1pt;height:81.7pt;width:613.65pt;z-index:251669504;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iKw6neAAAADQEAAA8AAAAAAAAAAQAgAAAAIgAAAGRycy9kb3ducmV2Lnht&#10;bFBLAQIUABQAAAAIAIdO4kDRhwsqugEAAFsDAAAOAAAAAAAAAAEAIAAAAC0BAABkcnMvZTJvRG9j&#10;LnhtbFBLBQYAAAAABgAGAFkBAABZBQAAAAA=&#10;">
                <v:fill on="f" focussize="0,0"/>
                <v:stroke on="f" weight="0.5pt"/>
                <v:imagedata o:title=""/>
                <o:lock v:ext="edit" aspectratio="f"/>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mc:Fallback>
        </mc:AlternateContent>
      </w:r>
    </w:p>
    <w:p/>
    <w:p/>
    <w:p/>
    <w:p/>
    <w:p/>
    <w:p/>
    <w:p/>
    <w:p/>
    <w:p/>
    <w:p/>
    <w:p/>
    <w:p/>
    <w:p/>
    <w:p/>
    <w:p/>
    <w:p>
      <w:pPr>
        <w:pStyle w:val="2"/>
        <w:spacing w:before="0" w:after="0" w:line="600" w:lineRule="exact"/>
        <w:jc w:val="left"/>
        <w:rPr>
          <w:rFonts w:ascii="黑体" w:hAnsi="Cambria" w:eastAsia="黑体" w:cs="黑体"/>
          <w:b w:val="0"/>
          <w:bCs w:val="0"/>
          <w:kern w:val="0"/>
          <w:sz w:val="32"/>
          <w:szCs w:val="32"/>
        </w:rPr>
      </w:pPr>
      <w: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6" name="组合 15"/>
                <wp:cNvGraphicFramePr/>
                <a:graphic xmlns:a="http://schemas.openxmlformats.org/drawingml/2006/main">
                  <a:graphicData uri="http://schemas.microsoft.com/office/word/2010/wordprocessingGroup">
                    <wpg:wgp>
                      <wpg:cNvGrpSpPr/>
                      <wpg:grpSpPr>
                        <a:xfrm>
                          <a:off x="0" y="0"/>
                          <a:ext cx="3114675" cy="593090"/>
                          <a:chOff x="4551" y="52615"/>
                          <a:chExt cx="8546" cy="1398"/>
                        </a:xfrm>
                      </wpg:grpSpPr>
                      <wps:wsp>
                        <wps:cNvPr id="4" name="矩形 13"/>
                        <wps:cNvSpPr/>
                        <wps:spPr>
                          <a:xfrm>
                            <a:off x="4551" y="52615"/>
                            <a:ext cx="8546" cy="1175"/>
                          </a:xfrm>
                          <a:prstGeom prst="rect">
                            <a:avLst/>
                          </a:prstGeom>
                          <a:solidFill>
                            <a:srgbClr val="96DA9D"/>
                          </a:solidFill>
                          <a:ln w="25400">
                            <a:noFill/>
                          </a:ln>
                        </wps:spPr>
                        <wps:bodyPr anchor="ctr" anchorCtr="0" upright="1"/>
                      </wps:wsp>
                      <wps:wsp>
                        <wps:cNvPr id="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wps:txbx>
                        <wps:bodyPr anchor="ctr" anchorCtr="0" upright="1"/>
                      </wps:wsp>
                    </wpg:wgp>
                  </a:graphicData>
                </a:graphic>
              </wp:anchor>
            </w:drawing>
          </mc:Choice>
          <mc:Fallback>
            <w:pict>
              <v:group id="组合 15"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IMnUENsAAAAL&#10;AQAADwAAAAAAAAABACAAAAAiAAAAZHJzL2Rvd25yZXYueG1sUEsBAhQAFAAAAAgAh07iQEAOOqLE&#10;AgAAIwcAAA4AAAAAAAAAAQAgAAAAKgEAAGRycy9lMm9Eb2MueG1sUEsFBgAAAAAGAAYAWQEAAGAG&#10;AAAAAA==&#10;">
                <o:lock v:ext="edit" aspectratio="f"/>
                <v:rect id="矩形 13" o:spid="_x0000_s1026" o:spt="1" style="position:absolute;left:4551;top:52615;height:1175;width:8546;v-text-anchor:middle;" fillcolor="#96DA9D" filled="t" stroked="f" coordsize="21600,21600" o:gfxdata="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2kEFugAAANo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6xb870AAADa&#10;AAAADwAAAGRycy9kb3ducmV2LnhtbEWPW4vCMBSE3xf8D+EI+7amChapRhFBvMCyrFbEt0NzbIrN&#10;SWniZffXbxYEH4eZ+YaZzB62FjdqfeVYQb+XgCAunK64VJDvlx8jED4ga6wdk4If8jCbdt4mmGl3&#10;52+67UIpIoR9hgpMCE0mpS8MWfQ91xBH7+xaiyHKtpS6xXuE21oOkiSVFiuOCwYbWhgqLrurVfCV&#10;m9MKt3S0n9vLIZ9XmP5uUqXeu/1kDCLQI7zCz/ZaKxjC/5V4A+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FvzvQAA&#10;ANo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mc:Fallback>
        </mc:AlternateContent>
      </w:r>
      <w:r>
        <w:rPr>
          <w:rFonts w:hint="eastAsia" w:ascii="黑体" w:hAnsi="Cambria" w:eastAsia="黑体" w:cs="黑体"/>
          <w:b w:val="0"/>
          <w:bCs w:val="0"/>
          <w:kern w:val="0"/>
          <w:sz w:val="32"/>
          <w:szCs w:val="32"/>
        </w:rPr>
        <w:t>一、部门职责</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宣传贯彻国家和省、市有关城市管理的政策和法规；拟订和实施城市管理有关规定。</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拟订和实施城市管理长期规划和年度计划；组织全区性的城市管理综合整治和检查评比。</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val="en-US" w:eastAsia="zh-CN"/>
        </w:rPr>
        <w:t>3、</w:t>
      </w:r>
      <w:r>
        <w:rPr>
          <w:rFonts w:hint="eastAsia" w:ascii="仿宋_GB2312" w:hAnsi="宋体" w:eastAsia="仿宋_GB2312"/>
          <w:sz w:val="32"/>
          <w:szCs w:val="32"/>
        </w:rPr>
        <w:t>负责市容环境卫生方面的行政管理和城区环境卫生方面的行政审批、行政许可等工作以及对市容环境卫生实施、设备、经费的管理及强制拆除不符合城市容貌标准、环境卫生标准的建筑物或设施职责；负责对市容环境卫生方面新技术的研究推广。</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val="en-US" w:eastAsia="zh-CN"/>
        </w:rPr>
        <w:t>4、</w:t>
      </w:r>
      <w:r>
        <w:rPr>
          <w:rFonts w:hint="eastAsia" w:ascii="仿宋_GB2312" w:hAnsi="宋体" w:eastAsia="仿宋_GB2312"/>
          <w:sz w:val="32"/>
          <w:szCs w:val="32"/>
        </w:rPr>
        <w:t>负责对城区城市管理行政执法工作的指导、检查、监督。</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val="en-US" w:eastAsia="zh-CN"/>
        </w:rPr>
        <w:t>5、</w:t>
      </w:r>
      <w:r>
        <w:rPr>
          <w:rFonts w:hint="eastAsia" w:ascii="仿宋_GB2312" w:hAnsi="宋体" w:eastAsia="仿宋_GB2312"/>
          <w:sz w:val="32"/>
          <w:szCs w:val="32"/>
        </w:rPr>
        <w:t>受理个人和单位有关城市管理方面的投诉和举报，查处违反有关城市管理法规的行为，检查落实“门前三包”等市容环境卫生责任制。</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val="en-US" w:eastAsia="zh-CN"/>
        </w:rPr>
        <w:t>6、</w:t>
      </w:r>
      <w:r>
        <w:rPr>
          <w:rFonts w:hint="eastAsia" w:ascii="仿宋_GB2312" w:hAnsi="宋体" w:eastAsia="仿宋_GB2312"/>
          <w:sz w:val="32"/>
          <w:szCs w:val="32"/>
        </w:rPr>
        <w:t xml:space="preserve">集中行使下列职权。 </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1</w:t>
      </w:r>
      <w:r>
        <w:rPr>
          <w:rFonts w:hint="eastAsia" w:ascii="仿宋_GB2312" w:hAnsi="宋体" w:eastAsia="仿宋_GB2312"/>
          <w:sz w:val="32"/>
          <w:szCs w:val="32"/>
          <w:lang w:eastAsia="zh-CN"/>
        </w:rPr>
        <w:t>）</w:t>
      </w:r>
      <w:r>
        <w:rPr>
          <w:rFonts w:hint="eastAsia" w:ascii="仿宋_GB2312" w:hAnsi="宋体" w:eastAsia="仿宋_GB2312"/>
          <w:sz w:val="32"/>
          <w:szCs w:val="32"/>
        </w:rPr>
        <w:t>行使住房和城乡建设局负责的市容环境卫生管理方面法律、法规、规章规定的行政处罚权。</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2</w:t>
      </w:r>
      <w:r>
        <w:rPr>
          <w:rFonts w:hint="eastAsia" w:ascii="仿宋_GB2312" w:hAnsi="宋体" w:eastAsia="仿宋_GB2312"/>
          <w:sz w:val="32"/>
          <w:szCs w:val="32"/>
          <w:lang w:eastAsia="zh-CN"/>
        </w:rPr>
        <w:t>）</w:t>
      </w:r>
      <w:r>
        <w:rPr>
          <w:rFonts w:hint="eastAsia" w:ascii="仿宋_GB2312" w:hAnsi="宋体" w:eastAsia="仿宋_GB2312"/>
          <w:sz w:val="32"/>
          <w:szCs w:val="32"/>
        </w:rPr>
        <w:t>行使城乡规划管理局负责的有关城市规划管理方面法律、法规、规章规定的，对在城区规划区内，未取得建设工程规划许可证进行建设以及其影响城市规划行为的行政处罚权。 </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3</w:t>
      </w:r>
      <w:r>
        <w:rPr>
          <w:rFonts w:hint="eastAsia" w:ascii="仿宋_GB2312" w:hAnsi="宋体" w:eastAsia="仿宋_GB2312"/>
          <w:sz w:val="32"/>
          <w:szCs w:val="32"/>
          <w:lang w:eastAsia="zh-CN"/>
        </w:rPr>
        <w:t>）</w:t>
      </w:r>
      <w:r>
        <w:rPr>
          <w:rFonts w:hint="eastAsia" w:ascii="仿宋_GB2312" w:hAnsi="宋体" w:eastAsia="仿宋_GB2312"/>
          <w:sz w:val="32"/>
          <w:szCs w:val="32"/>
        </w:rPr>
        <w:t>行使住房和城乡建设局负责的市政管理方面法律、法规、规章制度的行政处罚权。</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4</w:t>
      </w:r>
      <w:r>
        <w:rPr>
          <w:rFonts w:hint="eastAsia" w:ascii="仿宋_GB2312" w:hAnsi="宋体" w:eastAsia="仿宋_GB2312"/>
          <w:sz w:val="32"/>
          <w:szCs w:val="32"/>
          <w:lang w:eastAsia="zh-CN"/>
        </w:rPr>
        <w:t>）</w:t>
      </w:r>
      <w:r>
        <w:rPr>
          <w:rFonts w:hint="eastAsia" w:ascii="仿宋_GB2312" w:hAnsi="宋体" w:eastAsia="仿宋_GB2312"/>
          <w:sz w:val="32"/>
          <w:szCs w:val="32"/>
        </w:rPr>
        <w:t>行使住房和城乡建设局负责的城区内园林、绿化管理方面法律、法规、规章规定的行政处罚权，负责对城区城市管理行政执法工作的指导、检查、监督。</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5</w:t>
      </w:r>
      <w:r>
        <w:rPr>
          <w:rFonts w:hint="eastAsia" w:ascii="仿宋_GB2312" w:hAnsi="宋体" w:eastAsia="仿宋_GB2312"/>
          <w:sz w:val="32"/>
          <w:szCs w:val="32"/>
          <w:lang w:eastAsia="zh-CN"/>
        </w:rPr>
        <w:t>）</w:t>
      </w:r>
      <w:r>
        <w:rPr>
          <w:rFonts w:hint="eastAsia" w:ascii="仿宋_GB2312" w:hAnsi="宋体" w:eastAsia="仿宋_GB2312"/>
          <w:sz w:val="32"/>
          <w:szCs w:val="32"/>
        </w:rPr>
        <w:t>行使环境保护局负责的环境保护方面法律、法规、规章规定的，对在城区内生活</w:t>
      </w:r>
      <w:r>
        <w:rPr>
          <w:rFonts w:hint="eastAsia" w:ascii="仿宋_GB2312" w:hAnsi="宋体" w:eastAsia="仿宋_GB2312"/>
          <w:sz w:val="32"/>
          <w:szCs w:val="32"/>
          <w:lang w:eastAsia="zh-CN"/>
        </w:rPr>
        <w:t>噪声污染</w:t>
      </w:r>
      <w:r>
        <w:rPr>
          <w:rFonts w:hint="eastAsia" w:ascii="仿宋_GB2312" w:hAnsi="宋体" w:eastAsia="仿宋_GB2312"/>
          <w:sz w:val="32"/>
          <w:szCs w:val="32"/>
        </w:rPr>
        <w:t>，建筑施工</w:t>
      </w:r>
      <w:r>
        <w:rPr>
          <w:rFonts w:hint="eastAsia" w:ascii="仿宋_GB2312" w:hAnsi="宋体" w:eastAsia="仿宋_GB2312"/>
          <w:sz w:val="32"/>
          <w:szCs w:val="32"/>
          <w:lang w:eastAsia="zh-CN"/>
        </w:rPr>
        <w:t>噪声污染</w:t>
      </w:r>
      <w:r>
        <w:rPr>
          <w:rFonts w:hint="eastAsia" w:ascii="仿宋_GB2312" w:hAnsi="宋体" w:eastAsia="仿宋_GB2312"/>
          <w:sz w:val="32"/>
          <w:szCs w:val="32"/>
        </w:rPr>
        <w:t>和露天烧烤行为的行政处罚权；对城市饮食服务业超标排污行为的行政处罚权；对城区范围内露天烧烤行为的行政处罚权；对向城市规划范围内排水管网、河道、水面排污、倾倒工业废渣、城市垃圾和其他废弃物行为的行政处罚权。</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6</w:t>
      </w:r>
      <w:r>
        <w:rPr>
          <w:rFonts w:hint="eastAsia" w:ascii="仿宋_GB2312" w:hAnsi="宋体" w:eastAsia="仿宋_GB2312"/>
          <w:sz w:val="32"/>
          <w:szCs w:val="32"/>
          <w:lang w:eastAsia="zh-CN"/>
        </w:rPr>
        <w:t>）</w:t>
      </w:r>
      <w:r>
        <w:rPr>
          <w:rFonts w:hint="eastAsia" w:ascii="仿宋_GB2312" w:hAnsi="宋体" w:eastAsia="仿宋_GB2312"/>
          <w:sz w:val="32"/>
          <w:szCs w:val="32"/>
        </w:rPr>
        <w:t>行使工商行政管理局负责的工商行政管理方面的法律、法规、规章规定的，对在城区店外经营、街道路边无照商贩的行政处罚权；对违反规定设置户外广告行为的行政处罚权。</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7</w:t>
      </w:r>
      <w:r>
        <w:rPr>
          <w:rFonts w:hint="eastAsia" w:ascii="仿宋_GB2312" w:hAnsi="宋体" w:eastAsia="仿宋_GB2312"/>
          <w:sz w:val="32"/>
          <w:szCs w:val="32"/>
          <w:lang w:eastAsia="zh-CN"/>
        </w:rPr>
        <w:t>）</w:t>
      </w:r>
      <w:r>
        <w:rPr>
          <w:rFonts w:hint="eastAsia" w:ascii="仿宋_GB2312" w:hAnsi="宋体" w:eastAsia="仿宋_GB2312"/>
          <w:sz w:val="32"/>
          <w:szCs w:val="32"/>
        </w:rPr>
        <w:t>行使有关公安交通管理方面法律、法规规定的，对侵占城市道路行（限于人行道范围）的行政处罚权（包括对城区非法经营性三轮车的规范管理）。</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8</w:t>
      </w:r>
      <w:r>
        <w:rPr>
          <w:rFonts w:hint="eastAsia" w:ascii="仿宋_GB2312" w:hAnsi="宋体" w:eastAsia="仿宋_GB2312"/>
          <w:sz w:val="32"/>
          <w:szCs w:val="32"/>
          <w:lang w:eastAsia="zh-CN"/>
        </w:rPr>
        <w:t>）</w:t>
      </w:r>
      <w:r>
        <w:rPr>
          <w:rFonts w:hint="eastAsia" w:ascii="仿宋_GB2312" w:hAnsi="宋体" w:eastAsia="仿宋_GB2312"/>
          <w:sz w:val="32"/>
          <w:szCs w:val="32"/>
        </w:rPr>
        <w:t>行使文广新局负责的文化市场管理方面法律、法规、规章规定的，对未取得文化经营许可证，擅自从事文化娱乐经营行为的行政处罚职责和对违反文化经营许可证的规定进行文化娱乐经营行为的行政处罚。</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9</w:t>
      </w:r>
      <w:r>
        <w:rPr>
          <w:rFonts w:hint="eastAsia" w:ascii="仿宋_GB2312" w:hAnsi="宋体" w:eastAsia="仿宋_GB2312"/>
          <w:sz w:val="32"/>
          <w:szCs w:val="32"/>
          <w:lang w:eastAsia="zh-CN"/>
        </w:rPr>
        <w:t>）</w:t>
      </w:r>
      <w:r>
        <w:rPr>
          <w:rFonts w:hint="eastAsia" w:ascii="仿宋_GB2312" w:hAnsi="宋体" w:eastAsia="仿宋_GB2312"/>
          <w:sz w:val="32"/>
          <w:szCs w:val="32"/>
        </w:rPr>
        <w:t>行使水利局负责的河道、水资源管理方面法律、法规、规章规定的对在城区河道水面阻碍行洪、破坏堤防行为的行政处罚职责和对未办理取水许可证或者不按取水许可证规定进行取水行为的行政处罚权。</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10</w:t>
      </w:r>
      <w:r>
        <w:rPr>
          <w:rFonts w:hint="eastAsia" w:ascii="仿宋_GB2312" w:hAnsi="宋体" w:eastAsia="仿宋_GB2312"/>
          <w:sz w:val="32"/>
          <w:szCs w:val="32"/>
          <w:lang w:eastAsia="zh-CN"/>
        </w:rPr>
        <w:t>）</w:t>
      </w:r>
      <w:r>
        <w:rPr>
          <w:rFonts w:hint="eastAsia" w:ascii="仿宋_GB2312" w:hAnsi="宋体" w:eastAsia="仿宋_GB2312"/>
          <w:sz w:val="32"/>
          <w:szCs w:val="32"/>
        </w:rPr>
        <w:t>行使外环维护处管理、游园、园林绿化维护处管理、卫生管理、市场管理、水资源管理及收费职责，负责对城区市容市貌进行综合管理部。</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val="en-US" w:eastAsia="zh-CN"/>
        </w:rPr>
        <w:t>7、</w:t>
      </w:r>
      <w:r>
        <w:rPr>
          <w:rFonts w:hint="eastAsia" w:ascii="仿宋_GB2312" w:hAnsi="宋体" w:eastAsia="仿宋_GB2312"/>
          <w:sz w:val="32"/>
          <w:szCs w:val="32"/>
        </w:rPr>
        <w:t>承办市、区人民政府决定调整的城市管理领域的其他职他职责。</w:t>
      </w:r>
    </w:p>
    <w:p>
      <w:pPr>
        <w:keepNext w:val="0"/>
        <w:keepLines w:val="0"/>
        <w:pageBreakBefore w:val="0"/>
        <w:widowControl w:val="0"/>
        <w:kinsoku/>
        <w:wordWrap/>
        <w:overflowPunct/>
        <w:topLinePunct w:val="0"/>
        <w:autoSpaceDE w:val="0"/>
        <w:autoSpaceDN w:val="0"/>
        <w:bidi w:val="0"/>
        <w:adjustRightInd w:val="0"/>
        <w:snapToGrid/>
        <w:spacing w:after="0" w:line="520" w:lineRule="exact"/>
        <w:jc w:val="left"/>
        <w:textAlignment w:val="auto"/>
        <w:rPr>
          <w:rFonts w:ascii="仿宋_GB2312" w:hAnsi="Cambria" w:eastAsia="仿宋_GB2312" w:cs="ArialUnicodeMS"/>
          <w:kern w:val="0"/>
          <w:sz w:val="32"/>
          <w:szCs w:val="32"/>
        </w:rPr>
      </w:pPr>
    </w:p>
    <w:p>
      <w:pPr>
        <w:pStyle w:val="2"/>
        <w:pageBreakBefore w:val="0"/>
        <w:widowControl w:val="0"/>
        <w:kinsoku/>
        <w:wordWrap/>
        <w:overflowPunct/>
        <w:topLinePunct w:val="0"/>
        <w:bidi w:val="0"/>
        <w:snapToGrid/>
        <w:spacing w:before="0" w:after="0" w:line="520" w:lineRule="exact"/>
        <w:ind w:firstLine="640" w:firstLineChars="200"/>
        <w:jc w:val="left"/>
        <w:textAlignment w:val="auto"/>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pageBreakBefore w:val="0"/>
        <w:widowControl w:val="0"/>
        <w:kinsoku/>
        <w:wordWrap/>
        <w:overflowPunct/>
        <w:topLinePunct w:val="0"/>
        <w:bidi w:val="0"/>
        <w:snapToGrid/>
        <w:spacing w:after="0" w:line="520" w:lineRule="exact"/>
        <w:ind w:firstLine="640" w:firstLineChars="200"/>
        <w:textAlignment w:val="auto"/>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lang w:val="en-US" w:eastAsia="zh-CN"/>
        </w:rPr>
        <w:t>1</w:t>
      </w:r>
      <w:r>
        <w:rPr>
          <w:rFonts w:hint="eastAsia" w:ascii="仿宋_GB2312" w:hAnsi="Cambria" w:eastAsia="仿宋_GB2312" w:cs="ArialUnicodeMS"/>
          <w:kern w:val="0"/>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after="0" w:line="560" w:lineRule="exact"/>
              <w:rPr>
                <w:rFonts w:hint="eastAsia" w:ascii="仿宋_GB2312" w:hAnsi="Cambria" w:eastAsia="仿宋_GB2312" w:cs="ArialUnicodeMS"/>
                <w:kern w:val="0"/>
                <w:sz w:val="28"/>
                <w:szCs w:val="28"/>
                <w:lang w:eastAsia="zh-CN"/>
              </w:rPr>
            </w:pPr>
            <w:r>
              <w:rPr>
                <w:rFonts w:hint="eastAsia" w:ascii="仿宋_GB2312" w:hAnsi="宋体" w:eastAsia="仿宋_GB2312"/>
                <w:sz w:val="28"/>
                <w:szCs w:val="28"/>
              </w:rPr>
              <w:t>保定市满城区城市管理综合执法局</w:t>
            </w:r>
            <w:r>
              <w:rPr>
                <w:rFonts w:hint="eastAsia" w:ascii="仿宋_GB2312" w:hAnsi="宋体" w:eastAsia="仿宋_GB2312"/>
                <w:sz w:val="28"/>
                <w:szCs w:val="28"/>
                <w:lang w:eastAsia="zh-CN"/>
              </w:rPr>
              <w:t>（</w:t>
            </w:r>
            <w:r>
              <w:rPr>
                <w:rFonts w:hint="eastAsia" w:ascii="仿宋_GB2312" w:hAnsi="宋体" w:eastAsia="仿宋_GB2312"/>
                <w:sz w:val="28"/>
                <w:szCs w:val="28"/>
                <w:lang w:val="en-US" w:eastAsia="zh-CN"/>
              </w:rPr>
              <w:t>本级</w:t>
            </w:r>
            <w:r>
              <w:rPr>
                <w:rFonts w:hint="eastAsia" w:ascii="仿宋_GB2312" w:hAnsi="宋体" w:eastAsia="仿宋_GB2312"/>
                <w:sz w:val="28"/>
                <w:szCs w:val="28"/>
                <w:lang w:eastAsia="zh-CN"/>
              </w:rPr>
              <w:t>）</w:t>
            </w:r>
          </w:p>
        </w:tc>
        <w:tc>
          <w:tcPr>
            <w:tcW w:w="2445" w:type="dxa"/>
          </w:tcPr>
          <w:p>
            <w:pPr>
              <w:spacing w:after="0" w:line="560" w:lineRule="exact"/>
              <w:jc w:val="center"/>
              <w:rPr>
                <w:rFonts w:hint="eastAsia" w:ascii="仿宋_GB2312" w:hAnsi="Cambria" w:eastAsia="仿宋_GB2312" w:cs="ArialUnicodeMS"/>
                <w:kern w:val="0"/>
                <w:sz w:val="28"/>
                <w:szCs w:val="28"/>
                <w:lang w:val="en-US" w:eastAsia="zh-CN"/>
              </w:rPr>
            </w:pPr>
            <w:r>
              <w:rPr>
                <w:rFonts w:hint="eastAsia" w:ascii="仿宋_GB2312" w:hAnsi="Cambria" w:eastAsia="仿宋_GB2312" w:cs="ArialUnicodeMS"/>
                <w:kern w:val="0"/>
                <w:sz w:val="28"/>
                <w:szCs w:val="28"/>
                <w:lang w:val="en-US" w:eastAsia="zh-CN"/>
              </w:rPr>
              <w:t>行政单位</w:t>
            </w:r>
          </w:p>
        </w:tc>
        <w:tc>
          <w:tcPr>
            <w:tcW w:w="2665" w:type="dxa"/>
          </w:tcPr>
          <w:p>
            <w:pPr>
              <w:spacing w:after="0" w:line="560" w:lineRule="exact"/>
              <w:jc w:val="center"/>
              <w:rPr>
                <w:rFonts w:hint="default" w:ascii="仿宋_GB2312" w:hAnsi="Cambria" w:eastAsia="仿宋_GB2312" w:cs="ArialUnicodeMS"/>
                <w:kern w:val="0"/>
                <w:sz w:val="28"/>
                <w:szCs w:val="28"/>
                <w:lang w:val="en-US" w:eastAsia="zh-CN"/>
              </w:rPr>
            </w:pPr>
            <w:r>
              <w:rPr>
                <w:rFonts w:hint="eastAsia" w:ascii="仿宋_GB2312" w:hAnsi="Cambria" w:eastAsia="仿宋_GB2312" w:cs="ArialUnicodeMS"/>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after="0" w:line="560" w:lineRule="exact"/>
              <w:ind w:firstLine="560" w:firstLineChars="200"/>
              <w:jc w:val="left"/>
              <w:rPr>
                <w:rFonts w:ascii="仿宋_GB2312" w:hAnsi="Cambria" w:eastAsia="仿宋_GB2312" w:cs="ArialUnicodeMS"/>
                <w:kern w:val="0"/>
                <w:sz w:val="28"/>
                <w:szCs w:val="28"/>
              </w:rPr>
            </w:pPr>
          </w:p>
        </w:tc>
      </w:tr>
    </w:tbl>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8"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2"/>
                    <pic:cNvPicPr>
                      <a:picLocks noChangeAspect="1"/>
                    </pic:cNvPicPr>
                  </pic:nvPicPr>
                  <pic:blipFill>
                    <a:blip r:embed="rId7"/>
                    <a:stretch>
                      <a:fillRect/>
                    </a:stretch>
                  </pic:blipFill>
                  <pic:spPr>
                    <a:xfrm>
                      <a:off x="0" y="0"/>
                      <a:ext cx="7571105" cy="10680065"/>
                    </a:xfrm>
                    <a:prstGeom prst="rect">
                      <a:avLst/>
                    </a:prstGeom>
                    <a:noFill/>
                    <a:ln>
                      <a:noFill/>
                    </a:ln>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wps:txbx>
                      <wps:bodyPr upright="1"/>
                    </wps:wsp>
                  </a:graphicData>
                </a:graphic>
              </wp:anchor>
            </w:drawing>
          </mc:Choice>
          <mc:Fallback>
            <w:pict>
              <v:shape id="文本框 17"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5rPdDcAAAADQEAAA8AAAAAAAAAAQAgAAAAIgAAAGRycy9kb3ducmV2LnhtbFBLAQIU&#10;ABQAAAAIAIdO4kAupLS+tgEAAFkDAAAOAAAAAAAAAAEAIAAAACsBAABkcnMvZTJvRG9jLnhtbFBL&#10;BQYAAAAABgAGAFkBAABT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mc:AlternateContent>
                <mc:Choice Requires="wpg">
                  <w:drawing>
                    <wp:anchor distT="0" distB="0" distL="114300" distR="114300" simplePos="0" relativeHeight="251673600"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32"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0" name="矩形 13"/>
                              <wps:cNvSpPr/>
                              <wps:spPr>
                                <a:xfrm>
                                  <a:off x="4551" y="52615"/>
                                  <a:ext cx="8546" cy="1175"/>
                                </a:xfrm>
                                <a:prstGeom prst="rect">
                                  <a:avLst/>
                                </a:prstGeom>
                                <a:solidFill>
                                  <a:srgbClr val="96DA9D"/>
                                </a:solidFill>
                                <a:ln w="25400">
                                  <a:noFill/>
                                </a:ln>
                              </wps:spPr>
                              <wps:bodyPr anchor="ctr" anchorCtr="0" upright="1"/>
                            </wps:wsp>
                            <wps:wsp>
                              <wps:cNvPr id="3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10" o:spid="_x0000_s1026" o:spt="203" style="position:absolute;left:0pt;margin-left:-70.25pt;margin-top:-81.85pt;height:41.2pt;width:243.2pt;mso-position-vertical-relative:page;z-index:251673600;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4K8VI9wAAAANAQAA&#10;DwAAAAAAAAABACAAAAAiAAAAZHJzL2Rvd25yZXYueG1sUEsBAhQAFAAAAAgAh07iQMfXNrfAAgAA&#10;JgcAAA4AAAAAAAAAAQAgAAAAKw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otmaMrgAAADb&#10;AAAADwAAAGRycy9kb3ducmV2LnhtbEVPTWsCMRC9C/6HMEJvOllLpWyNHgqFnoRaPfQ2bMbN4may&#10;JHHd/vvmUPD4eN/b/eR7NXJMXRAD1UqDYmmC7aQ1cPr+WL6CSpnEUh+EDfxygv1uPttSbcNdvng8&#10;5laVEEk1GXA5DzViahx7SqswsBTuEqKnXGBs0Ua6l3Df41rrDXrqpDQ4GvjdcXM93rwBjBzRxekS&#10;f9J4w+qgzy/N1ZinRaXfQGWe8kP87/60Bp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tmaMr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xE2Pb4AAADb&#10;AAAADwAAAGRycy9kb3ducmV2LnhtbEWPQWvCQBSE70L/w/IK3nSTFkJ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E2P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12568.70</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536.00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4.88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12011.82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16.00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12568.70</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12568.70</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12568.70</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12568.70</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0" w:type="auto"/>
        <w:jc w:val="center"/>
        <w:tblLayout w:type="fixed"/>
        <w:tblCellMar>
          <w:top w:w="0" w:type="dxa"/>
          <w:left w:w="0" w:type="dxa"/>
          <w:bottom w:w="0" w:type="dxa"/>
          <w:right w:w="0" w:type="dxa"/>
        </w:tblCellMar>
      </w:tblPr>
      <w:tblGrid>
        <w:gridCol w:w="299"/>
        <w:gridCol w:w="300"/>
        <w:gridCol w:w="345"/>
        <w:gridCol w:w="4005"/>
        <w:gridCol w:w="900"/>
        <w:gridCol w:w="275"/>
        <w:gridCol w:w="626"/>
        <w:gridCol w:w="609"/>
        <w:gridCol w:w="353"/>
        <w:gridCol w:w="236"/>
        <w:gridCol w:w="586"/>
        <w:gridCol w:w="690"/>
        <w:gridCol w:w="649"/>
      </w:tblGrid>
      <w:tr>
        <w:tblPrEx>
          <w:tblCellMar>
            <w:top w:w="0" w:type="dxa"/>
            <w:left w:w="0" w:type="dxa"/>
            <w:bottom w:w="0" w:type="dxa"/>
            <w:right w:w="0" w:type="dxa"/>
          </w:tblCellMar>
        </w:tblPrEx>
        <w:trPr>
          <w:trHeight w:val="529" w:hRule="atLeast"/>
          <w:jc w:val="center"/>
        </w:trPr>
        <w:tc>
          <w:tcPr>
            <w:tcW w:w="9873" w:type="dxa"/>
            <w:gridSpan w:val="13"/>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mc:AlternateContent>
                <mc:Choice Requires="wpg">
                  <w:drawing>
                    <wp:anchor distT="0" distB="0" distL="114300" distR="114300" simplePos="0" relativeHeight="251674624"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35"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3" name="矩形 13"/>
                              <wps:cNvSpPr/>
                              <wps:spPr>
                                <a:xfrm>
                                  <a:off x="4551" y="52615"/>
                                  <a:ext cx="8546" cy="1175"/>
                                </a:xfrm>
                                <a:prstGeom prst="rect">
                                  <a:avLst/>
                                </a:prstGeom>
                                <a:solidFill>
                                  <a:srgbClr val="96DA9D"/>
                                </a:solidFill>
                                <a:ln w="25400">
                                  <a:noFill/>
                                </a:ln>
                              </wps:spPr>
                              <wps:bodyPr anchor="ctr" anchorCtr="0" upright="1"/>
                            </wps:wsp>
                            <wps:wsp>
                              <wps:cNvPr id="3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34" o:spid="_x0000_s1026" o:spt="203" style="position:absolute;left:0pt;margin-left:-82.75pt;margin-top:-81.1pt;height:41.2pt;width:243.2pt;mso-position-vertical-relative:page;z-index:251674624;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CebiNwAAAANAQAA&#10;DwAAAAAAAAABACAAAAAiAAAAZHJzL2Rvd25yZXYueG1sUEsBAhQAFAAAAAgAh07iQD+6cMbAAgAA&#10;JgcAAA4AAAAAAAAAAQAgAAAAKw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UgsERbsAAADb&#10;AAAADwAAAGRycy9kb3ducmV2LnhtbEWPQWsCMRSE70L/Q3iF3vRllZayNXooFHoSqu2ht8fmuVnc&#10;vCxJXLf/vhEEj8PMfMOst5Pv1cgxdUEMVAsNiqUJtpPWwPfhY/4KKmUSS30QNvDHCbabh9maahsu&#10;8sXjPreqQCTVZMDlPNSIqXHsKS3CwFK8Y4iecpGxRRvpUuC+x6XWL+ipk7LgaOB3x81pf/YGMHJE&#10;F6dj/E3jGaud/nluTsY8PVb6DVTmKd/Dt/anNbB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sER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2aVpb8AAADb&#10;AAAADwAAAGRycy9kb3ducmV2LnhtbEWP3WrCQBSE7wu+w3IKvasbWwk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mlaW/&#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29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0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00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7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2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8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39"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18"/>
                <w:szCs w:val="18"/>
              </w:rPr>
            </w:pPr>
            <w:r>
              <w:rPr>
                <w:rFonts w:hint="eastAsia" w:ascii="宋体" w:hAnsi="宋体" w:cs="宋体"/>
                <w:color w:val="000000"/>
                <w:kern w:val="0"/>
                <w:sz w:val="18"/>
                <w:szCs w:val="18"/>
              </w:rPr>
              <w:t>公开</w:t>
            </w:r>
            <w:r>
              <w:rPr>
                <w:rFonts w:ascii="宋体" w:hAnsi="宋体" w:cs="宋体"/>
                <w:color w:val="000000"/>
                <w:kern w:val="0"/>
                <w:sz w:val="18"/>
                <w:szCs w:val="18"/>
              </w:rPr>
              <w:t>02</w:t>
            </w:r>
            <w:r>
              <w:rPr>
                <w:rFonts w:hint="eastAsia" w:ascii="宋体" w:hAnsi="宋体" w:cs="宋体"/>
                <w:color w:val="000000"/>
                <w:kern w:val="0"/>
                <w:sz w:val="18"/>
                <w:szCs w:val="18"/>
              </w:rPr>
              <w:t>表</w:t>
            </w:r>
          </w:p>
        </w:tc>
      </w:tr>
      <w:tr>
        <w:tblPrEx>
          <w:tblCellMar>
            <w:top w:w="0" w:type="dxa"/>
            <w:left w:w="0" w:type="dxa"/>
            <w:bottom w:w="0" w:type="dxa"/>
            <w:right w:w="0" w:type="dxa"/>
          </w:tblCellMar>
        </w:tblPrEx>
        <w:trPr>
          <w:trHeight w:val="362" w:hRule="atLeast"/>
          <w:jc w:val="center"/>
        </w:trPr>
        <w:tc>
          <w:tcPr>
            <w:tcW w:w="6124" w:type="dxa"/>
            <w:gridSpan w:val="6"/>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62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8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39"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18"/>
                <w:szCs w:val="18"/>
              </w:rPr>
            </w:pPr>
            <w:r>
              <w:rPr>
                <w:rFonts w:hint="eastAsia" w:ascii="宋体" w:hAnsi="宋体" w:cs="宋体"/>
                <w:color w:val="000000"/>
                <w:kern w:val="0"/>
                <w:sz w:val="18"/>
                <w:szCs w:val="18"/>
              </w:rPr>
              <w:t>金额单位：万元</w:t>
            </w:r>
          </w:p>
        </w:tc>
      </w:tr>
      <w:tr>
        <w:tblPrEx>
          <w:tblCellMar>
            <w:top w:w="0" w:type="dxa"/>
            <w:left w:w="0" w:type="dxa"/>
            <w:bottom w:w="0" w:type="dxa"/>
            <w:right w:w="0" w:type="dxa"/>
          </w:tblCellMar>
        </w:tblPrEx>
        <w:trPr>
          <w:trHeight w:val="325" w:hRule="atLeast"/>
          <w:jc w:val="center"/>
        </w:trPr>
        <w:tc>
          <w:tcPr>
            <w:tcW w:w="4949" w:type="dxa"/>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900" w:type="dxa"/>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90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609"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589"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586"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69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649"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566" w:hRule="atLeast"/>
          <w:jc w:val="center"/>
        </w:trPr>
        <w:tc>
          <w:tcPr>
            <w:tcW w:w="94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4005" w:type="dxa"/>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900" w:type="dxa"/>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0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textAlignment w:val="center"/>
              <w:rPr>
                <w:rFonts w:ascii="宋体" w:cs="宋体"/>
                <w:color w:val="000000"/>
                <w:kern w:val="0"/>
                <w:sz w:val="20"/>
                <w:szCs w:val="20"/>
              </w:rPr>
            </w:pPr>
          </w:p>
        </w:tc>
        <w:tc>
          <w:tcPr>
            <w:tcW w:w="609"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89"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86"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69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649"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trHeight w:val="301" w:hRule="atLeast"/>
          <w:jc w:val="center"/>
        </w:trPr>
        <w:tc>
          <w:tcPr>
            <w:tcW w:w="494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textAlignment w:val="center"/>
              <w:rPr>
                <w:rFonts w:ascii="宋体" w:cs="宋体"/>
                <w:color w:val="000000"/>
                <w:sz w:val="18"/>
                <w:szCs w:val="18"/>
              </w:rPr>
            </w:pPr>
            <w:r>
              <w:rPr>
                <w:rFonts w:ascii="宋体" w:hAnsi="宋体" w:cs="宋体"/>
                <w:color w:val="000000"/>
                <w:kern w:val="0"/>
                <w:sz w:val="18"/>
                <w:szCs w:val="18"/>
              </w:rPr>
              <w:t>1</w:t>
            </w:r>
          </w:p>
        </w:tc>
        <w:tc>
          <w:tcPr>
            <w:tcW w:w="90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textAlignment w:val="center"/>
              <w:rPr>
                <w:rFonts w:ascii="宋体" w:cs="宋体"/>
                <w:color w:val="000000"/>
                <w:sz w:val="18"/>
                <w:szCs w:val="18"/>
              </w:rPr>
            </w:pPr>
            <w:r>
              <w:rPr>
                <w:rFonts w:ascii="宋体" w:hAnsi="宋体" w:cs="宋体"/>
                <w:color w:val="000000"/>
                <w:kern w:val="0"/>
                <w:sz w:val="18"/>
                <w:szCs w:val="18"/>
              </w:rPr>
              <w:t>2</w:t>
            </w:r>
          </w:p>
        </w:tc>
        <w:tc>
          <w:tcPr>
            <w:tcW w:w="6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58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5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trHeight w:val="267" w:hRule="atLeast"/>
          <w:jc w:val="center"/>
        </w:trPr>
        <w:tc>
          <w:tcPr>
            <w:tcW w:w="494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90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 w:val="18"/>
                <w:szCs w:val="18"/>
                <w:lang w:val="en-US" w:eastAsia="zh-CN"/>
              </w:rPr>
            </w:pPr>
            <w:r>
              <w:rPr>
                <w:rFonts w:hint="eastAsia" w:ascii="宋体" w:cs="宋体"/>
                <w:b/>
                <w:color w:val="000000"/>
                <w:sz w:val="18"/>
                <w:szCs w:val="18"/>
                <w:lang w:val="en-US" w:eastAsia="zh-CN"/>
              </w:rPr>
              <w:t>12568.70</w:t>
            </w:r>
          </w:p>
        </w:tc>
        <w:tc>
          <w:tcPr>
            <w:tcW w:w="90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 w:val="18"/>
                <w:szCs w:val="18"/>
                <w:lang w:val="en-US" w:eastAsia="zh-CN"/>
              </w:rPr>
            </w:pPr>
            <w:r>
              <w:rPr>
                <w:rFonts w:hint="eastAsia" w:ascii="宋体" w:cs="宋体"/>
                <w:b/>
                <w:color w:val="000000"/>
                <w:sz w:val="18"/>
                <w:szCs w:val="18"/>
                <w:lang w:val="en-US" w:eastAsia="zh-CN"/>
              </w:rPr>
              <w:t>12568.70</w:t>
            </w:r>
          </w:p>
        </w:tc>
        <w:tc>
          <w:tcPr>
            <w:tcW w:w="609"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589"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58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69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649"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trHeight w:val="287"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一般公共服务支出</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536.00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536.00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306"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20103</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政府办公厅（室）及相关机构事务</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6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2010308</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信访事务</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6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20115</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工商行政管理事务</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533.00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533.00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94"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2011599</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其他工商行政管理事务支出</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533.00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533.00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42"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211</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节能环保支出</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4.88</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4.88</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87"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21103</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污染防治</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4.88</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4.88</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30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2110301</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大气</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4.88</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4.88</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6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城乡社区支出</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12,011.82</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12,011.82</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6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城乡社区管理事务</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4,406.76</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4,406.76</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57"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2120101</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行政运行</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260.69</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260.69</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316"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2120102</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一般行政管理事务</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27.00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27.00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72"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2120104</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城管执法</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3,765.29</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3,765.29</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33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2120107</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市政公用行业市场监管</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353.48</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353.48</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86"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2120199</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其他城乡社区管理事务支出</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0.30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0.30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4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21203</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城乡社区公共设施</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8.15</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8.15</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46"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2120399</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其他城乡社区公共设施支出</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8.15</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8.15</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186"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21205</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城乡社区环境卫生</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5,948.99</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5,948.99</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27"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2120501</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城乡社区环境卫生</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5,948.99</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5,948.99</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30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21208</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5"/>
                <w:szCs w:val="15"/>
                <w:lang w:val="en-US" w:eastAsia="zh-CN"/>
              </w:rPr>
              <w:t>国有土地使用权出让收入及对应专项债务收入安排的支出</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1,287.59</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1,287.59</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316"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2120803</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城市建设支出</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1,287.59</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1,287.59</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33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21213</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5"/>
                <w:szCs w:val="15"/>
                <w:lang w:val="en-US" w:eastAsia="zh-CN"/>
              </w:rPr>
              <w:t>城市基础设施配套费及对应专项债务收入安排的支出</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14.00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14.00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86"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2121301</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城市公共设施</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14.00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14.00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316"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21214</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污水处理费及对应专项债务收入安排的支出</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346.33</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346.33</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86"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2121401</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污水处理设施建设和运营</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311.93</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311.93</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7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2121402</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代征手续费</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34.40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34.40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1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农林水支出</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16.00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16.00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7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21304</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南水北调</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16.00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16.00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7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2130407</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前期工作</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16.00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16.00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481" w:hRule="atLeast"/>
          <w:jc w:val="center"/>
        </w:trPr>
        <w:tc>
          <w:tcPr>
            <w:tcW w:w="9873" w:type="dxa"/>
            <w:gridSpan w:val="13"/>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1701" w:right="1474" w:bottom="1701" w:left="1588" w:header="851" w:footer="992" w:gutter="0"/>
          <w:cols w:space="0" w:num="1"/>
          <w:rtlGutter w:val="0"/>
          <w:docGrid w:type="lines" w:linePitch="312" w:charSpace="0"/>
        </w:sectPr>
      </w:pPr>
    </w:p>
    <w:tbl>
      <w:tblPr>
        <w:tblStyle w:val="12"/>
        <w:tblW w:w="9825" w:type="dxa"/>
        <w:tblInd w:w="-488" w:type="dxa"/>
        <w:tblLayout w:type="fixed"/>
        <w:tblCellMar>
          <w:top w:w="0" w:type="dxa"/>
          <w:left w:w="0" w:type="dxa"/>
          <w:bottom w:w="0" w:type="dxa"/>
          <w:right w:w="0" w:type="dxa"/>
        </w:tblCellMar>
      </w:tblPr>
      <w:tblGrid>
        <w:gridCol w:w="776"/>
        <w:gridCol w:w="66"/>
        <w:gridCol w:w="223"/>
        <w:gridCol w:w="240"/>
        <w:gridCol w:w="2327"/>
        <w:gridCol w:w="388"/>
        <w:gridCol w:w="90"/>
        <w:gridCol w:w="480"/>
        <w:gridCol w:w="160"/>
        <w:gridCol w:w="478"/>
        <w:gridCol w:w="187"/>
        <w:gridCol w:w="455"/>
        <w:gridCol w:w="280"/>
        <w:gridCol w:w="198"/>
        <w:gridCol w:w="640"/>
        <w:gridCol w:w="478"/>
        <w:gridCol w:w="499"/>
        <w:gridCol w:w="621"/>
        <w:gridCol w:w="159"/>
        <w:gridCol w:w="1080"/>
      </w:tblGrid>
      <w:tr>
        <w:tblPrEx>
          <w:tblCellMar>
            <w:top w:w="0" w:type="dxa"/>
            <w:left w:w="0" w:type="dxa"/>
            <w:bottom w:w="0" w:type="dxa"/>
            <w:right w:w="0" w:type="dxa"/>
          </w:tblCellMar>
        </w:tblPrEx>
        <w:trPr>
          <w:trHeight w:val="528" w:hRule="atLeast"/>
        </w:trPr>
        <w:tc>
          <w:tcPr>
            <w:tcW w:w="9825" w:type="dxa"/>
            <w:gridSpan w:val="20"/>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mc:AlternateContent>
                <mc:Choice Requires="wpg">
                  <w:drawing>
                    <wp:anchor distT="0" distB="0" distL="114300" distR="114300" simplePos="0" relativeHeight="251675648"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8"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6" name="矩形 13"/>
                              <wps:cNvSpPr/>
                              <wps:spPr>
                                <a:xfrm>
                                  <a:off x="4551" y="52615"/>
                                  <a:ext cx="8546" cy="1175"/>
                                </a:xfrm>
                                <a:prstGeom prst="rect">
                                  <a:avLst/>
                                </a:prstGeom>
                                <a:solidFill>
                                  <a:srgbClr val="96DA9D"/>
                                </a:solidFill>
                                <a:ln w="25400">
                                  <a:noFill/>
                                </a:ln>
                              </wps:spPr>
                              <wps:bodyPr anchor="ctr" anchorCtr="0" upright="1"/>
                            </wps:wsp>
                            <wps:wsp>
                              <wps:cNvPr id="3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_x0000_s1026" o:spid="_x0000_s1026" o:spt="203" style="position:absolute;left:0pt;margin-left:-80.9pt;margin-top:-81.1pt;height:41.2pt;width:243.2pt;mso-position-vertical-relative:page;z-index:251675648;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JpSytwAAAANAQAA&#10;DwAAAAAAAAABACAAAAAiAAAAZHJzL2Rvd25yZXYueG1sUEsBAhQAFAAAAAgAh07iQGz6qWPAAgAA&#10;JgcAAA4AAAAAAAAAAQAgAAAAKw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Qnyn3bsAAADb&#10;AAAADwAAAGRycy9kb3ducmV2LnhtbEWPQWsCMRSE74L/ITyht/qyLRVZjR6EQk+F2vbg7bF5bhY3&#10;L0sS1+2/bwoFj8PMfMNs95Pv1cgxdUEMVEsNiqUJtpPWwNfn6+MaVMoklvogbOCHE+x389mWahtu&#10;8sHjMbeqQCTVZMDlPNSIqXHsKS3DwFK8c4iecpGxRRvpVuC+xyetV+ipk7LgaOCD4+ZyvHoDGDmi&#10;i9M5ntJ4xepdf780F2MeFpXegMo85Xv4v/1mDTyv4O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yn3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7QL0r4AAADb&#10;AAAADwAAAGRycy9kb3ducmV2LnhtbEWP3WoCMRSE7wXfIZxC7zSrhVVWoxRBWgUp2i3i3WFz3Cxu&#10;TpZN/Gmf3hQEL4eZ+YaZzm+2FhdqfeVYwaCfgCAunK64VJB/L3tjED4ga6wdk4Jf8jCfdTtTzLS7&#10;8pYuu1CKCGGfoQITQpNJ6QtDFn3fNcTRO7rWYoiyLaVu8RrhtpbDJEmlxYrjgsGGFoaK0+5sFXzl&#10;5vCBa9rbzfr0k79XmP6tUqVeXwbJBESgW3iGH+1PreBtB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QL0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329" w:hRule="atLeast"/>
        </w:trPr>
        <w:tc>
          <w:tcPr>
            <w:tcW w:w="77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7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4"/>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239"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5" w:hRule="atLeast"/>
        </w:trPr>
        <w:tc>
          <w:tcPr>
            <w:tcW w:w="3632"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11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3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72" w:hRule="atLeast"/>
        </w:trPr>
        <w:tc>
          <w:tcPr>
            <w:tcW w:w="4590" w:type="dxa"/>
            <w:gridSpan w:val="8"/>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825" w:type="dxa"/>
            <w:gridSpan w:val="3"/>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本年支出合计</w:t>
            </w:r>
          </w:p>
        </w:tc>
        <w:tc>
          <w:tcPr>
            <w:tcW w:w="735"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基本支出</w:t>
            </w:r>
          </w:p>
        </w:tc>
        <w:tc>
          <w:tcPr>
            <w:tcW w:w="838"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项目支出</w:t>
            </w:r>
          </w:p>
        </w:tc>
        <w:tc>
          <w:tcPr>
            <w:tcW w:w="977"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上缴上级支出</w:t>
            </w:r>
          </w:p>
        </w:tc>
        <w:tc>
          <w:tcPr>
            <w:tcW w:w="780"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经营支出</w:t>
            </w:r>
          </w:p>
        </w:tc>
        <w:tc>
          <w:tcPr>
            <w:tcW w:w="1080"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对附属单位补助支出</w:t>
            </w:r>
          </w:p>
        </w:tc>
      </w:tr>
      <w:tr>
        <w:tblPrEx>
          <w:tblCellMar>
            <w:top w:w="0" w:type="dxa"/>
            <w:left w:w="0" w:type="dxa"/>
            <w:bottom w:w="0" w:type="dxa"/>
            <w:right w:w="0" w:type="dxa"/>
          </w:tblCellMar>
        </w:tblPrEx>
        <w:trPr>
          <w:trHeight w:val="569" w:hRule="atLeast"/>
        </w:trPr>
        <w:tc>
          <w:tcPr>
            <w:tcW w:w="84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功能分类科目编码</w:t>
            </w:r>
          </w:p>
        </w:tc>
        <w:tc>
          <w:tcPr>
            <w:tcW w:w="3748" w:type="dxa"/>
            <w:gridSpan w:val="6"/>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科目名称</w:t>
            </w:r>
          </w:p>
        </w:tc>
        <w:tc>
          <w:tcPr>
            <w:tcW w:w="825" w:type="dxa"/>
            <w:gridSpan w:val="3"/>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735"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38"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977"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780"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1080"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18"/>
                <w:szCs w:val="18"/>
              </w:rPr>
            </w:pPr>
          </w:p>
        </w:tc>
      </w:tr>
      <w:tr>
        <w:tblPrEx>
          <w:tblCellMar>
            <w:top w:w="0" w:type="dxa"/>
            <w:left w:w="0" w:type="dxa"/>
            <w:bottom w:w="0" w:type="dxa"/>
            <w:right w:w="0" w:type="dxa"/>
          </w:tblCellMar>
        </w:tblPrEx>
        <w:trPr>
          <w:trHeight w:val="395" w:hRule="atLeast"/>
        </w:trPr>
        <w:tc>
          <w:tcPr>
            <w:tcW w:w="4590" w:type="dxa"/>
            <w:gridSpan w:val="8"/>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82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7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9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78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108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r>
      <w:tr>
        <w:tblPrEx>
          <w:tblCellMar>
            <w:top w:w="0" w:type="dxa"/>
            <w:left w:w="0" w:type="dxa"/>
            <w:bottom w:w="0" w:type="dxa"/>
            <w:right w:w="0" w:type="dxa"/>
          </w:tblCellMar>
        </w:tblPrEx>
        <w:trPr>
          <w:trHeight w:val="310" w:hRule="atLeast"/>
        </w:trPr>
        <w:tc>
          <w:tcPr>
            <w:tcW w:w="4590" w:type="dxa"/>
            <w:gridSpan w:val="8"/>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12568.70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4488.40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8080.29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一般公共服务支出</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536.00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533.00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3.00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20103</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政府办公厅（室）及相关机构事务</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3.00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3.00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2010308</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信访事务</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3.00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3.00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20115</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工商行政管理事务</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533.00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533.00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2011599</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其他工商行政管理事务支出</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533.00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533.00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211</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节能环保支出</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4.88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4.88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21103</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污染防治</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4.88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4.88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2110301</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大气</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4.88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4.88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城乡社区支出</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12011.82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3955.40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8056.41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城乡社区管理事务</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4406.76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3911.00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495.76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2120101</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行政运行</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260.69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233.69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27.00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2120102</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一般行政管理事务</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27.00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27.00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2120104</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城管执法</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3765.29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3677.01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88.28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2120107</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市政公用行业市场监管</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353.48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353.48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2120199</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其他城乡社区管理事务支出</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0.30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0.30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21203</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城乡社区公共设施</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8.15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8.15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2120399</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其他城乡社区公共设施支出</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8.15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8.15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21205</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城乡社区环境卫生</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5948.99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10.00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5938.99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2120501</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城乡社区环境卫生</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5948.99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10.00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5938.99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21208</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国有土地使用权出让收入及对应专项债务收入安排的支出</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1287.59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1287.59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2120803</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城市建设支出</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1287.59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1287.59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21213</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城市基础设施配套费及对应专项债务收入安排的支出</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14.00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14.00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2121301</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城市公共设施</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14.00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14.00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21214</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污水处理费及对应专项债务收入安排的支出</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346.33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34.40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311.93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2121401</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污水处理设施建设和运营</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311.93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311.93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2121402</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代征手续费</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34.40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34.40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农林水支出</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16.00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16.00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84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21304</w:t>
            </w:r>
          </w:p>
        </w:tc>
        <w:tc>
          <w:tcPr>
            <w:tcW w:w="3748" w:type="dxa"/>
            <w:gridSpan w:val="6"/>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南水北调</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16.00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16.00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84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2130407</w:t>
            </w:r>
          </w:p>
        </w:tc>
        <w:tc>
          <w:tcPr>
            <w:tcW w:w="3748" w:type="dxa"/>
            <w:gridSpan w:val="6"/>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前期工作</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16.00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16.00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748" w:hRule="atLeast"/>
        </w:trPr>
        <w:tc>
          <w:tcPr>
            <w:tcW w:w="9825" w:type="dxa"/>
            <w:gridSpan w:val="20"/>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1134" w:right="1474" w:bottom="1134" w:left="1588" w:header="851" w:footer="992" w:gutter="0"/>
          <w:cols w:space="0" w:num="1"/>
          <w:rtlGutter w:val="0"/>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mc:AlternateContent>
                <mc:Choice Requires="wpg">
                  <w:drawing>
                    <wp:anchor distT="0" distB="0" distL="114300" distR="114300" simplePos="0" relativeHeight="25167667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1"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9" name="矩形 13"/>
                              <wps:cNvSpPr/>
                              <wps:spPr>
                                <a:xfrm>
                                  <a:off x="4551" y="52615"/>
                                  <a:ext cx="8546" cy="1175"/>
                                </a:xfrm>
                                <a:prstGeom prst="rect">
                                  <a:avLst/>
                                </a:prstGeom>
                                <a:solidFill>
                                  <a:srgbClr val="96DA9D"/>
                                </a:solidFill>
                                <a:ln w="25400">
                                  <a:noFill/>
                                </a:ln>
                              </wps:spPr>
                              <wps:bodyPr anchor="ctr" anchorCtr="0" upright="1"/>
                            </wps:wsp>
                            <wps:wsp>
                              <wps:cNvPr id="4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43" o:spid="_x0000_s1026" o:spt="203" style="position:absolute;left:0pt;margin-left:-80.9pt;margin-top:-81.1pt;height:41.2pt;width:243.2pt;mso-position-vertical-relative:page;z-index:25167667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cmlLK3AAA&#10;AA0BAAAPAAAAAAAAAAEAIAAAACIAAABkcnMvZG93bnJldi54bWxQSwECFAAUAAAACACHTuJArPiH&#10;xMUCAAAmBwAADgAAAAAAAAABACAAAAArAQAAZHJzL2Uyb0RvYy54bWxQSwUGAAAAAAYABgBZAQAA&#10;YgYAAAAA&#10;">
                      <o:lock v:ext="edit" aspectratio="f"/>
                      <v:rect id="矩形 13" o:spid="_x0000_s1026" o:spt="1" style="position:absolute;left:4551;top:52615;height:1175;width:8546;v-text-anchor:middle;" fillcolor="#96DA9D" filled="t" stroked="f" coordsize="21600,21600" o:gfxdata="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zr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Fvg27oAAADb&#10;AAAADwAAAGRycy9kb3ducmV2LnhtbEVPy4rCMBTdC/MP4Q6401SRItUow4DoCDKoFXF3aa5Nsbkp&#10;TcbX15vFgMvDeU/nd1uLK7W+cqxg0E9AEBdOV1wqyPeL3hiED8gaa8ek4EEe5rOPzhQz7W68pesu&#10;lCKGsM9QgQmhyaT0hSGLvu8a4sidXWsxRNiWUrd4i+G2lsMkSaXFimODwYa+DRWX3Z9V8Jub0xLX&#10;dLSb9eWQf1WYPn9Spbqfg2QCItA9vMX/7pV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W+Db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10920.79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536.00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536.00 </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1647.91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4.88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4.88 </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12011.82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10363.91 </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1647.91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16.00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16.00 </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12568.70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12568.70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10920.79 </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1647.91 </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12568.70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12568.70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10920.79 </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1647.91 </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854"/>
        <w:gridCol w:w="452"/>
        <w:gridCol w:w="90"/>
        <w:gridCol w:w="1350"/>
        <w:gridCol w:w="542"/>
        <w:gridCol w:w="1063"/>
        <w:gridCol w:w="1516"/>
      </w:tblGrid>
      <w:tr>
        <w:tblPrEx>
          <w:tblCellMar>
            <w:top w:w="0" w:type="dxa"/>
            <w:left w:w="0" w:type="dxa"/>
            <w:bottom w:w="0" w:type="dxa"/>
            <w:right w:w="0" w:type="dxa"/>
          </w:tblCellMar>
        </w:tblPrEx>
        <w:trPr>
          <w:trHeight w:val="600" w:hRule="atLeast"/>
        </w:trPr>
        <w:tc>
          <w:tcPr>
            <w:tcW w:w="8860" w:type="dxa"/>
            <w:gridSpan w:val="10"/>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mc:AlternateContent>
                <mc:Choice Requires="wpg">
                  <w:drawing>
                    <wp:anchor distT="0" distB="0" distL="114300" distR="114300" simplePos="0" relativeHeight="25167769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4"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2" name="矩形 13"/>
                              <wps:cNvSpPr/>
                              <wps:spPr>
                                <a:xfrm>
                                  <a:off x="4551" y="52615"/>
                                  <a:ext cx="8546" cy="1175"/>
                                </a:xfrm>
                                <a:prstGeom prst="rect">
                                  <a:avLst/>
                                </a:prstGeom>
                                <a:solidFill>
                                  <a:srgbClr val="96DA9D"/>
                                </a:solidFill>
                                <a:ln w="25400">
                                  <a:noFill/>
                                </a:ln>
                              </wps:spPr>
                              <wps:bodyPr anchor="ctr" anchorCtr="0" upright="1"/>
                            </wps:wsp>
                            <wps:wsp>
                              <wps:cNvPr id="4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46" o:spid="_x0000_s1026" o:spt="203" style="position:absolute;left:0pt;margin-left:-80.9pt;margin-top:-81.1pt;height:41.2pt;width:243.2pt;mso-position-vertical-relative:page;z-index:25167769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yaUsrcAAAADQEAAA8A&#10;AAAAAAAAAQAgAAAAIgAAAGRycy9kb3ducmV2LnhtbFBLAQIUABQAAAAIAIdO4kDzGYBcvgIAACYH&#10;AAAOAAAAAAAAAAEAIAAAACs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ZUHSo7sAAADb&#10;AAAADwAAAGRycy9kb3ducmV2LnhtbEWPQWsCMRSE70L/Q3gFb/qy0hbZGj0UCj0VatuDt8fmuVnc&#10;vCxJXLf/vhEEj8PMfMNsdpPv1cgxdUEMVEsNiqUJtpPWwM/3+2INKmUSS30QNvDHCXbbh9mGahsu&#10;8sXjPreqQCTVZMDlPNSIqXHsKS3DwFK8Y4iecpGxRRvpUuC+x5XWL+ipk7LgaOA3x81pf/YGMHJE&#10;F6djPKTxjNWn/n1uTsbMHyv9CirzlO/hW/vDGnh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HSo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tIl+rL8AAADb&#10;AAAADwAAAGRycy9kb3ducmV2LnhtbEWP3WrCQBSE7wu+w3IKvasbWwk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Jfqy/&#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30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579"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892"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4299"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项目</w:t>
            </w:r>
          </w:p>
        </w:tc>
        <w:tc>
          <w:tcPr>
            <w:tcW w:w="4561"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功能分类科目编码</w:t>
            </w:r>
          </w:p>
        </w:tc>
        <w:tc>
          <w:tcPr>
            <w:tcW w:w="3306"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科目名称</w:t>
            </w:r>
          </w:p>
        </w:tc>
        <w:tc>
          <w:tcPr>
            <w:tcW w:w="1440"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小计</w:t>
            </w:r>
          </w:p>
        </w:tc>
        <w:tc>
          <w:tcPr>
            <w:tcW w:w="1605"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基本支出</w:t>
            </w:r>
          </w:p>
        </w:tc>
        <w:tc>
          <w:tcPr>
            <w:tcW w:w="151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p>
        </w:tc>
        <w:tc>
          <w:tcPr>
            <w:tcW w:w="3306"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p>
        </w:tc>
        <w:tc>
          <w:tcPr>
            <w:tcW w:w="1440"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p>
        </w:tc>
        <w:tc>
          <w:tcPr>
            <w:tcW w:w="1605"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p>
        </w:tc>
        <w:tc>
          <w:tcPr>
            <w:tcW w:w="1516"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p>
        </w:tc>
        <w:tc>
          <w:tcPr>
            <w:tcW w:w="3306"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p>
        </w:tc>
        <w:tc>
          <w:tcPr>
            <w:tcW w:w="1440"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p>
        </w:tc>
        <w:tc>
          <w:tcPr>
            <w:tcW w:w="1605"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p>
        </w:tc>
        <w:tc>
          <w:tcPr>
            <w:tcW w:w="1516"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68" w:hRule="atLeast"/>
        </w:trPr>
        <w:tc>
          <w:tcPr>
            <w:tcW w:w="4299"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栏次</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w:t>
            </w:r>
          </w:p>
        </w:tc>
        <w:tc>
          <w:tcPr>
            <w:tcW w:w="151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w:t>
            </w:r>
          </w:p>
        </w:tc>
      </w:tr>
      <w:tr>
        <w:tblPrEx>
          <w:tblCellMar>
            <w:top w:w="0" w:type="dxa"/>
            <w:left w:w="0" w:type="dxa"/>
            <w:bottom w:w="0" w:type="dxa"/>
            <w:right w:w="0" w:type="dxa"/>
          </w:tblCellMar>
        </w:tblPrEx>
        <w:trPr>
          <w:trHeight w:val="368" w:hRule="atLeast"/>
        </w:trPr>
        <w:tc>
          <w:tcPr>
            <w:tcW w:w="4299"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合计</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10920.79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4454.00 </w:t>
            </w: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6466.78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一般公共服务支出</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536.00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533.00 </w:t>
            </w: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3.00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20103</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政府办公厅（室）及相关机构事务</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3.00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3.00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2010308</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信访事务</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3.00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3.00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20115</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工商行政管理事务</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533.00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533.00 </w:t>
            </w: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2011599</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其他工商行政管理事务支出</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533.00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533.00 </w:t>
            </w: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211</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节能环保支出</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4.88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4.88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21103</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污染防治</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4.88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4.88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2110301</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大气</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4.88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4.88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城乡社区支出</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10363.91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3921.00 </w:t>
            </w: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6442.90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城乡社区管理事务</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4406.76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3911.00 </w:t>
            </w: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495.76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2120101</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行政运行</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260.69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233.69 </w:t>
            </w: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27.00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2120102</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一般行政管理事务</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27.00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27.00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2120104</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城管执法</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3765.29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3677.01 </w:t>
            </w: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88.28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2120107</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市政公用行业市场监管</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353.48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353.48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2120199</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其他城乡社区管理事务支出</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0.30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0.30 </w:t>
            </w: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21203</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城乡社区公共设施</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8.15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8.15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2120399</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其他城乡社区公共设施支出</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8.15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8.15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21205</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城乡社区环境卫生</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5948.99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10.00 </w:t>
            </w: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5938.99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2120501</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城乡社区环境卫生</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5948.99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10.00 </w:t>
            </w: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5938.99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农林水支出</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16.00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16.00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21304</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南水北调</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16.00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16.00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2130407</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前期工作</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16.00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16.00 </w:t>
            </w:r>
          </w:p>
        </w:tc>
      </w:tr>
      <w:tr>
        <w:tblPrEx>
          <w:tblCellMar>
            <w:top w:w="0" w:type="dxa"/>
            <w:left w:w="0" w:type="dxa"/>
            <w:bottom w:w="0" w:type="dxa"/>
            <w:right w:w="0" w:type="dxa"/>
          </w:tblCellMar>
        </w:tblPrEx>
        <w:trPr>
          <w:trHeight w:val="368" w:hRule="atLeast"/>
        </w:trPr>
        <w:tc>
          <w:tcPr>
            <w:tcW w:w="8860" w:type="dxa"/>
            <w:gridSpan w:val="10"/>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683" w:type="dxa"/>
        <w:jc w:val="center"/>
        <w:tblLayout w:type="fixed"/>
        <w:tblCellMar>
          <w:top w:w="0" w:type="dxa"/>
          <w:left w:w="0" w:type="dxa"/>
          <w:bottom w:w="0" w:type="dxa"/>
          <w:right w:w="0" w:type="dxa"/>
        </w:tblCellMar>
      </w:tblPr>
      <w:tblGrid>
        <w:gridCol w:w="595"/>
        <w:gridCol w:w="1909"/>
        <w:gridCol w:w="734"/>
        <w:gridCol w:w="603"/>
        <w:gridCol w:w="1637"/>
        <w:gridCol w:w="740"/>
        <w:gridCol w:w="936"/>
        <w:gridCol w:w="1759"/>
        <w:gridCol w:w="770"/>
      </w:tblGrid>
      <w:tr>
        <w:tblPrEx>
          <w:tblCellMar>
            <w:top w:w="0" w:type="dxa"/>
            <w:left w:w="0" w:type="dxa"/>
            <w:bottom w:w="0" w:type="dxa"/>
            <w:right w:w="0" w:type="dxa"/>
          </w:tblCellMar>
        </w:tblPrEx>
        <w:trPr>
          <w:trHeight w:val="526" w:hRule="atLeast"/>
          <w:jc w:val="center"/>
        </w:trPr>
        <w:tc>
          <w:tcPr>
            <w:tcW w:w="9683"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95"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909"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3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603"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637"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936"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529"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478"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mc:AlternateContent>
                <mc:Choice Requires="wpg">
                  <w:drawing>
                    <wp:anchor distT="0" distB="0" distL="114300" distR="114300" simplePos="0" relativeHeight="251678720"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47"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5" name="矩形 13"/>
                              <wps:cNvSpPr/>
                              <wps:spPr>
                                <a:xfrm>
                                  <a:off x="4551" y="52615"/>
                                  <a:ext cx="8546" cy="1175"/>
                                </a:xfrm>
                                <a:prstGeom prst="rect">
                                  <a:avLst/>
                                </a:prstGeom>
                                <a:solidFill>
                                  <a:srgbClr val="96DA9D"/>
                                </a:solidFill>
                                <a:ln w="25400">
                                  <a:noFill/>
                                </a:ln>
                              </wps:spPr>
                              <wps:bodyPr anchor="ctr" anchorCtr="0" upright="1"/>
                            </wps:wsp>
                            <wps:wsp>
                              <wps:cNvPr id="4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49" o:spid="_x0000_s1026" o:spt="203" style="position:absolute;left:0pt;margin-left:-73.25pt;margin-top:-129.4pt;height:41.2pt;width:243.2pt;mso-position-vertical-relative:page;z-index:251678720;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LAyPvTd&#10;AAAADgEAAA8AAAAAAAAAAQAgAAAAIgAAAGRycy9kb3ducmV2LnhtbFBLAQIUABQAAAAIAIdO4kDo&#10;fkePxgIAACYHAAAOAAAAAAAAAAEAIAAAACwBAABkcnMvZTJvRG9jLnhtbFBLBQYAAAAABgAGAFkB&#10;AABkBgAAAAA=&#10;">
                      <o:lock v:ext="edit" aspectratio="f"/>
                      <v:rect id="矩形 13" o:spid="_x0000_s1026" o:spt="1" style="position:absolute;left:4551;top:52615;height:1175;width:8546;v-text-anchor:middle;" fillcolor="#96DA9D" filled="t" stroked="f" coordsize="21600,21600" o:gfxdata="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qhK1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P7dNL4AAADb&#10;AAAADwAAAGRycy9kb3ducmV2LnhtbEWPzWrDMBCE74G8g9hAbrGcUkxxo5gSCG0DISR1Kb0t1tYy&#10;tlbGUvP39FGg0OMwM98wi+JsO3GkwTeOFcyTFARx5XTDtYLyYz17AuEDssbOMSm4kIdiOR4tMNfu&#10;xHs6HkItIoR9jgpMCH0upa8MWfSJ64mj9+MGiyHKoZZ6wFOE204+pGkmLTYcFwz2tDJUtYdfq2BX&#10;mu9X3NCX3W7az/Klwez6nik1nczTZxCBzuE//Nd+0woeM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7dN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936"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529"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2" w:hRule="atLeast"/>
          <w:jc w:val="center"/>
        </w:trPr>
        <w:tc>
          <w:tcPr>
            <w:tcW w:w="323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445"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95"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90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34"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60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63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93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5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7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95"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90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34"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60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63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936"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5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7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工资福利支出</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4375.78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商品和服务支出</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38.76 </w:t>
            </w: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307</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债务利息及费用支出</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30101</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基本工资</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1971.26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30201</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办公费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5.55 </w:t>
            </w: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30701</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国内债务付息</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30102</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津贴补贴</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170.43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30202</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印刷费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30702</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国外债务付息</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30103</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奖金</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459.47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30203</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咨询费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资本性支出</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95"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30106</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伙食补助费</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30204</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手续费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31001</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房屋建筑物购建</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30107</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绩效工资</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858.84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30205</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水费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1.05 </w:t>
            </w: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31002</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办公设备购置</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425"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30108</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ind w:firstLine="150" w:firstLineChars="100"/>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5"/>
                <w:szCs w:val="15"/>
                <w:lang w:val="en-US" w:eastAsia="zh-CN"/>
              </w:rPr>
              <w:t>机关事业单位基本养老保险缴费</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419.17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30206</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电费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7.77 </w:t>
            </w: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31003</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专用设备购置</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30109</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ind w:firstLine="180" w:firstLineChars="100"/>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职业年金缴费</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141.78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30207</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邮电费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2.58 </w:t>
            </w: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31005</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基础设施建设</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425"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30110</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ind w:firstLine="150" w:firstLineChars="100"/>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5"/>
                <w:szCs w:val="15"/>
                <w:lang w:val="en-US" w:eastAsia="zh-CN"/>
              </w:rPr>
              <w:t>职工基本医疗保险缴费</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143.17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30208</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取暖费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12.25 </w:t>
            </w: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31006</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大型修缮</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425"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30111</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公务员医疗补助缴费</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30209</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物业管理费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31007</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信息网络及软件购置更新</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30112</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其他社会保障缴费</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30211</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差旅费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31008</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物资储备</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30113</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住房公积金</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209.71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30212</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因公出国（境）费用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31009</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土地补偿</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30114</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医疗费</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30213</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维修（护）费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31010</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安置补助</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425"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30199</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其他工资福利支出</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1.95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30214</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租赁费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31011</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w:t>
            </w:r>
            <w:r>
              <w:rPr>
                <w:rFonts w:hint="eastAsia" w:ascii="宋体" w:hAnsi="宋体" w:cs="宋体"/>
                <w:color w:val="000000"/>
                <w:kern w:val="0"/>
                <w:sz w:val="15"/>
                <w:szCs w:val="15"/>
                <w:lang w:val="en-US" w:eastAsia="zh-CN"/>
              </w:rPr>
              <w:t>地上附着物和青苗补偿</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303</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对个人和家庭的补助</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39.47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30215</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会议费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31012</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拆迁补偿</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30301</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离休费</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30216</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培训费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0.84 </w:t>
            </w: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31013</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公务用车购置</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30302</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退休费</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32.81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30217</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公务接待费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31019</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其他交通工具购置</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30303</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退职（役）费</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30218</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专用材料费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31021</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文物和陈列品购置</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30304</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抚恤金</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5.12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30224</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被装购置费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31022</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无形资产购置</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30305</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生活补助</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30225</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专用燃料费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31099</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其他资本性支出</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30306</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救济费</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30226</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劳务费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399</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其他支出</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30307</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医疗费补助</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30227</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委托业务费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39906</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赠与</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30308</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助学金</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30228</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工会经费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39907</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国家赔偿费用支出</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420"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30309</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奖励金</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1.54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30229</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福利费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39908</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w:t>
            </w:r>
            <w:r>
              <w:rPr>
                <w:rFonts w:hint="eastAsia" w:ascii="宋体" w:hAnsi="宋体" w:cs="宋体"/>
                <w:color w:val="000000"/>
                <w:kern w:val="0"/>
                <w:sz w:val="15"/>
                <w:szCs w:val="15"/>
                <w:lang w:val="en-US" w:eastAsia="zh-CN"/>
              </w:rPr>
              <w:t xml:space="preserve"> 对民间非营利组织和群众性自治组织补贴</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425"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30310</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个人农业生产补贴</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30231</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公务用车运行维护费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5.00 </w:t>
            </w: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39999</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其他支出</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425"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30399</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w:t>
            </w:r>
            <w:r>
              <w:rPr>
                <w:rFonts w:hint="eastAsia" w:ascii="宋体" w:hAnsi="宋体" w:cs="宋体"/>
                <w:color w:val="000000"/>
                <w:kern w:val="0"/>
                <w:sz w:val="15"/>
                <w:szCs w:val="15"/>
                <w:lang w:val="en-US" w:eastAsia="zh-CN"/>
              </w:rPr>
              <w:t>其他对个人和家庭的补助支出</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30239</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其他交通费用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3.72 </w:t>
            </w: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30240</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税金及附加费用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425"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30299</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w:t>
            </w:r>
            <w:r>
              <w:rPr>
                <w:rFonts w:hint="eastAsia" w:ascii="宋体" w:hAnsi="宋体" w:cs="宋体"/>
                <w:color w:val="000000"/>
                <w:kern w:val="0"/>
                <w:sz w:val="15"/>
                <w:szCs w:val="15"/>
                <w:lang w:val="en-US" w:eastAsia="zh-CN"/>
              </w:rPr>
              <w:t>其他商品和服务支出</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17" w:hRule="atLeast"/>
          <w:jc w:val="center"/>
        </w:trPr>
        <w:tc>
          <w:tcPr>
            <w:tcW w:w="2504"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734"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eastAsia="宋体" w:cs="宋体"/>
                <w:color w:val="000000"/>
                <w:kern w:val="0"/>
                <w:sz w:val="18"/>
                <w:szCs w:val="18"/>
                <w:lang w:val="en-US" w:eastAsia="zh-CN" w:bidi="ar-SA"/>
              </w:rPr>
            </w:pPr>
            <w:r>
              <w:rPr>
                <w:rFonts w:hint="default" w:ascii="宋体" w:hAnsi="宋体" w:eastAsia="宋体" w:cs="宋体"/>
                <w:color w:val="000000"/>
                <w:kern w:val="0"/>
                <w:sz w:val="18"/>
                <w:szCs w:val="18"/>
                <w:lang w:val="en-US" w:eastAsia="zh-CN" w:bidi="ar-SA"/>
              </w:rPr>
              <w:t xml:space="preserve">4415.24 </w:t>
            </w:r>
          </w:p>
        </w:tc>
        <w:tc>
          <w:tcPr>
            <w:tcW w:w="5675"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38.76</w:t>
            </w:r>
          </w:p>
        </w:tc>
      </w:tr>
      <w:tr>
        <w:tblPrEx>
          <w:tblCellMar>
            <w:top w:w="0" w:type="dxa"/>
            <w:left w:w="0" w:type="dxa"/>
            <w:bottom w:w="0" w:type="dxa"/>
            <w:right w:w="0" w:type="dxa"/>
          </w:tblCellMar>
        </w:tblPrEx>
        <w:trPr>
          <w:trHeight w:val="277" w:hRule="atLeast"/>
          <w:jc w:val="center"/>
        </w:trPr>
        <w:tc>
          <w:tcPr>
            <w:tcW w:w="9683"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1134" w:right="1134" w:bottom="1134" w:left="1134" w:header="851" w:footer="992" w:gutter="0"/>
          <w:cols w:space="0" w:num="1"/>
          <w:rtlGutter w:val="0"/>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mc:AlternateContent>
                <mc:Choice Requires="wpg">
                  <w:drawing>
                    <wp:anchor distT="0" distB="0" distL="114300" distR="114300" simplePos="0" relativeHeight="251679744"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50"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8" name="矩形 13"/>
                              <wps:cNvSpPr/>
                              <wps:spPr>
                                <a:xfrm>
                                  <a:off x="4551" y="52615"/>
                                  <a:ext cx="8546" cy="1175"/>
                                </a:xfrm>
                                <a:prstGeom prst="rect">
                                  <a:avLst/>
                                </a:prstGeom>
                                <a:solidFill>
                                  <a:srgbClr val="96DA9D"/>
                                </a:solidFill>
                                <a:ln w="25400">
                                  <a:noFill/>
                                </a:ln>
                              </wps:spPr>
                              <wps:bodyPr anchor="ctr" anchorCtr="0" upright="1"/>
                            </wps:wsp>
                            <wps:wsp>
                              <wps:cNvPr id="4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52" o:spid="_x0000_s1026" o:spt="203" style="position:absolute;left:0pt;margin-left:-82.75pt;margin-top:-81.1pt;height:41.2pt;width:243.2pt;mso-position-vertical-relative:page;z-index:251679744;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CebiNwAAAANAQAA&#10;DwAAAAAAAAABACAAAAAiAAAAZHJzL2Rvd25yZXYueG1sUEsBAhQAFAAAAAgAh07iQOkj29DAAgAA&#10;JgcAAA4AAAAAAAAAAQAgAAAAKw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BKnlSbgAAADb&#10;AAAADwAAAGRycy9kb3ducmV2LnhtbEVPTWsCMRC9C/6HMEJvOllppWyNHgqFnoRaPfQ2bMbN4may&#10;JHHd/vvmUPD4eN/b/eR7NXJMXRAD1UqDYmmC7aQ1cPr+WL6CSpnEUh+EDfxygv1uPttSbcNdvng8&#10;5laVEEk1GXA5DzViahx7SqswsBTuEqKnXGBs0Ua6l3Df41rrDXrqpDQ4GvjdcXM93rwBjBzRxekS&#10;f9J4w+qgzy/N1ZinRaXfQGWe8kP87/60Bp7L2P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KnlS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1WFJRr4AAADb&#10;AAAADwAAAGRycy9kb3ducmV2LnhtbEWP3WoCMRSE7wXfIZxC7zSrlEVXoxRBWgUp2i3i3WFz3Cxu&#10;TpZN/Gmf3hQEL4eZ+YaZzm+2FhdqfeVYwaCfgCAunK64VJB/L3sjED4ga6wdk4Jf8jCfdTtTzLS7&#10;8pYuu1CKCGGfoQITQpNJ6QtDFn3fNcTRO7rWYoiyLaVu8RrhtpbDJEmlxYrjgsGGFoaK0+5sFXzl&#10;5vCBa9rbzfr0k79XmP6tUqVeXwbJBESgW3iGH+1PreBtD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FJR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10095" w:type="dxa"/>
        <w:tblInd w:w="-561" w:type="dxa"/>
        <w:tblLayout w:type="fixed"/>
        <w:tblCellMar>
          <w:top w:w="0" w:type="dxa"/>
          <w:left w:w="0" w:type="dxa"/>
          <w:bottom w:w="0" w:type="dxa"/>
          <w:right w:w="0" w:type="dxa"/>
        </w:tblCellMar>
      </w:tblPr>
      <w:tblGrid>
        <w:gridCol w:w="270"/>
        <w:gridCol w:w="270"/>
        <w:gridCol w:w="270"/>
        <w:gridCol w:w="1386"/>
        <w:gridCol w:w="1464"/>
        <w:gridCol w:w="855"/>
        <w:gridCol w:w="930"/>
        <w:gridCol w:w="1050"/>
        <w:gridCol w:w="1035"/>
        <w:gridCol w:w="1005"/>
        <w:gridCol w:w="1560"/>
      </w:tblGrid>
      <w:tr>
        <w:tblPrEx>
          <w:tblCellMar>
            <w:top w:w="0" w:type="dxa"/>
            <w:left w:w="0" w:type="dxa"/>
            <w:bottom w:w="0" w:type="dxa"/>
            <w:right w:w="0" w:type="dxa"/>
          </w:tblCellMar>
        </w:tblPrEx>
        <w:trPr>
          <w:trHeight w:val="707" w:hRule="atLeast"/>
        </w:trPr>
        <w:tc>
          <w:tcPr>
            <w:tcW w:w="10095"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mc:AlternateContent>
                <mc:Choice Requires="wpg">
                  <w:drawing>
                    <wp:anchor distT="0" distB="0" distL="114300" distR="114300" simplePos="0" relativeHeight="251680768"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3"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1" name="矩形 13"/>
                              <wps:cNvSpPr/>
                              <wps:spPr>
                                <a:xfrm>
                                  <a:off x="4551" y="52615"/>
                                  <a:ext cx="8546" cy="1175"/>
                                </a:xfrm>
                                <a:prstGeom prst="rect">
                                  <a:avLst/>
                                </a:prstGeom>
                                <a:solidFill>
                                  <a:srgbClr val="96DA9D"/>
                                </a:solidFill>
                                <a:ln w="25400">
                                  <a:noFill/>
                                </a:ln>
                              </wps:spPr>
                              <wps:bodyPr anchor="ctr" anchorCtr="0" upright="1"/>
                            </wps:wsp>
                            <wps:wsp>
                              <wps:cNvPr id="5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55" o:spid="_x0000_s1026" o:spt="203" style="position:absolute;left:0pt;margin-left:-80.9pt;margin-top:-81.1pt;height:41.2pt;width:243.2pt;mso-position-vertical-relative:page;z-index:251680768;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ByaUsrcAAAADQEA&#10;AA8AAAAAAAAAAQAgAAAAIgAAAGRycy9kb3ducmV2LnhtbFBLAQIUABQAAAAIAIdO4kB/RpoJwQIA&#10;ACYHAAAOAAAAAAAAAAEAIAAAACs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EEraCboAAADb&#10;AAAADwAAAGRycy9kb3ducmV2LnhtbEWPQWsCMRSE70L/Q3iF3urLChZZjR4KhZ4KtfXg7bF5bhY3&#10;L0sS1/XfN0LB4zAz3zCb3eR7NXJMXRAD1VyDYmmC7aQ18Pvz8boClTKJpT4IG7hxgt32abah2oar&#10;fPO4z60qEEk1GXA5DzViahx7SvMwsBTvFKKnXGRs0Ua6FrjvcaH1G3rqpCw4GvjdcXPeX7wBjBzR&#10;xekUj2m8YPWlD8vmbMzLc6XXoDJP+RH+b39aA8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StoJ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XhxN6r0AAADb&#10;AAAADwAAAGRycy9kb3ducmV2LnhtbEWPQWsCMRSE74L/ITyhN80qdJHVKCKIrSBSu0W8PTbPzeLm&#10;Zdmkav31piB4HGbmG2Y6v9laXKj1lWMFw0ECgrhwuuJSQf696o9B+ICssXZMCv7Iw3zW7Uwx0+7K&#10;X3TZh1JECPsMFZgQmkxKXxiy6AeuIY7eybUWQ5RtKXWL1wi3tRwlSSotVhwXDDa0NFSc979WwS43&#10;xzVu6GC3m/NPvqgwvX+mSr31hskERKBbeIWf7Q+t4H0E/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E3q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7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7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7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38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319"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93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05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035"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005"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6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4515"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p>
        </w:tc>
        <w:tc>
          <w:tcPr>
            <w:tcW w:w="93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05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035"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565"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3660"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855"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93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090"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56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810"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850"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3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5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035"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005"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56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810"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2850"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5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3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5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35"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05"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56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810"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2850"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5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3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5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35"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05"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56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3660"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9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035"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3660"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合计</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1647.91 </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1647.91 </w:t>
            </w:r>
          </w:p>
        </w:tc>
        <w:tc>
          <w:tcPr>
            <w:tcW w:w="103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34.40 </w:t>
            </w:r>
          </w:p>
        </w:tc>
        <w:tc>
          <w:tcPr>
            <w:tcW w:w="1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1613.51 </w:t>
            </w: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24" w:hRule="atLeast"/>
        </w:trPr>
        <w:tc>
          <w:tcPr>
            <w:tcW w:w="81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w:t>
            </w:r>
          </w:p>
        </w:tc>
        <w:tc>
          <w:tcPr>
            <w:tcW w:w="28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城乡社区支出</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1647.91 </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1647.91 </w:t>
            </w:r>
          </w:p>
        </w:tc>
        <w:tc>
          <w:tcPr>
            <w:tcW w:w="103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34.40 </w:t>
            </w:r>
          </w:p>
        </w:tc>
        <w:tc>
          <w:tcPr>
            <w:tcW w:w="1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1613.51 </w:t>
            </w: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24" w:hRule="atLeast"/>
        </w:trPr>
        <w:tc>
          <w:tcPr>
            <w:tcW w:w="81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21208</w:t>
            </w:r>
          </w:p>
        </w:tc>
        <w:tc>
          <w:tcPr>
            <w:tcW w:w="28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国有土地使用权出让收入及对应专项债务收入安排的支出</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1287.59 </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1287.59 </w:t>
            </w:r>
          </w:p>
        </w:tc>
        <w:tc>
          <w:tcPr>
            <w:tcW w:w="103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1287.59 </w:t>
            </w: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24" w:hRule="atLeast"/>
        </w:trPr>
        <w:tc>
          <w:tcPr>
            <w:tcW w:w="81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2120803</w:t>
            </w:r>
          </w:p>
        </w:tc>
        <w:tc>
          <w:tcPr>
            <w:tcW w:w="28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城市建设支出</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1287.59 </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1287.59 </w:t>
            </w:r>
          </w:p>
        </w:tc>
        <w:tc>
          <w:tcPr>
            <w:tcW w:w="103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1287.59 </w:t>
            </w: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24" w:hRule="atLeast"/>
        </w:trPr>
        <w:tc>
          <w:tcPr>
            <w:tcW w:w="81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21213</w:t>
            </w:r>
          </w:p>
        </w:tc>
        <w:tc>
          <w:tcPr>
            <w:tcW w:w="28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城市基础设施配套费及对应专项债务收入安排的支出</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14.00 </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14.00 </w:t>
            </w:r>
          </w:p>
        </w:tc>
        <w:tc>
          <w:tcPr>
            <w:tcW w:w="103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14.00 </w:t>
            </w: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24" w:hRule="atLeast"/>
        </w:trPr>
        <w:tc>
          <w:tcPr>
            <w:tcW w:w="81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2121301</w:t>
            </w:r>
          </w:p>
        </w:tc>
        <w:tc>
          <w:tcPr>
            <w:tcW w:w="28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城市公共设施</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14.00 </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14.00 </w:t>
            </w:r>
          </w:p>
        </w:tc>
        <w:tc>
          <w:tcPr>
            <w:tcW w:w="103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14.00 </w:t>
            </w: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24" w:hRule="atLeast"/>
        </w:trPr>
        <w:tc>
          <w:tcPr>
            <w:tcW w:w="81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21214</w:t>
            </w:r>
          </w:p>
        </w:tc>
        <w:tc>
          <w:tcPr>
            <w:tcW w:w="28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污水处理费及对应专项债务收入安排的支出</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346.33 </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346.33 </w:t>
            </w:r>
          </w:p>
        </w:tc>
        <w:tc>
          <w:tcPr>
            <w:tcW w:w="103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34.40 </w:t>
            </w:r>
          </w:p>
        </w:tc>
        <w:tc>
          <w:tcPr>
            <w:tcW w:w="1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311.93 </w:t>
            </w: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24" w:hRule="atLeast"/>
        </w:trPr>
        <w:tc>
          <w:tcPr>
            <w:tcW w:w="81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2121401</w:t>
            </w:r>
          </w:p>
        </w:tc>
        <w:tc>
          <w:tcPr>
            <w:tcW w:w="28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污水处理设施建设和运营</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311.93 </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311.93 </w:t>
            </w:r>
          </w:p>
        </w:tc>
        <w:tc>
          <w:tcPr>
            <w:tcW w:w="103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311.93 </w:t>
            </w: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24" w:hRule="atLeast"/>
        </w:trPr>
        <w:tc>
          <w:tcPr>
            <w:tcW w:w="81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2121402</w:t>
            </w:r>
          </w:p>
        </w:tc>
        <w:tc>
          <w:tcPr>
            <w:tcW w:w="28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代征手续费</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34.40 </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34.40 </w:t>
            </w:r>
          </w:p>
        </w:tc>
        <w:tc>
          <w:tcPr>
            <w:tcW w:w="103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34.40 </w:t>
            </w:r>
          </w:p>
        </w:tc>
        <w:tc>
          <w:tcPr>
            <w:tcW w:w="1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24" w:hRule="atLeast"/>
        </w:trPr>
        <w:tc>
          <w:tcPr>
            <w:tcW w:w="10095"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mc:AlternateContent>
                <mc:Choice Requires="wpg">
                  <w:drawing>
                    <wp:anchor distT="0" distB="0" distL="114300" distR="114300" simplePos="0" relativeHeight="25168179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6"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4" name="矩形 13"/>
                              <wps:cNvSpPr/>
                              <wps:spPr>
                                <a:xfrm>
                                  <a:off x="4551" y="52615"/>
                                  <a:ext cx="8546" cy="1175"/>
                                </a:xfrm>
                                <a:prstGeom prst="rect">
                                  <a:avLst/>
                                </a:prstGeom>
                                <a:solidFill>
                                  <a:srgbClr val="96DA9D"/>
                                </a:solidFill>
                                <a:ln w="25400">
                                  <a:noFill/>
                                </a:ln>
                              </wps:spPr>
                              <wps:bodyPr anchor="ctr" anchorCtr="0" upright="1"/>
                            </wps:wsp>
                            <wps:wsp>
                              <wps:cNvPr id="5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58" o:spid="_x0000_s1026" o:spt="203" style="position:absolute;left:0pt;margin-left:-80.9pt;margin-top:-81.1pt;height:41.2pt;width:243.2pt;mso-position-vertical-relative:page;z-index:25168179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ByaUsrcAAAADQEA&#10;AA8AAAAAAAAAAQAgAAAAIgAAAGRycy9kb3ducmV2LnhtbFBLAQIUABQAAAAIAIdO4kCbM7tuwQIA&#10;ACYHAAAOAAAAAAAAAAEAIAAAACs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AD15kbsAAADb&#10;AAAADwAAAGRycy9kb3ducmV2LnhtbEWPQWsCMRSE74L/ITyhN33ZUousRg9CoadCbXvw9tg8N4ub&#10;lyWJ6/bfN4VCj8PMfMPsDpPv1cgxdUEMVCsNiqUJtpPWwOfHy3IDKmUSS30QNvDNCQ77+WxHtQ13&#10;eefxlFtVIJJqMuByHmrE1Dj2lFZhYCneJURPucjYoo10L3Df46PWz+ipk7LgaOCj4+Z6unkDGDmi&#10;i9MlntN4w+pNf62bqzEPi0pvQWWe8n/4r/1qDayf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15k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0fXVnr0AAADb&#10;AAAADwAAAGRycy9kb3ducmV2LnhtbEWP3WoCMRSE74W+QzgF7zSr4CJbo5RCqQoi1ZXi3WFz3Cxu&#10;TpZN/H16UxC8HGbmG2Yyu9panKn1lWMFg34CgrhwuuJSQb797o1B+ICssXZMCm7kYTZ960ww0+7C&#10;v3TehFJECPsMFZgQmkxKXxiy6PuuIY7ewbUWQ5RtKXWLlwi3tRwmSSotVhwXDDb0Zag4bk5WwTo3&#10;+x9c0p9dLY+7/LPC9L5Ileq+D5IPEIGu4RV+tudawWgE/1/iD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9dWe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注：本</w:t>
            </w:r>
            <w:r>
              <w:rPr>
                <w:rFonts w:hint="eastAsia" w:ascii="宋体" w:hAnsi="宋体" w:cs="宋体"/>
                <w:color w:val="000000"/>
                <w:kern w:val="0"/>
                <w:sz w:val="22"/>
                <w:szCs w:val="22"/>
                <w:lang w:val="en-US" w:eastAsia="zh-CN"/>
              </w:rPr>
              <w:t>单位</w:t>
            </w:r>
            <w:r>
              <w:rPr>
                <w:rFonts w:hint="eastAsia" w:ascii="宋体" w:hAnsi="宋体" w:cs="宋体"/>
                <w:color w:val="000000"/>
                <w:kern w:val="0"/>
                <w:sz w:val="22"/>
                <w:szCs w:val="22"/>
              </w:rPr>
              <w:t>本年度</w:t>
            </w:r>
            <w:r>
              <w:rPr>
                <w:rFonts w:hint="eastAsia" w:ascii="宋体" w:hAnsi="宋体" w:cs="宋体"/>
                <w:color w:val="000000"/>
                <w:kern w:val="0"/>
                <w:sz w:val="22"/>
                <w:szCs w:val="22"/>
                <w:lang w:val="en-US" w:eastAsia="zh-CN"/>
              </w:rPr>
              <w:t>无</w:t>
            </w:r>
            <w:r>
              <w:rPr>
                <w:rFonts w:hint="eastAsia" w:ascii="宋体" w:hAnsi="宋体" w:cs="宋体"/>
                <w:color w:val="000000"/>
                <w:kern w:val="0"/>
                <w:sz w:val="22"/>
                <w:szCs w:val="22"/>
              </w:rPr>
              <w:t>国有资本经营预算财政拨款支出情况。</w:t>
            </w:r>
          </w:p>
          <w:p>
            <w:pPr>
              <w:widowControl/>
              <w:spacing w:after="0" w:line="240" w:lineRule="auto"/>
              <w:jc w:val="left"/>
              <w:textAlignment w:val="center"/>
              <w:rPr>
                <w:rFonts w:hint="eastAsia" w:ascii="宋体" w:hAnsi="宋体" w:cs="宋体"/>
                <w:color w:val="000000"/>
                <w:kern w:val="0"/>
                <w:sz w:val="22"/>
                <w:szCs w:val="22"/>
              </w:rPr>
            </w:pPr>
          </w:p>
        </w:tc>
      </w:tr>
    </w:tbl>
    <w:p>
      <w:pPr>
        <w:widowControl/>
        <w:spacing w:after="0" w:line="240" w:lineRule="auto"/>
        <w:jc w:val="left"/>
        <w:textAlignment w:val="center"/>
        <w:rPr>
          <w:rFonts w:hint="eastAsia" w:ascii="仿宋_GB2312" w:hAnsi="仿宋_GB2312" w:eastAsia="仿宋_GB2312" w:cs="仿宋_GB2312"/>
          <w:color w:val="000000"/>
          <w:kern w:val="0"/>
          <w:sz w:val="32"/>
          <w:szCs w:val="32"/>
          <w:lang w:val="en-US" w:eastAsia="zh-CN"/>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mc:AlternateContent>
                <mc:Choice Requires="wpg">
                  <w:drawing>
                    <wp:anchor distT="0" distB="0" distL="114300" distR="114300" simplePos="0" relativeHeight="25168281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9"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7" name="矩形 13"/>
                              <wps:cNvSpPr/>
                              <wps:spPr>
                                <a:xfrm>
                                  <a:off x="4551" y="52615"/>
                                  <a:ext cx="8546" cy="1175"/>
                                </a:xfrm>
                                <a:prstGeom prst="rect">
                                  <a:avLst/>
                                </a:prstGeom>
                                <a:solidFill>
                                  <a:srgbClr val="96DA9D"/>
                                </a:solidFill>
                                <a:ln w="25400">
                                  <a:noFill/>
                                </a:ln>
                              </wps:spPr>
                              <wps:bodyPr anchor="ctr" anchorCtr="0" upright="1"/>
                            </wps:wsp>
                            <wps:wsp>
                              <wps:cNvPr id="5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61" o:spid="_x0000_s1026" o:spt="203" style="position:absolute;left:0pt;margin-left:-80.9pt;margin-top:-81.1pt;height:41.2pt;width:243.2pt;mso-position-vertical-relative:page;z-index:25168281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HJpSytwAAAAN&#10;AQAADwAAAAAAAAABACAAAAAiAAAAZHJzL2Rvd25yZXYueG1sUEsBAhQAFAAAAAgAh07iQP2QwFHD&#10;AgAAJgcAAA4AAAAAAAAAAQAgAAAAKwEAAGRycy9lMm9Eb2MueG1sUEsFBgAAAAAGAAYAWQEAAGAG&#10;AAAAAA==&#10;">
                      <o:lock v:ext="edit" aspectratio="f"/>
                      <v:rect id="矩形 13" o:spid="_x0000_s1026" o:spt="1" style="position:absolute;left:4551;top:52615;height:1175;width:8546;v-text-anchor:middle;" fillcolor="#96DA9D" filled="t" stroked="f" coordsize="21600,21600" o:gfxdata="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O/n5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R6ALoAAADb&#10;AAAADwAAAGRycy9kb3ducmV2LnhtbEVPy4rCMBTdC/MP4Q6401TBItUow4DoCDKoFXF3aa5Nsbkp&#10;TcbX15vFgMvDeU/nd1uLK7W+cqxg0E9AEBdOV1wqyPeL3hiED8gaa8ek4EEe5rOPzhQz7W68pesu&#10;lCKGsM9QgQmhyaT0hSGLvu8a4sidXWsxRNiWUrd4i+G2lsMkSaXFimODwYa+DRWX3Z9V8Jub0xLX&#10;dLSb9eWQf1WYPn9Spbqfg2QCItA9vMX/7pVWMIpj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HoA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183.34</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183.34</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183.34</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183.34</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183.34</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183.34</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183.20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183.20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183.20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183.20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183.20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183.20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注：本表反映部门本年度纳入部门预算范围的政府采购预算及支出情况。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0"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9"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wps:txbx>
                      <wps:bodyPr upright="1"/>
                    </wps:wsp>
                  </a:graphicData>
                </a:graphic>
              </wp:anchor>
            </w:drawing>
          </mc:Choice>
          <mc:Fallback>
            <w:pict>
              <v:shape id="文本框 5"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A4sT/xtwEAAFgDAAAOAAAAAAAAAAEAIAAAAC0BAABkcnMvZTJvRG9jLnht&#10;bFBLBQYAAAAABgAGAFkBAABW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mc:AlternateContent>
          <mc:Choice Requires="wpg">
            <w:drawing>
              <wp:anchor distT="0" distB="0" distL="114300" distR="114300" simplePos="0" relativeHeight="251691008"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92"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0" name="矩形 13"/>
                        <wps:cNvSpPr/>
                        <wps:spPr>
                          <a:xfrm>
                            <a:off x="4551" y="52615"/>
                            <a:ext cx="8546" cy="1175"/>
                          </a:xfrm>
                          <a:prstGeom prst="rect">
                            <a:avLst/>
                          </a:prstGeom>
                          <a:solidFill>
                            <a:srgbClr val="96DA9D"/>
                          </a:solidFill>
                          <a:ln w="25400">
                            <a:noFill/>
                          </a:ln>
                        </wps:spPr>
                        <wps:bodyPr anchor="ctr" anchorCtr="0" upright="1"/>
                      </wps:wsp>
                      <wps:wsp>
                        <wps:cNvPr id="9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18" o:spid="_x0000_s1026" o:spt="203" style="position:absolute;left:0pt;margin-left:-79.5pt;margin-top:29.3pt;height:43.95pt;width:301.85pt;mso-position-vertical-relative:page;z-index:251691008;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8VeorbAAAACwEA&#10;AA8AAAAAAAAAAQAgAAAAIgAAAGRycy9kb3ducmV2LnhtbFBLAQIUABQAAAAIAIdO4kDJ3B51wgIA&#10;ACYHAAAOAAAAAAAAAAEAIAAAACo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hL/FCLgAAADb&#10;AAAADwAAAGRycy9kb3ducmV2LnhtbEVPTWsCMRC9C/6HMEJvOlmhxW6NHgqFnoRaPfQ2bMbN4may&#10;JHHd/vvmUPD4eN/b/eR7NXJMXRAD1UqDYmmC7aQ1cPr+WG5ApUxiqQ/CBn45wX43n22ptuEuXzwe&#10;c6tKiKSaDLichxoxNY49pVUYWAp3CdFTLjC2aCPdS7jvca31C3rqpDQ4GvjdcXM93rwBjBzRxekS&#10;f9J4w+qgz8/N1ZinRaXfQGWe8kP87/60Bl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L/FCL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VXdpB74AAADb&#10;AAAADwAAAGRycy9kb3ducmV2LnhtbEWPQWvCQBSE7wX/w/IEb3UTD6FGVxFBrEIp1Yh4e2Sf2WD2&#10;bchu1fbXdwuCx2FmvmGm87ttxJU6XztWkA4TEMSl0zVXCor96vUNhA/IGhvHpOCHPMxnvZcp5trd&#10;+Iuuu1CJCGGfowITQptL6UtDFv3QtcTRO7vOYoiyq6Tu8BbhtpGjJMmkxZrjgsGWlobKy+7bKvgs&#10;zGmNWzraj+3lUCxqzH43mVKDfppMQAS6h2f40X7XCsYp/H+JP0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dpB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黑体" w:hAnsi="Cambria" w:eastAsia="黑体" w:cs="黑体"/>
          <w:b w:val="0"/>
          <w:bCs w:val="0"/>
          <w:kern w:val="0"/>
        </w:rPr>
        <w:t>出</w:t>
      </w:r>
      <w:r>
        <w:rPr>
          <w:rFonts w:hint="eastAsia" w:ascii="黑体" w:eastAsia="黑体"/>
          <w:b w:val="0"/>
          <w:bCs w:val="0"/>
        </w:rPr>
        <w:t>决算总体情况说明</w:t>
      </w:r>
    </w:p>
    <w:p>
      <w:pPr>
        <w:ind w:firstLine="576"/>
        <w:rPr>
          <w:rFonts w:hint="eastAsia" w:ascii="仿宋_GB2312" w:eastAsia="仿宋_GB2312" w:cs="DengXian-Regular"/>
          <w:sz w:val="32"/>
          <w:szCs w:val="32"/>
          <w:lang w:val="en-US" w:eastAsia="zh-CN"/>
        </w:rPr>
      </w:pP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部门</w:t>
      </w:r>
      <w:r>
        <w:rPr>
          <w:rFonts w:ascii="仿宋_GB2312" w:eastAsia="仿宋_GB2312" w:cs="DengXian-Regular"/>
          <w:sz w:val="32"/>
          <w:szCs w:val="32"/>
        </w:rPr>
        <w:t>2018</w:t>
      </w:r>
      <w:r>
        <w:rPr>
          <w:rFonts w:hint="eastAsia" w:ascii="仿宋_GB2312" w:eastAsia="仿宋_GB2312" w:cs="DengXian-Regular"/>
          <w:sz w:val="32"/>
          <w:szCs w:val="32"/>
        </w:rPr>
        <w:t>年度收入总计</w:t>
      </w:r>
      <w:r>
        <w:rPr>
          <w:rFonts w:hint="eastAsia" w:ascii="仿宋_GB2312" w:eastAsia="仿宋_GB2312" w:cs="DengXian-Regular"/>
          <w:sz w:val="32"/>
          <w:szCs w:val="32"/>
          <w:lang w:val="en-US" w:eastAsia="zh-CN"/>
        </w:rPr>
        <w:t>12568.7</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年度决算相比，收入各增加</w:t>
      </w:r>
      <w:r>
        <w:rPr>
          <w:rFonts w:hint="eastAsia" w:ascii="仿宋_GB2312" w:eastAsia="仿宋_GB2312" w:cs="DengXian-Regular"/>
          <w:sz w:val="32"/>
          <w:szCs w:val="32"/>
          <w:lang w:val="en-US" w:eastAsia="zh-CN"/>
        </w:rPr>
        <w:t>8683.24</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223.48</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1、新增保定市满城区市政维护管理处和保定市满城区市场建设服务中心两个下属单位，新增两个单位人员</w:t>
      </w:r>
      <w:r>
        <w:rPr>
          <w:rFonts w:hint="eastAsia" w:ascii="仿宋_GB2312" w:eastAsia="仿宋_GB2312" w:cs="DengXian-Regular"/>
          <w:sz w:val="32"/>
          <w:szCs w:val="32"/>
        </w:rPr>
        <w:t>工资及保险</w:t>
      </w:r>
      <w:r>
        <w:rPr>
          <w:rFonts w:hint="eastAsia" w:ascii="仿宋_GB2312" w:eastAsia="仿宋_GB2312" w:cs="DengXian-Regular"/>
          <w:sz w:val="32"/>
          <w:szCs w:val="32"/>
          <w:lang w:eastAsia="zh-CN"/>
        </w:rPr>
        <w:t>，</w:t>
      </w:r>
      <w:r>
        <w:rPr>
          <w:rFonts w:hint="eastAsia" w:ascii="仿宋_GB2312" w:eastAsia="仿宋_GB2312" w:cs="DengXian-Regular"/>
          <w:sz w:val="32"/>
          <w:szCs w:val="32"/>
        </w:rPr>
        <w:t>工资及保险上涨和补发以前年度工资。</w:t>
      </w:r>
      <w:r>
        <w:rPr>
          <w:rFonts w:hint="eastAsia" w:ascii="仿宋_GB2312" w:eastAsia="仿宋_GB2312" w:cs="DengXian-Regular"/>
          <w:sz w:val="32"/>
          <w:szCs w:val="32"/>
          <w:lang w:val="en-US" w:eastAsia="zh-CN"/>
        </w:rPr>
        <w:t>2、新增城区及城乡清扫保洁费、污水处理运转经费、市政路灯电费、绿化养护等专项经费。</w:t>
      </w:r>
    </w:p>
    <w:p>
      <w:pPr>
        <w:ind w:firstLine="576"/>
        <w:rPr>
          <w:rFonts w:hint="eastAsia" w:ascii="仿宋_GB2312" w:eastAsia="仿宋_GB2312" w:cs="DengXian-Regular"/>
          <w:sz w:val="32"/>
          <w:szCs w:val="32"/>
          <w:lang w:val="en-US" w:eastAsia="zh-CN"/>
        </w:rPr>
      </w:pP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部门</w:t>
      </w:r>
      <w:r>
        <w:rPr>
          <w:rFonts w:ascii="仿宋_GB2312" w:eastAsia="仿宋_GB2312" w:cs="DengXian-Regular"/>
          <w:sz w:val="32"/>
          <w:szCs w:val="32"/>
        </w:rPr>
        <w:t>2018</w:t>
      </w:r>
      <w:r>
        <w:rPr>
          <w:rFonts w:hint="eastAsia" w:ascii="仿宋_GB2312" w:eastAsia="仿宋_GB2312" w:cs="DengXian-Regular"/>
          <w:sz w:val="32"/>
          <w:szCs w:val="32"/>
        </w:rPr>
        <w:t>年度支出总计</w:t>
      </w:r>
      <w:r>
        <w:rPr>
          <w:rFonts w:hint="eastAsia" w:ascii="仿宋_GB2312" w:eastAsia="仿宋_GB2312" w:cs="DengXian-Regular"/>
          <w:sz w:val="32"/>
          <w:szCs w:val="32"/>
          <w:lang w:val="en-US" w:eastAsia="zh-CN"/>
        </w:rPr>
        <w:t>12568.7</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年度决算相比，支出各增加</w:t>
      </w:r>
      <w:r>
        <w:rPr>
          <w:rFonts w:hint="eastAsia" w:ascii="仿宋_GB2312" w:eastAsia="仿宋_GB2312" w:cs="DengXian-Regular"/>
          <w:sz w:val="32"/>
          <w:szCs w:val="32"/>
          <w:lang w:val="en-US" w:eastAsia="zh-CN"/>
        </w:rPr>
        <w:t>8683.24</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223.48</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1、新增保定市满城区市政维护管理处和保定市满城区市场建设服务中心两个下属单位，新增两个单位人员</w:t>
      </w:r>
      <w:r>
        <w:rPr>
          <w:rFonts w:hint="eastAsia" w:ascii="仿宋_GB2312" w:eastAsia="仿宋_GB2312" w:cs="DengXian-Regular"/>
          <w:sz w:val="32"/>
          <w:szCs w:val="32"/>
        </w:rPr>
        <w:t>工资及保险</w:t>
      </w:r>
      <w:r>
        <w:rPr>
          <w:rFonts w:hint="eastAsia" w:ascii="仿宋_GB2312" w:eastAsia="仿宋_GB2312" w:cs="DengXian-Regular"/>
          <w:sz w:val="32"/>
          <w:szCs w:val="32"/>
          <w:lang w:eastAsia="zh-CN"/>
        </w:rPr>
        <w:t>，</w:t>
      </w:r>
      <w:r>
        <w:rPr>
          <w:rFonts w:hint="eastAsia" w:ascii="仿宋_GB2312" w:eastAsia="仿宋_GB2312" w:cs="DengXian-Regular"/>
          <w:sz w:val="32"/>
          <w:szCs w:val="32"/>
        </w:rPr>
        <w:t>工资及保险上涨和补发以前年度工资。</w:t>
      </w:r>
      <w:r>
        <w:rPr>
          <w:rFonts w:hint="eastAsia" w:ascii="仿宋_GB2312" w:eastAsia="仿宋_GB2312" w:cs="DengXian-Regular"/>
          <w:sz w:val="32"/>
          <w:szCs w:val="32"/>
          <w:lang w:val="en-US" w:eastAsia="zh-CN"/>
        </w:rPr>
        <w:t>2、新增城区及城乡清扫保洁费、污水处理运转经费、市政路灯电费、绿化养护等专项经费。</w:t>
      </w:r>
    </w:p>
    <w:p>
      <w:pPr>
        <w:numPr>
          <w:ilvl w:val="0"/>
          <w:numId w:val="1"/>
        </w:numPr>
        <w:ind w:firstLine="576"/>
        <w:rPr>
          <w:rFonts w:hint="eastAsia" w:ascii="黑体" w:hAnsi="Calibri" w:eastAsia="黑体" w:cs="Times New Roman"/>
          <w:b w:val="0"/>
          <w:bCs w:val="0"/>
          <w:kern w:val="2"/>
          <w:sz w:val="32"/>
          <w:szCs w:val="32"/>
          <w:lang w:val="en-US" w:eastAsia="zh-CN" w:bidi="ar-SA"/>
        </w:rPr>
      </w:pPr>
      <w:r>
        <w:rPr>
          <w:rFonts w:hint="eastAsia" w:ascii="黑体" w:hAnsi="Calibri" w:eastAsia="黑体" w:cs="Times New Roman"/>
          <w:b w:val="0"/>
          <w:bCs w:val="0"/>
          <w:kern w:val="2"/>
          <w:sz w:val="32"/>
          <w:szCs w:val="32"/>
          <w:lang w:val="en-US" w:eastAsia="zh-CN" w:bidi="ar-SA"/>
        </w:rPr>
        <w:t>收入决算情况说明</w:t>
      </w:r>
    </w:p>
    <w:p>
      <w:pPr>
        <w:numPr>
          <w:ilvl w:val="0"/>
          <w:numId w:val="0"/>
        </w:numPr>
        <w:ind w:firstLine="640" w:firstLineChars="200"/>
        <w:rPr>
          <w:rFonts w:ascii="黑体" w:eastAsia="黑体"/>
          <w:b w:val="0"/>
          <w:bCs w:val="0"/>
        </w:rPr>
      </w:pP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部门</w:t>
      </w:r>
      <w:r>
        <w:rPr>
          <w:rFonts w:ascii="仿宋_GB2312" w:eastAsia="仿宋_GB2312" w:cs="DengXian-Regular"/>
          <w:sz w:val="32"/>
          <w:szCs w:val="32"/>
        </w:rPr>
        <w:t>2018</w:t>
      </w:r>
      <w:r>
        <w:rPr>
          <w:rFonts w:hint="eastAsia" w:ascii="仿宋_GB2312" w:eastAsia="仿宋_GB2312" w:cs="DengXian-Regular"/>
          <w:sz w:val="32"/>
          <w:szCs w:val="32"/>
        </w:rPr>
        <w:t>年度本年收入合计</w:t>
      </w:r>
      <w:r>
        <w:rPr>
          <w:rFonts w:hint="eastAsia" w:ascii="仿宋_GB2312" w:eastAsia="仿宋_GB2312" w:cs="DengXian-Regular"/>
          <w:sz w:val="32"/>
          <w:szCs w:val="32"/>
          <w:lang w:val="en-US" w:eastAsia="zh-CN"/>
        </w:rPr>
        <w:t>12568.7</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均为</w:t>
      </w:r>
      <w:r>
        <w:rPr>
          <w:rFonts w:hint="eastAsia" w:ascii="仿宋_GB2312" w:eastAsia="仿宋_GB2312" w:cs="DengXian-Regular"/>
          <w:sz w:val="32"/>
          <w:szCs w:val="32"/>
        </w:rPr>
        <w:t>财政拨款收入。</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pP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部门</w:t>
      </w:r>
      <w:r>
        <w:rPr>
          <w:rFonts w:ascii="仿宋_GB2312" w:eastAsia="仿宋_GB2312" w:cs="DengXian-Regular"/>
          <w:sz w:val="32"/>
          <w:szCs w:val="32"/>
        </w:rPr>
        <w:t>2018</w:t>
      </w:r>
      <w:r>
        <w:rPr>
          <w:rFonts w:hint="eastAsia" w:ascii="仿宋_GB2312" w:eastAsia="仿宋_GB2312" w:cs="DengXian-Regular"/>
          <w:sz w:val="32"/>
          <w:szCs w:val="32"/>
        </w:rPr>
        <w:t>年度本年支出合计</w:t>
      </w:r>
      <w:r>
        <w:rPr>
          <w:rFonts w:hint="eastAsia" w:ascii="仿宋_GB2312" w:eastAsia="仿宋_GB2312" w:cs="DengXian-Regular"/>
          <w:sz w:val="32"/>
          <w:szCs w:val="32"/>
          <w:lang w:val="en-US" w:eastAsia="zh-CN"/>
        </w:rPr>
        <w:t>12568.7</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4488.41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36</w:t>
      </w:r>
      <w:r>
        <w:rPr>
          <w:rFonts w:ascii="仿宋_GB2312" w:eastAsia="仿宋_GB2312" w:cs="DengXian-Regular"/>
          <w:sz w:val="32"/>
          <w:szCs w:val="32"/>
        </w:rPr>
        <w:t>%</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8080.29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64</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无</w:t>
      </w:r>
      <w:r>
        <w:rPr>
          <w:rFonts w:hint="eastAsia" w:ascii="仿宋_GB2312" w:eastAsia="仿宋_GB2312" w:cs="DengXian-Regular"/>
          <w:sz w:val="32"/>
          <w:szCs w:val="32"/>
        </w:rPr>
        <w:t>经营支出。</w:t>
      </w:r>
      <w:r>
        <mc:AlternateContent>
          <mc:Choice Requires="wpg">
            <w:drawing>
              <wp:anchor distT="0" distB="0" distL="114300" distR="114300" simplePos="0" relativeHeight="251683840"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62"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0" name="矩形 13"/>
                        <wps:cNvSpPr/>
                        <wps:spPr>
                          <a:xfrm>
                            <a:off x="4551" y="52615"/>
                            <a:ext cx="8546" cy="1175"/>
                          </a:xfrm>
                          <a:prstGeom prst="rect">
                            <a:avLst/>
                          </a:prstGeom>
                          <a:solidFill>
                            <a:srgbClr val="96DA9D"/>
                          </a:solidFill>
                          <a:ln w="25400">
                            <a:noFill/>
                          </a:ln>
                        </wps:spPr>
                        <wps:bodyPr anchor="ctr" anchorCtr="0" upright="1"/>
                      </wps:wsp>
                      <wps:wsp>
                        <wps:cNvPr id="6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70" o:spid="_x0000_s1026" o:spt="203" style="position:absolute;left:0pt;margin-left:-79.5pt;margin-top:29.3pt;height:43.95pt;width:301.85pt;mso-position-vertical-relative:page;z-index:251683840;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8VeorbAAAACwEA&#10;AA8AAAAAAAAAAQAgAAAAIgAAAGRycy9kb3ducmV2LnhtbFBLAQIUABQAAAAIAIdO4kBZfHlAwgIA&#10;ACYHAAAOAAAAAAAAAAEAIAAAACo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sWq1L7gAAADb&#10;AAAADwAAAGRycy9kb3ducmV2LnhtbEVPPWvDMBDdC/0P4gLdmpMLDcWN7KEQ6FRI0g7dDutimVgn&#10;IymO8++jodDx8b637eJHNXNMQxAD1VqDYumCHaQ38H3cPb+BSpnE0hiEDdw4Qds8PmyptuEqe54P&#10;uVclRFJNBlzOU42YOsee0jpMLIU7hegpFxh7tJGuJdyP+KL1Bj0NUhocTfzhuDsfLt4ARo7o4nKK&#10;v2m+YPWlf167szFPq0q/g8q85H/xn/vTGtiU9eVL+QHY3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Wq1L7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KIZIL0AAADb&#10;AAAADwAAAGRycy9kb3ducmV2LnhtbEWPT4vCMBTE78J+h/AWvGlaD0WqUWRh2VWQRa0se3s0z6bY&#10;vJQm/ttPbwTB4zAzv2Gm86ttxJk6XztWkA4TEMSl0zVXCord52AMwgdkjY1jUnAjD/PZW2+KuXYX&#10;3tB5GyoRIexzVGBCaHMpfWnIoh+6ljh6B9dZDFF2ldQdXiLcNnKUJJm0WHNcMNjSh6HyuD1ZBT+F&#10;+fvCFf3a9eq4LxY1Zv/LTKn+e5pMQAS6hlf42f7WCrIUHl/iD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hkg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p>
    <w:p>
      <w:pPr>
        <w:adjustRightInd w:val="0"/>
        <w:snapToGrid w:val="0"/>
        <w:spacing w:after="0" w:line="580" w:lineRule="exact"/>
        <w:ind w:firstLine="420" w:firstLineChars="200"/>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hint="eastAsia" w:ascii="仿宋_GB2312" w:eastAsia="仿宋_GB2312" w:cs="DengXian-Regular"/>
          <w:sz w:val="32"/>
          <w:szCs w:val="32"/>
          <w:lang w:val="en-US" w:eastAsia="zh-CN"/>
        </w:rPr>
      </w:pP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部门</w:t>
      </w:r>
      <w:r>
        <w:rPr>
          <w:rFonts w:ascii="仿宋_GB2312" w:eastAsia="仿宋_GB2312" w:cs="DengXian-Regular"/>
          <w:sz w:val="32"/>
          <w:szCs w:val="32"/>
        </w:rPr>
        <w:t>2018</w:t>
      </w:r>
      <w:r>
        <w:rPr>
          <w:rFonts w:hint="eastAsia" w:ascii="仿宋_GB2312" w:eastAsia="仿宋_GB2312" w:cs="DengXian-Regular"/>
          <w:sz w:val="32"/>
          <w:szCs w:val="32"/>
        </w:rPr>
        <w:t>年度财政拨款本年收入</w:t>
      </w:r>
      <w:r>
        <w:rPr>
          <w:rFonts w:hint="eastAsia" w:ascii="仿宋_GB2312" w:eastAsia="仿宋_GB2312" w:cs="DengXian-Regular"/>
          <w:sz w:val="32"/>
          <w:szCs w:val="32"/>
          <w:lang w:val="en-US" w:eastAsia="zh-CN"/>
        </w:rPr>
        <w:t>12568.7</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hint="eastAsia" w:ascii="仿宋_GB2312" w:eastAsia="仿宋_GB2312" w:cs="DengXian-Regular"/>
          <w:sz w:val="32"/>
          <w:szCs w:val="32"/>
          <w:lang w:val="en-US" w:eastAsia="zh-CN"/>
        </w:rPr>
        <w:t>上</w:t>
      </w:r>
      <w:r>
        <w:rPr>
          <w:rFonts w:hint="eastAsia" w:ascii="仿宋_GB2312" w:eastAsia="仿宋_GB2312" w:cs="DengXian-Regular"/>
          <w:sz w:val="32"/>
          <w:szCs w:val="32"/>
        </w:rPr>
        <w:t>年度增加</w:t>
      </w:r>
      <w:r>
        <w:rPr>
          <w:rFonts w:hint="eastAsia" w:ascii="仿宋_GB2312" w:eastAsia="仿宋_GB2312" w:cs="DengXian-Regular"/>
          <w:sz w:val="32"/>
          <w:szCs w:val="32"/>
          <w:lang w:val="en-US" w:eastAsia="zh-CN"/>
        </w:rPr>
        <w:t>8683.24</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223.48</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1、新增保定市满城区市政维护管理处和保定市满城区市场建设服务中心两个下属单位，新增两个单位人员</w:t>
      </w:r>
      <w:r>
        <w:rPr>
          <w:rFonts w:hint="eastAsia" w:ascii="仿宋_GB2312" w:eastAsia="仿宋_GB2312" w:cs="DengXian-Regular"/>
          <w:sz w:val="32"/>
          <w:szCs w:val="32"/>
        </w:rPr>
        <w:t>工资及保险</w:t>
      </w:r>
      <w:r>
        <w:rPr>
          <w:rFonts w:hint="eastAsia" w:ascii="仿宋_GB2312" w:eastAsia="仿宋_GB2312" w:cs="DengXian-Regular"/>
          <w:sz w:val="32"/>
          <w:szCs w:val="32"/>
          <w:lang w:eastAsia="zh-CN"/>
        </w:rPr>
        <w:t>，</w:t>
      </w:r>
      <w:r>
        <w:rPr>
          <w:rFonts w:hint="eastAsia" w:ascii="仿宋_GB2312" w:eastAsia="仿宋_GB2312" w:cs="DengXian-Regular"/>
          <w:sz w:val="32"/>
          <w:szCs w:val="32"/>
        </w:rPr>
        <w:t>工资及保险上涨和补发以前年度工资。</w:t>
      </w:r>
      <w:r>
        <w:rPr>
          <w:rFonts w:hint="eastAsia" w:ascii="仿宋_GB2312" w:eastAsia="仿宋_GB2312" w:cs="DengXian-Regular"/>
          <w:sz w:val="32"/>
          <w:szCs w:val="32"/>
          <w:lang w:val="en-US" w:eastAsia="zh-CN"/>
        </w:rPr>
        <w:t>2、新增城区及城乡清扫保洁费、污水处理运转经费、市政路灯电费、绿化养护等专项经费</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12568.7</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年度增加</w:t>
      </w:r>
      <w:r>
        <w:rPr>
          <w:rFonts w:hint="eastAsia" w:ascii="仿宋_GB2312" w:eastAsia="仿宋_GB2312" w:cs="DengXian-Regular"/>
          <w:sz w:val="32"/>
          <w:szCs w:val="32"/>
          <w:lang w:val="en-US" w:eastAsia="zh-CN"/>
        </w:rPr>
        <w:t>8683.24</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223.48</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1、新增保定市满城区市政维护管理处和保定市满城区市场建设服务中心两个下属单位，新增两个单位人员</w:t>
      </w:r>
      <w:r>
        <w:rPr>
          <w:rFonts w:hint="eastAsia" w:ascii="仿宋_GB2312" w:eastAsia="仿宋_GB2312" w:cs="DengXian-Regular"/>
          <w:sz w:val="32"/>
          <w:szCs w:val="32"/>
        </w:rPr>
        <w:t>工资及保险</w:t>
      </w:r>
      <w:r>
        <w:rPr>
          <w:rFonts w:hint="eastAsia" w:ascii="仿宋_GB2312" w:eastAsia="仿宋_GB2312" w:cs="DengXian-Regular"/>
          <w:sz w:val="32"/>
          <w:szCs w:val="32"/>
          <w:lang w:eastAsia="zh-CN"/>
        </w:rPr>
        <w:t>，</w:t>
      </w:r>
      <w:r>
        <w:rPr>
          <w:rFonts w:hint="eastAsia" w:ascii="仿宋_GB2312" w:eastAsia="仿宋_GB2312" w:cs="DengXian-Regular"/>
          <w:sz w:val="32"/>
          <w:szCs w:val="32"/>
        </w:rPr>
        <w:t>工资及保险上涨和补发以前年度工资。</w:t>
      </w:r>
      <w:r>
        <w:rPr>
          <w:rFonts w:hint="eastAsia" w:ascii="仿宋_GB2312" w:eastAsia="仿宋_GB2312" w:cs="DengXian-Regular"/>
          <w:sz w:val="32"/>
          <w:szCs w:val="32"/>
          <w:lang w:val="en-US" w:eastAsia="zh-CN"/>
        </w:rPr>
        <w:t>2、新增城区及城乡清扫保洁费、污水处理运转经费、市政路灯电费、绿化养护等专项经费。</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w:t>
      </w:r>
      <w:r>
        <w:rPr>
          <w:rFonts w:hint="eastAsia" w:ascii="仿宋_GB2312" w:eastAsia="仿宋_GB2312" w:cs="DengXian-Regular"/>
          <w:sz w:val="32"/>
          <w:szCs w:val="32"/>
          <w:lang w:val="en-US" w:eastAsia="zh-CN"/>
        </w:rPr>
        <w:t>10920.79</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7177.11</w:t>
      </w:r>
      <w:r>
        <w:rPr>
          <w:rFonts w:hint="eastAsia" w:ascii="仿宋_GB2312" w:eastAsia="仿宋_GB2312" w:cs="DengXian-Regular"/>
          <w:sz w:val="32"/>
          <w:szCs w:val="32"/>
        </w:rPr>
        <w:t>万元；主要是</w:t>
      </w:r>
      <w:r>
        <w:rPr>
          <w:rFonts w:hint="eastAsia" w:ascii="仿宋_GB2312" w:eastAsia="仿宋_GB2312" w:cs="DengXian-Regular"/>
          <w:sz w:val="32"/>
          <w:szCs w:val="32"/>
          <w:lang w:val="en-US" w:eastAsia="zh-CN"/>
        </w:rPr>
        <w:t>1、新增保定市满城区市政维护管理处和保定市满城区市场建设服务中心两个下属单位，新增两个单位人员</w:t>
      </w:r>
      <w:r>
        <w:rPr>
          <w:rFonts w:hint="eastAsia" w:ascii="仿宋_GB2312" w:eastAsia="仿宋_GB2312" w:cs="DengXian-Regular"/>
          <w:sz w:val="32"/>
          <w:szCs w:val="32"/>
        </w:rPr>
        <w:t>工资及保险</w:t>
      </w:r>
      <w:r>
        <w:rPr>
          <w:rFonts w:hint="eastAsia" w:ascii="仿宋_GB2312" w:eastAsia="仿宋_GB2312" w:cs="DengXian-Regular"/>
          <w:sz w:val="32"/>
          <w:szCs w:val="32"/>
          <w:lang w:eastAsia="zh-CN"/>
        </w:rPr>
        <w:t>，</w:t>
      </w:r>
      <w:r>
        <w:rPr>
          <w:rFonts w:hint="eastAsia" w:ascii="仿宋_GB2312" w:eastAsia="仿宋_GB2312" w:cs="DengXian-Regular"/>
          <w:sz w:val="32"/>
          <w:szCs w:val="32"/>
        </w:rPr>
        <w:t>工资及保险上涨和补发以前年度工资。</w:t>
      </w:r>
      <w:r>
        <w:rPr>
          <w:rFonts w:hint="eastAsia" w:ascii="仿宋_GB2312" w:eastAsia="仿宋_GB2312" w:cs="DengXian-Regular"/>
          <w:sz w:val="32"/>
          <w:szCs w:val="32"/>
          <w:lang w:val="en-US" w:eastAsia="zh-CN"/>
        </w:rPr>
        <w:t>2、新增城区及城乡清扫保洁费等专项经费</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10920.79</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7177.11</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181</w:t>
      </w:r>
      <w:r>
        <w:rPr>
          <w:rFonts w:ascii="仿宋_GB2312" w:eastAsia="仿宋_GB2312" w:cs="DengXian-Regular"/>
          <w:sz w:val="32"/>
          <w:szCs w:val="32"/>
        </w:rPr>
        <w:t>%</w:t>
      </w:r>
      <w:r>
        <w:rPr>
          <w:rFonts w:hint="eastAsia" w:ascii="仿宋_GB2312" w:eastAsia="仿宋_GB2312" w:cs="DengXian-Regular"/>
          <w:sz w:val="32"/>
          <w:szCs w:val="32"/>
        </w:rPr>
        <w:t>，</w:t>
      </w:r>
      <w:bookmarkStart w:id="0" w:name="_GoBack"/>
      <w:bookmarkEnd w:id="0"/>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1、新增保定市满城区市政维护管理处和保定市满城区市场建设服务中心两个下属单位，新增两个单位人员</w:t>
      </w:r>
      <w:r>
        <w:rPr>
          <w:rFonts w:hint="eastAsia" w:ascii="仿宋_GB2312" w:eastAsia="仿宋_GB2312" w:cs="DengXian-Regular"/>
          <w:sz w:val="32"/>
          <w:szCs w:val="32"/>
        </w:rPr>
        <w:t>工资及保险</w:t>
      </w:r>
      <w:r>
        <w:rPr>
          <w:rFonts w:hint="eastAsia" w:ascii="仿宋_GB2312" w:eastAsia="仿宋_GB2312" w:cs="DengXian-Regular"/>
          <w:sz w:val="32"/>
          <w:szCs w:val="32"/>
          <w:lang w:eastAsia="zh-CN"/>
        </w:rPr>
        <w:t>，</w:t>
      </w:r>
      <w:r>
        <w:rPr>
          <w:rFonts w:hint="eastAsia" w:ascii="仿宋_GB2312" w:eastAsia="仿宋_GB2312" w:cs="DengXian-Regular"/>
          <w:sz w:val="32"/>
          <w:szCs w:val="32"/>
        </w:rPr>
        <w:t>工资及保险上涨和补发以前年度工资。</w:t>
      </w:r>
      <w:r>
        <w:rPr>
          <w:rFonts w:hint="eastAsia" w:ascii="仿宋_GB2312" w:eastAsia="仿宋_GB2312" w:cs="DengXian-Regular"/>
          <w:sz w:val="32"/>
          <w:szCs w:val="32"/>
          <w:lang w:val="en-US" w:eastAsia="zh-CN"/>
        </w:rPr>
        <w:t>2、新增城区及城乡清扫保洁费等专项经费</w:t>
      </w:r>
      <w:r>
        <w:rPr>
          <w:rFonts w:hint="eastAsia" w:ascii="仿宋_GB2312" w:eastAsia="仿宋_GB2312" w:cs="DengXian-Regular"/>
          <w:sz w:val="32"/>
          <w:szCs w:val="32"/>
        </w:rPr>
        <w:t>。政府性基金预算财政拨款本年收入</w:t>
      </w:r>
      <w:r>
        <w:rPr>
          <w:rFonts w:hint="eastAsia" w:ascii="仿宋_GB2312" w:eastAsia="仿宋_GB2312" w:cs="DengXian-Regular"/>
          <w:sz w:val="32"/>
          <w:szCs w:val="32"/>
          <w:lang w:val="en-US" w:eastAsia="zh-CN"/>
        </w:rPr>
        <w:t>1647.91</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1506.13</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1062</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污水处理运转经费、市政路灯电费、绿化养护递增等专项经费</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1647.91</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1506.13</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1062</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污水处理运转经费、市政路灯电费、绿化养护递增等专项经费</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部门</w:t>
      </w:r>
      <w:r>
        <w:rPr>
          <w:rFonts w:ascii="仿宋_GB2312" w:eastAsia="仿宋_GB2312" w:cs="DengXian-Regular"/>
          <w:sz w:val="32"/>
          <w:szCs w:val="32"/>
        </w:rPr>
        <w:t>2018</w:t>
      </w:r>
      <w:r>
        <w:rPr>
          <w:rFonts w:hint="eastAsia" w:ascii="仿宋_GB2312" w:eastAsia="仿宋_GB2312" w:cs="DengXian-Regular"/>
          <w:sz w:val="32"/>
          <w:szCs w:val="32"/>
        </w:rPr>
        <w:t>年度财政拨款本年收入</w:t>
      </w:r>
      <w:r>
        <w:rPr>
          <w:rFonts w:hint="eastAsia" w:ascii="仿宋_GB2312" w:eastAsia="仿宋_GB2312" w:cs="DengXian-Regular"/>
          <w:sz w:val="32"/>
          <w:szCs w:val="32"/>
          <w:lang w:val="en-US" w:eastAsia="zh-CN"/>
        </w:rPr>
        <w:t>12568.7</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104</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471.94</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val="en-US" w:eastAsia="zh-CN"/>
        </w:rPr>
        <w:t>增加环境卫生清扫保洁、垃圾处理等专项经费</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12568.7</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104</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471.94</w:t>
      </w:r>
      <w:r>
        <w:rPr>
          <w:rFonts w:hint="eastAsia" w:ascii="仿宋_GB2312" w:eastAsia="仿宋_GB2312" w:cs="DengXian-Regular"/>
          <w:sz w:val="32"/>
          <w:szCs w:val="32"/>
        </w:rPr>
        <w:t>万元，决算数大于预算数主要原因是主要是</w:t>
      </w:r>
      <w:r>
        <w:rPr>
          <w:rFonts w:hint="eastAsia" w:ascii="仿宋_GB2312" w:eastAsia="仿宋_GB2312" w:cs="DengXian-Regular"/>
          <w:sz w:val="32"/>
          <w:szCs w:val="32"/>
          <w:lang w:val="en-US" w:eastAsia="zh-CN"/>
        </w:rPr>
        <w:t>增加环境卫生清扫保洁、垃圾处理等专项经费</w:t>
      </w:r>
      <w:r>
        <w:rPr>
          <w:rFonts w:hint="eastAsia" w:ascii="仿宋_GB2312" w:eastAsia="仿宋_GB2312" w:cs="DengXian-Regular"/>
          <w:sz w:val="32"/>
          <w:szCs w:val="32"/>
        </w:rPr>
        <w:t>。</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其中，一般公共预算财政拨款本年收入完成年初预算</w:t>
      </w:r>
      <w:r>
        <w:rPr>
          <w:rFonts w:hint="eastAsia" w:ascii="仿宋_GB2312" w:eastAsia="仿宋_GB2312" w:cs="DengXian-Regular"/>
          <w:sz w:val="32"/>
          <w:szCs w:val="32"/>
          <w:lang w:val="en-US" w:eastAsia="zh-CN"/>
        </w:rPr>
        <w:t>104</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830.43</w:t>
      </w:r>
      <w:r>
        <w:rPr>
          <w:rFonts w:hint="eastAsia" w:ascii="仿宋_GB2312" w:eastAsia="仿宋_GB2312" w:cs="DengXian-Regular"/>
          <w:sz w:val="32"/>
          <w:szCs w:val="32"/>
        </w:rPr>
        <w:t>万元，主要是</w:t>
      </w:r>
      <w:r>
        <w:rPr>
          <w:rFonts w:hint="eastAsia" w:ascii="仿宋_GB2312" w:eastAsia="仿宋_GB2312" w:cs="DengXian-Regular"/>
          <w:sz w:val="32"/>
          <w:szCs w:val="32"/>
          <w:lang w:val="en-US" w:eastAsia="zh-CN"/>
        </w:rPr>
        <w:t>增加地表水厂处理费等专项支出</w:t>
      </w:r>
      <w:r>
        <w:rPr>
          <w:rFonts w:hint="eastAsia" w:ascii="仿宋_GB2312" w:eastAsia="仿宋_GB2312" w:cs="DengXian-Regular"/>
          <w:sz w:val="32"/>
          <w:szCs w:val="32"/>
        </w:rPr>
        <w:t>；支出完成年初预算</w:t>
      </w:r>
      <w:r>
        <w:rPr>
          <w:rFonts w:hint="eastAsia" w:ascii="仿宋_GB2312" w:eastAsia="仿宋_GB2312" w:cs="DengXian-Regular"/>
          <w:sz w:val="32"/>
          <w:szCs w:val="32"/>
          <w:lang w:val="en-US" w:eastAsia="zh-CN"/>
        </w:rPr>
        <w:t>104</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830.43</w:t>
      </w:r>
      <w:r>
        <w:rPr>
          <w:rFonts w:hint="eastAsia" w:ascii="仿宋_GB2312" w:eastAsia="仿宋_GB2312" w:cs="DengXian-Regular"/>
          <w:sz w:val="32"/>
          <w:szCs w:val="32"/>
        </w:rPr>
        <w:t>万元，主要是</w:t>
      </w:r>
      <w:r>
        <w:rPr>
          <w:rFonts w:hint="eastAsia" w:ascii="仿宋_GB2312" w:eastAsia="仿宋_GB2312" w:cs="DengXian-Regular"/>
          <w:sz w:val="32"/>
          <w:szCs w:val="32"/>
          <w:lang w:val="en-US" w:eastAsia="zh-CN"/>
        </w:rPr>
        <w:t>增加环境卫生清扫保洁、垃圾处理等专项经费</w:t>
      </w:r>
      <w:r>
        <w:rPr>
          <w:rFonts w:hint="eastAsia" w:ascii="仿宋_GB2312" w:eastAsia="仿宋_GB2312" w:cs="DengXian-Regular"/>
          <w:sz w:val="32"/>
          <w:szCs w:val="32"/>
        </w:rPr>
        <w:t>。政府性基金预算财政拨款本年收入完成年初预算</w:t>
      </w:r>
      <w:r>
        <w:rPr>
          <w:rFonts w:hint="eastAsia" w:ascii="仿宋_GB2312" w:eastAsia="仿宋_GB2312" w:cs="DengXian-Regular"/>
          <w:sz w:val="32"/>
          <w:szCs w:val="32"/>
          <w:lang w:val="en-US" w:eastAsia="zh-CN"/>
        </w:rPr>
        <w:t>82</w:t>
      </w:r>
      <w:r>
        <w:rPr>
          <w:rFonts w:ascii="仿宋_GB2312" w:eastAsia="仿宋_GB2312" w:cs="DengXian-Regular"/>
          <w:sz w:val="32"/>
          <w:szCs w:val="32"/>
        </w:rPr>
        <w:t>%</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358.49</w:t>
      </w:r>
      <w:r>
        <w:rPr>
          <w:rFonts w:hint="eastAsia" w:ascii="仿宋_GB2312" w:eastAsia="仿宋_GB2312" w:cs="DengXian-Regular"/>
          <w:sz w:val="32"/>
          <w:szCs w:val="32"/>
        </w:rPr>
        <w:t>万元，主要是</w:t>
      </w:r>
      <w:r>
        <w:rPr>
          <w:rFonts w:hint="eastAsia" w:ascii="仿宋_GB2312" w:eastAsia="仿宋_GB2312" w:cs="DengXian-Regular"/>
          <w:sz w:val="32"/>
          <w:szCs w:val="32"/>
          <w:lang w:val="en-US" w:eastAsia="zh-CN"/>
        </w:rPr>
        <w:t>年底部分专项经费未拨付</w:t>
      </w:r>
      <w:r>
        <w:rPr>
          <w:rFonts w:hint="eastAsia" w:ascii="仿宋_GB2312" w:eastAsia="仿宋_GB2312" w:cs="DengXian-Regular"/>
          <w:sz w:val="32"/>
          <w:szCs w:val="32"/>
        </w:rPr>
        <w:t>；支出完成年初预算</w:t>
      </w:r>
      <w:r>
        <w:rPr>
          <w:rFonts w:hint="eastAsia" w:ascii="仿宋_GB2312" w:eastAsia="仿宋_GB2312" w:cs="DengXian-Regular"/>
          <w:sz w:val="32"/>
          <w:szCs w:val="32"/>
          <w:lang w:val="en-US" w:eastAsia="zh-CN"/>
        </w:rPr>
        <w:t>82</w:t>
      </w:r>
      <w:r>
        <w:rPr>
          <w:rFonts w:ascii="仿宋_GB2312" w:eastAsia="仿宋_GB2312" w:cs="DengXian-Regular"/>
          <w:sz w:val="32"/>
          <w:szCs w:val="32"/>
        </w:rPr>
        <w:t>%</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358.49</w:t>
      </w:r>
      <w:r>
        <w:rPr>
          <w:rFonts w:hint="eastAsia" w:ascii="仿宋_GB2312" w:eastAsia="仿宋_GB2312" w:cs="DengXian-Regular"/>
          <w:sz w:val="32"/>
          <w:szCs w:val="32"/>
        </w:rPr>
        <w:t>万元，主要是</w:t>
      </w:r>
      <w:r>
        <w:rPr>
          <w:rFonts w:hint="eastAsia" w:ascii="仿宋_GB2312" w:eastAsia="仿宋_GB2312" w:cs="DengXian-Regular"/>
          <w:sz w:val="32"/>
          <w:szCs w:val="32"/>
          <w:lang w:val="en-US" w:eastAsia="zh-CN"/>
        </w:rPr>
        <w:t>年底部分专项经费未拨付</w:t>
      </w:r>
      <w:r>
        <w:rPr>
          <w:rFonts w:hint="eastAsia" w:ascii="仿宋_GB2312" w:eastAsia="仿宋_GB2312" w:cs="DengXian-Regular"/>
          <w:sz w:val="32"/>
          <w:szCs w:val="32"/>
        </w:rPr>
        <w:t>。</w:t>
      </w:r>
    </w:p>
    <w:p>
      <w:pPr>
        <w:numPr>
          <w:ilvl w:val="0"/>
          <w:numId w:val="0"/>
        </w:numPr>
        <w:adjustRightInd w:val="0"/>
        <w:snapToGrid w:val="0"/>
        <w:spacing w:after="0" w:line="580" w:lineRule="exact"/>
        <w:ind w:leftChars="0" w:firstLine="643" w:firstLineChars="200"/>
        <w:rPr>
          <w:rFonts w:ascii="楷体_GB2312" w:eastAsia="楷体_GB2312" w:cs="DengXian-Bold"/>
          <w:b/>
          <w:bCs/>
          <w:sz w:val="32"/>
          <w:szCs w:val="32"/>
        </w:rPr>
      </w:pPr>
      <w:r>
        <w:rPr>
          <w:rFonts w:hint="eastAsia" w:ascii="楷体_GB2312" w:eastAsia="楷体_GB2312" w:cs="DengXian-Bold"/>
          <w:b/>
          <w:bCs/>
          <w:sz w:val="32"/>
          <w:szCs w:val="32"/>
          <w:lang w:eastAsia="zh-CN"/>
        </w:rPr>
        <w:t>（</w:t>
      </w:r>
      <w:r>
        <w:rPr>
          <w:rFonts w:hint="eastAsia" w:ascii="楷体_GB2312" w:eastAsia="楷体_GB2312" w:cs="DengXian-Bold"/>
          <w:b/>
          <w:bCs/>
          <w:sz w:val="32"/>
          <w:szCs w:val="32"/>
          <w:lang w:val="en-US" w:eastAsia="zh-CN"/>
        </w:rPr>
        <w:t>三</w:t>
      </w:r>
      <w:r>
        <w:rPr>
          <w:rFonts w:hint="eastAsia" w:ascii="楷体_GB2312" w:eastAsia="楷体_GB2312" w:cs="DengXian-Bold"/>
          <w:b/>
          <w:bCs/>
          <w:sz w:val="32"/>
          <w:szCs w:val="32"/>
          <w:lang w:eastAsia="zh-CN"/>
        </w:rPr>
        <w:t>）</w:t>
      </w: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w:t>
      </w:r>
      <w:r>
        <w:rPr>
          <w:rFonts w:hint="eastAsia" w:ascii="仿宋_GB2312" w:eastAsia="仿宋_GB2312" w:cs="DengXian-Regular"/>
          <w:sz w:val="32"/>
          <w:szCs w:val="32"/>
          <w:lang w:val="en-US" w:eastAsia="zh-CN"/>
        </w:rPr>
        <w:t>12568.7</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一般公共服务支出</w:t>
      </w:r>
      <w:r>
        <w:rPr>
          <w:rFonts w:hint="eastAsia" w:ascii="仿宋_GB2312" w:eastAsia="仿宋_GB2312" w:cs="DengXian-Regular"/>
          <w:sz w:val="32"/>
          <w:szCs w:val="32"/>
          <w:lang w:val="en-US" w:eastAsia="zh-CN"/>
        </w:rPr>
        <w:t>536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4.26</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节能环保</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4.88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0.04</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城乡社区</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12011.82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95.57</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农林水</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16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0.13</w:t>
      </w:r>
      <w:r>
        <w:rPr>
          <w:rFonts w:ascii="仿宋_GB2312" w:eastAsia="仿宋_GB2312" w:cs="DengXian-Regular"/>
          <w:sz w:val="32"/>
          <w:szCs w:val="32"/>
        </w:rPr>
        <w:t>%</w:t>
      </w:r>
      <w:r>
        <w:rPr>
          <w:rFonts w:hint="eastAsia" w:ascii="仿宋_GB2312" w:eastAsia="仿宋_GB2312" w:cs="DengXian-Regular"/>
          <w:sz w:val="32"/>
          <w:szCs w:val="32"/>
        </w:rPr>
        <w:t>；</w:t>
      </w:r>
    </w:p>
    <w:p>
      <w:pPr>
        <w:numPr>
          <w:ilvl w:val="0"/>
          <w:numId w:val="0"/>
        </w:numPr>
        <w:adjustRightInd w:val="0"/>
        <w:snapToGrid w:val="0"/>
        <w:spacing w:after="0" w:line="580" w:lineRule="exact"/>
        <w:ind w:firstLine="630" w:firstLineChars="300"/>
        <w:rPr>
          <w:rFonts w:hint="eastAsia" w:ascii="楷体_GB2312" w:eastAsia="楷体_GB2312" w:cs="DengXian-Bold"/>
          <w:b/>
          <w:bCs/>
          <w:sz w:val="32"/>
          <w:szCs w:val="32"/>
        </w:rPr>
      </w:pPr>
      <w:r>
        <mc:AlternateContent>
          <mc:Choice Requires="wpg">
            <w:drawing>
              <wp:anchor distT="0" distB="0" distL="114300" distR="114300" simplePos="0" relativeHeight="251684864"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71"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9" name="矩形 13"/>
                        <wps:cNvSpPr/>
                        <wps:spPr>
                          <a:xfrm>
                            <a:off x="4551" y="52615"/>
                            <a:ext cx="8546" cy="1175"/>
                          </a:xfrm>
                          <a:prstGeom prst="rect">
                            <a:avLst/>
                          </a:prstGeom>
                          <a:solidFill>
                            <a:srgbClr val="96DA9D"/>
                          </a:solidFill>
                          <a:ln w="25400">
                            <a:noFill/>
                          </a:ln>
                        </wps:spPr>
                        <wps:bodyPr anchor="ctr" anchorCtr="0" upright="1"/>
                      </wps:wsp>
                      <wps:wsp>
                        <wps:cNvPr id="7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79" o:spid="_x0000_s1026" o:spt="203" style="position:absolute;left:0pt;margin-left:-79.5pt;margin-top:29.3pt;height:43.95pt;width:301.85pt;mso-position-vertical-relative:page;z-index:2516848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xV6itsA&#10;AAALAQAADwAAAAAAAAABACAAAAAiAAAAZHJzL2Rvd25yZXYueG1sUEsBAhQAFAAAAAgAh07iQAlq&#10;tyLHAgAAJgcAAA4AAAAAAAAAAQAgAAAAKgEAAGRycy9lMm9Eb2MueG1sUEsFBgAAAAAGAAYAWQEA&#10;AGMGAAAAAA==&#10;">
                <o:lock v:ext="edit" aspectratio="f"/>
                <v:rect id="矩形 13" o:spid="_x0000_s1026" o:spt="1" style="position:absolute;left:4551;top:52615;height:1175;width:8546;v-text-anchor:middle;" fillcolor="#96DA9D" filled="t" stroked="f" coordsize="21600,21600" o:gfxdata="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Acs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jcqZroAAADb&#10;AAAADwAAAGRycy9kb3ducmV2LnhtbEVPy4rCMBTdC/5DuII7TZ1FHapRRBBHQYbRiri7NNem2NyU&#10;Jr7m6yeLAZeH857On7YWd2p95VjBaJiAIC6crrhUkB9Wg08QPiBrrB2Tghd5mM+6nSlm2j34h+77&#10;UIoYwj5DBSaEJpPSF4Ys+qFriCN3ca3FEGFbSt3iI4bbWn4kSSotVhwbDDa0NFRc9zer4Ds35zVu&#10;6WR32+sxX1SY/m5Spfq9UTIBEegZ3uJ/95dWMI7r45f4A+T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Nypm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lang w:eastAsia="zh-CN"/>
        </w:rPr>
        <w:t>（</w:t>
      </w:r>
      <w:r>
        <w:rPr>
          <w:rFonts w:hint="eastAsia" w:ascii="楷体_GB2312" w:eastAsia="楷体_GB2312" w:cs="DengXian-Bold"/>
          <w:b/>
          <w:bCs/>
          <w:sz w:val="32"/>
          <w:szCs w:val="32"/>
          <w:lang w:val="en-US" w:eastAsia="zh-CN"/>
        </w:rPr>
        <w:t>四</w:t>
      </w:r>
      <w:r>
        <w:rPr>
          <w:rFonts w:hint="eastAsia" w:ascii="楷体_GB2312" w:eastAsia="楷体_GB2312" w:cs="DengXian-Bold"/>
          <w:b/>
          <w:bCs/>
          <w:sz w:val="32"/>
          <w:szCs w:val="32"/>
          <w:lang w:eastAsia="zh-CN"/>
        </w:rPr>
        <w:t>）</w:t>
      </w:r>
      <w:r>
        <w:rPr>
          <w:rFonts w:hint="eastAsia" w:ascii="楷体_GB2312" w:eastAsia="楷体_GB2312" w:cs="DengXian-Bold"/>
          <w:b/>
          <w:bCs/>
          <w:sz w:val="32"/>
          <w:szCs w:val="32"/>
        </w:rPr>
        <w:t>一般公共预算财政拨款基本支出决算情况说明</w:t>
      </w:r>
    </w:p>
    <w:p>
      <w:pPr>
        <w:numPr>
          <w:ilvl w:val="0"/>
          <w:numId w:val="0"/>
        </w:numPr>
        <w:adjustRightInd w:val="0"/>
        <w:snapToGrid w:val="0"/>
        <w:spacing w:after="0" w:line="580" w:lineRule="exact"/>
        <w:ind w:firstLine="630" w:firstLineChars="300"/>
        <w:rPr>
          <w:rFonts w:ascii="仿宋_GB2312" w:eastAsia="仿宋_GB2312" w:cs="DengXian-Regular"/>
          <w:sz w:val="32"/>
          <w:szCs w:val="32"/>
        </w:rPr>
      </w:pPr>
      <w:r>
        <mc:AlternateContent>
          <mc:Choice Requires="wpg">
            <w:drawing>
              <wp:anchor distT="0" distB="0" distL="114300" distR="114300" simplePos="0" relativeHeight="251692032"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95" name="组合 2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3" name="矩形 13"/>
                        <wps:cNvSpPr/>
                        <wps:spPr>
                          <a:xfrm>
                            <a:off x="4551" y="52615"/>
                            <a:ext cx="8546" cy="1175"/>
                          </a:xfrm>
                          <a:prstGeom prst="rect">
                            <a:avLst/>
                          </a:prstGeom>
                          <a:solidFill>
                            <a:srgbClr val="96DA9D"/>
                          </a:solidFill>
                          <a:ln w="25400">
                            <a:noFill/>
                          </a:ln>
                        </wps:spPr>
                        <wps:bodyPr anchor="ctr" anchorCtr="0" upright="1"/>
                      </wps:wsp>
                      <wps:wsp>
                        <wps:cNvPr id="9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23" o:spid="_x0000_s1026" o:spt="203" style="position:absolute;left:0pt;margin-left:-79.5pt;margin-top:29.3pt;height:43.95pt;width:301.85pt;mso-position-vertical-relative:page;z-index:251692032;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xV6itsAAAAL&#10;AQAADwAAAAAAAAABACAAAAAiAAAAZHJzL2Rvd25yZXYueG1sUEsBAhQAFAAAAAgAh07iQCfxj4bE&#10;AgAAJgcAAA4AAAAAAAAAAQAgAAAAKgEAAGRycy9lMm9Eb2MueG1sUEsFBgAAAAAGAAYAWQEAAGAG&#10;AAAAAA==&#10;">
                <o:lock v:ext="edit" aspectratio="f"/>
                <v:rect id="矩形 13" o:spid="_x0000_s1026" o:spt="1" style="position:absolute;left:4551;top:52615;height:1175;width:8546;v-text-anchor:middle;" fillcolor="#96DA9D" filled="t" stroked="f" coordsize="21600,21600" o:gfxdata="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G1bf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QDKn74AAADb&#10;AAAADwAAAGRycy9kb3ducmV2LnhtbEWP3WoCMRSE7wXfIZxC7zSrlEVXoxRBWgUp2i3i3WFz3Cxu&#10;TpZN/Gmf3hQEL4eZ+YaZzm+2FhdqfeVYwaCfgCAunK64VJB/L3sjED4ga6wdk4Jf8jCfdTtTzLS7&#10;8pYuu1CKCGGfoQITQpNJ6QtDFn3fNcTRO7rWYoiyLaVu8RrhtpbDJEmlxYrjgsGGFoaK0+5sFXzl&#10;5vCBa9rbzfr0k79XmP6tUqVeXwbJBESgW3iGH+1PrWD8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DKn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w:t>
      </w:r>
      <w:r>
        <w:rPr>
          <w:rFonts w:hint="eastAsia" w:ascii="仿宋_GB2312" w:eastAsia="仿宋_GB2312" w:cs="DengXian-Regular"/>
          <w:sz w:val="32"/>
          <w:szCs w:val="32"/>
          <w:lang w:val="en-US" w:eastAsia="zh-CN"/>
        </w:rPr>
        <w:t>4454</w:t>
      </w:r>
      <w:r>
        <w:rPr>
          <w:rFonts w:hint="eastAsia" w:ascii="仿宋_GB2312" w:eastAsia="仿宋_GB2312" w:cs="DengXian-Regular"/>
          <w:sz w:val="32"/>
          <w:szCs w:val="32"/>
        </w:rPr>
        <w:t>万元，其中：人员经费</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4415.24</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hint="eastAsia" w:ascii="仿宋_GB2312" w:eastAsia="仿宋_GB2312" w:cs="DengXian-Regular"/>
          <w:sz w:val="32"/>
          <w:szCs w:val="32"/>
          <w:lang w:val="en-US" w:eastAsia="zh-CN"/>
        </w:rPr>
        <w:t>38.76</w:t>
      </w:r>
      <w:r>
        <w:rPr>
          <w:rFonts w:hint="eastAsia" w:ascii="仿宋_GB2312" w:eastAsia="仿宋_GB2312" w:cs="DengXian-Regular"/>
          <w:sz w:val="32"/>
          <w:szCs w:val="32"/>
        </w:rPr>
        <w:t>万元，主要包括办公费、水费、电费、邮电费、取暖费、培训费、公务用车运行维护费、其他交通费用。</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w:t>
      </w:r>
      <w:r>
        <w:rPr>
          <w:rFonts w:hint="eastAsia" w:ascii="仿宋_GB2312" w:eastAsia="仿宋_GB2312" w:cs="DengXian-Regular"/>
          <w:sz w:val="32"/>
          <w:szCs w:val="32"/>
          <w:lang w:val="en-US" w:eastAsia="zh-CN"/>
        </w:rPr>
        <w:t>5</w:t>
      </w:r>
      <w:r>
        <w:rPr>
          <w:rFonts w:hint="eastAsia" w:ascii="仿宋_GB2312" w:eastAsia="仿宋_GB2312" w:cs="DengXian-Regular"/>
          <w:sz w:val="32"/>
          <w:szCs w:val="32"/>
        </w:rPr>
        <w:t>万元，较年初预算</w:t>
      </w:r>
      <w:r>
        <w:rPr>
          <w:rFonts w:hint="eastAsia" w:ascii="仿宋_GB2312" w:eastAsia="仿宋_GB2312" w:cs="DengXian-Regular"/>
          <w:sz w:val="32"/>
          <w:szCs w:val="32"/>
          <w:lang w:val="en-US" w:eastAsia="zh-CN"/>
        </w:rPr>
        <w:t>持平</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无增长</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我单位</w:t>
      </w:r>
      <w:r>
        <w:rPr>
          <w:rFonts w:hint="eastAsia" w:ascii="仿宋_GB2312" w:eastAsia="仿宋_GB2312" w:cs="DengXian-Regular"/>
          <w:sz w:val="32"/>
          <w:szCs w:val="32"/>
        </w:rPr>
        <w:t>认真贯彻落实中央八项规定和厉行节约要求，从严控制“三公”经费开支，全年实际支出具体情况如下：</w:t>
      </w:r>
    </w:p>
    <w:p>
      <w:pPr>
        <w:adjustRightInd w:val="0"/>
        <w:snapToGrid w:val="0"/>
        <w:spacing w:after="0" w:line="580" w:lineRule="exact"/>
        <w:ind w:firstLine="643" w:firstLineChars="200"/>
        <w:rPr>
          <w:rFonts w:hint="eastAsia" w:ascii="楷体_GB2312" w:eastAsia="楷体_GB2312" w:cs="DengXian-Bold"/>
          <w:b/>
          <w:bCs/>
          <w:sz w:val="32"/>
          <w:szCs w:val="32"/>
        </w:rPr>
      </w:pPr>
      <w:r>
        <w:rPr>
          <w:rFonts w:hint="eastAsia" w:ascii="楷体_GB2312" w:eastAsia="楷体_GB2312" w:cs="DengXian-Bold"/>
          <w:b/>
          <w:bCs/>
          <w:sz w:val="32"/>
          <w:szCs w:val="32"/>
        </w:rPr>
        <w:t>（</w:t>
      </w:r>
      <w:r>
        <mc:AlternateContent>
          <mc:Choice Requires="wpg">
            <w:drawing>
              <wp:anchor distT="0" distB="0" distL="114300" distR="114300" simplePos="0" relativeHeight="251685888"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74"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2" name="矩形 13"/>
                        <wps:cNvSpPr/>
                        <wps:spPr>
                          <a:xfrm>
                            <a:off x="4551" y="52615"/>
                            <a:ext cx="8546" cy="1175"/>
                          </a:xfrm>
                          <a:prstGeom prst="rect">
                            <a:avLst/>
                          </a:prstGeom>
                          <a:solidFill>
                            <a:srgbClr val="96DA9D"/>
                          </a:solidFill>
                          <a:ln w="25400">
                            <a:noFill/>
                          </a:ln>
                        </wps:spPr>
                        <wps:bodyPr anchor="ctr" anchorCtr="0" upright="1"/>
                      </wps:wsp>
                      <wps:wsp>
                        <wps:cNvPr id="7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82" o:spid="_x0000_s1026" o:spt="203" style="position:absolute;left:0pt;margin-left:-79.5pt;margin-top:29.3pt;height:43.95pt;width:301.85pt;mso-position-vertical-relative:page;z-index:251685888;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xV6itsAAAALAQAA&#10;DwAAAAAAAAABACAAAAAiAAAAZHJzL2Rvd25yZXYueG1sUEsBAhQAFAAAAAgAh07iQK3zOWLBAgAA&#10;JgcAAA4AAAAAAAAAAQAgAAAAKg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qy0YHrsAAADb&#10;AAAADwAAAGRycy9kb3ducmV2LnhtbEWPQWsCMRSE70L/Q3gFb/qyQlvZGj0UCj0VatuDt8fmuVnc&#10;vCxJXLf/vhEEj8PMfMNsdpPv1cgxdUEMVEsNiqUJtpPWwM/3+2INKmUSS30QNvDHCXbbh9mGahsu&#10;8sXjPreqQCTVZMDlPNSIqXHsKS3DwFK8Y4iecpGxRRvpUuC+x5XWz+ipk7LgaOA3x81pf/YGMHJE&#10;F6djPKTxjNWn/n1qTsbMHyv9CirzlO/hW/vDGnhZ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0YH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uW0Eb4AAADb&#10;AAAADwAAAGRycy9kb3ducmV2LnhtbEWP3WoCMRSE7wXfIZxC7zSrhVVWoxRBWgUp2i3i3WFz3Cxu&#10;TpZN/Gmf3hQEL4eZ+YaZzm+2FhdqfeVYwaCfgCAunK64VJB/L3tjED4ga6wdk4Jf8jCfdTtTzLS7&#10;8pYuu1CKCGGfoQITQpNJ6QtDFn3fNcTRO7rWYoiyLaVu8RrhtpbDJEmlxYrjgsGGFoaK0+5sFXzl&#10;5vCBa9rbzfr0k79XmP6tUqVeXwbJBESgW3iGH+1PrWD0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W0E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w:t>
      </w:r>
      <w:r>
        <w:rPr>
          <w:rFonts w:hint="eastAsia" w:ascii="楷体_GB2312" w:eastAsia="楷体_GB2312" w:cs="DengXian-Bold"/>
          <w:b/>
          <w:bCs/>
          <w:sz w:val="32"/>
          <w:szCs w:val="32"/>
          <w:lang w:val="en-US" w:eastAsia="zh-CN"/>
        </w:rPr>
        <w:t>无</w:t>
      </w:r>
      <w:r>
        <w:rPr>
          <w:rFonts w:hint="eastAsia" w:ascii="楷体_GB2312" w:eastAsia="楷体_GB2312" w:cs="DengXian-Bold"/>
          <w:b/>
          <w:bCs/>
          <w:sz w:val="32"/>
          <w:szCs w:val="32"/>
        </w:rPr>
        <w:t>因公出国（境）费支出。</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5</w:t>
      </w:r>
      <w:r>
        <w:rPr>
          <w:rFonts w:hint="eastAsia" w:ascii="楷体_GB2312" w:eastAsia="楷体_GB2312" w:cs="DengXian-Bold"/>
          <w:b/>
          <w:bCs/>
          <w:sz w:val="32"/>
          <w:szCs w:val="32"/>
        </w:rPr>
        <w:t>万元。</w:t>
      </w: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单位</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w:t>
      </w:r>
      <w:r>
        <w:rPr>
          <w:rFonts w:hint="eastAsia" w:ascii="仿宋_GB2312" w:eastAsia="仿宋_GB2312" w:cs="DengXian-Regular"/>
          <w:sz w:val="32"/>
          <w:szCs w:val="32"/>
          <w:lang w:val="en-US" w:eastAsia="zh-CN"/>
        </w:rPr>
        <w:t>持平，无增减</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仿宋_GB2312" w:eastAsia="仿宋_GB2312" w:cs="DengXian-Regular"/>
          <w:b/>
          <w:sz w:val="32"/>
          <w:szCs w:val="32"/>
          <w:lang w:val="en-US" w:eastAsia="zh-CN"/>
        </w:rPr>
        <w:t>1、未发生</w:t>
      </w:r>
      <w:r>
        <w:rPr>
          <w:rFonts w:hint="eastAsia" w:ascii="仿宋_GB2312" w:eastAsia="仿宋_GB2312" w:cs="DengXian-Regular"/>
          <w:b/>
          <w:sz w:val="32"/>
          <w:szCs w:val="32"/>
        </w:rPr>
        <w:t>公务用车购置费</w:t>
      </w:r>
      <w:r>
        <w:rPr>
          <w:rFonts w:hint="eastAsia" w:ascii="仿宋_GB2312" w:eastAsia="仿宋_GB2312" w:cs="DengXian-Regular"/>
          <w:b/>
          <w:sz w:val="32"/>
          <w:szCs w:val="32"/>
          <w:lang w:eastAsia="zh-CN"/>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lang w:val="en-US" w:eastAsia="zh-CN"/>
        </w:rPr>
        <w:t>2、</w:t>
      </w: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单位</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辆。公车运行维护费支出较年初预算</w:t>
      </w:r>
      <w:r>
        <w:rPr>
          <w:rFonts w:hint="eastAsia" w:ascii="仿宋_GB2312" w:eastAsia="仿宋_GB2312" w:cs="DengXian-Regular"/>
          <w:sz w:val="32"/>
          <w:szCs w:val="32"/>
          <w:lang w:val="en-US" w:eastAsia="zh-CN"/>
        </w:rPr>
        <w:t>无增减</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highlight w:val="yellow"/>
        </w:rPr>
      </w:pPr>
      <w:r>
        <w:rPr>
          <w:rFonts w:hint="eastAsia" w:ascii="楷体_GB2312" w:eastAsia="楷体_GB2312" w:cs="DengXian-Bold"/>
          <w:b/>
          <w:bCs/>
          <w:sz w:val="32"/>
          <w:szCs w:val="32"/>
        </w:rPr>
        <w:t>（三）</w:t>
      </w:r>
      <w:r>
        <w:rPr>
          <w:rFonts w:hint="eastAsia" w:ascii="楷体_GB2312" w:eastAsia="楷体_GB2312" w:cs="DengXian-Bold"/>
          <w:b/>
          <w:bCs/>
          <w:sz w:val="32"/>
          <w:szCs w:val="32"/>
          <w:lang w:val="en-US" w:eastAsia="zh-CN"/>
        </w:rPr>
        <w:t>无</w:t>
      </w:r>
      <w:r>
        <w:rPr>
          <w:rFonts w:hint="eastAsia" w:ascii="楷体_GB2312" w:eastAsia="楷体_GB2312" w:cs="DengXian-Bold"/>
          <w:b/>
          <w:bCs/>
          <w:sz w:val="32"/>
          <w:szCs w:val="32"/>
        </w:rPr>
        <w:t>公务接待费支出。</w:t>
      </w:r>
      <w:r>
        <mc:AlternateContent>
          <mc:Choice Requires="wpg">
            <w:drawing>
              <wp:anchor distT="0" distB="0" distL="114300" distR="114300" simplePos="0" relativeHeight="251686912"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77"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5" name="矩形 13"/>
                        <wps:cNvSpPr/>
                        <wps:spPr>
                          <a:xfrm>
                            <a:off x="4551" y="52615"/>
                            <a:ext cx="8546" cy="1175"/>
                          </a:xfrm>
                          <a:prstGeom prst="rect">
                            <a:avLst/>
                          </a:prstGeom>
                          <a:solidFill>
                            <a:srgbClr val="96DA9D"/>
                          </a:solidFill>
                          <a:ln w="25400">
                            <a:noFill/>
                          </a:ln>
                        </wps:spPr>
                        <wps:bodyPr anchor="ctr" anchorCtr="0" upright="1"/>
                      </wps:wsp>
                      <wps:wsp>
                        <wps:cNvPr id="7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85" o:spid="_x0000_s1026" o:spt="203" style="position:absolute;left:0pt;margin-left:-79.5pt;margin-top:29.3pt;height:43.95pt;width:301.85pt;mso-position-vertical-relative:page;z-index:251686912;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xV6itsAAAALAQAA&#10;DwAAAAAAAAABACAAAAAiAAAAZHJzL2Rvd25yZXYueG1sUEsBAhQAFAAAAAgAh07iQPVZ87fBAgAA&#10;JgcAAA4AAAAAAAAAAQAgAAAAKg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JMSAarsAAADb&#10;AAAADwAAAGRycy9kb3ducmV2LnhtbEWPQWsCMRSE70L/Q3iF3vRlBduyNXooFHoSqu2ht8fmuVnc&#10;vCxJXLf/vhEEj8PMfMOst5Pv1cgxdUEMVAsNiqUJtpPWwPfhY/4KKmUSS30QNvDHCbabh9maahsu&#10;8sXjPreqQCTVZMDlPNSIqXHsKS3CwFK8Y4iecpGxRRvpUuC+x6XWz+ipk7LgaOB3x81pf/YGMHJE&#10;F6dj/E3jGaud/lk1J2OeHiv9BirzlO/hW/vTGnhZ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SAa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pIXib4AAADb&#10;AAAADwAAAGRycy9kb3ducmV2LnhtbEWPW4vCMBSE3xf8D+EIvq2pPnSXahQRxAsssloR3w7NsSk2&#10;J6WJl91fbxYWfBxm5htmPH3YWtyo9ZVjBYN+AoK4cLriUkG+X7x/gvABWWPtmBT8kIfppPM2xky7&#10;O3/TbRdKESHsM1RgQmgyKX1hyKLvu4Y4emfXWgxRtqXULd4j3NZymCSptFhxXDDY0NxQcdldrYJt&#10;bk5L3NDRfm0uh3xWYfq7TpXqdQfJCESgR3iF/9srreAjhb8v8Qf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IXi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（一）预算绩效管理工作开展情况。</w:t>
      </w:r>
      <w:r>
        <w:rPr>
          <w:rFonts w:hint="eastAsia" w:ascii="仿宋_GB2312" w:eastAsia="仿宋_GB2312" w:cs="DengXian-Regular"/>
          <w:sz w:val="32"/>
          <w:szCs w:val="32"/>
          <w:lang w:eastAsia="zh-CN"/>
        </w:rPr>
        <w:t>根据预算绩效管理要求，本部门组织对</w:t>
      </w:r>
      <w:r>
        <w:rPr>
          <w:rFonts w:hint="eastAsia" w:ascii="仿宋_GB2312" w:eastAsia="仿宋_GB2312" w:cs="DengXian-Regular"/>
          <w:sz w:val="32"/>
          <w:szCs w:val="32"/>
          <w:lang w:val="en-US" w:eastAsia="zh-CN"/>
        </w:rPr>
        <w:t>2018年度一般公共预算项目支出全面开展绩效自评，全年专项资金共支出8080.29万元。从评价情况来看，我单位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地实现了预算项目绩效目标。</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（二）项目绩效自评结果。我单位主要采取自行监控模式，按照预算绩效运行的管理制度要求和有关规定</w:t>
      </w:r>
      <w:r>
        <w:rPr>
          <w:rFonts w:hint="eastAsia" w:ascii="仿宋_GB2312" w:eastAsia="仿宋_GB2312" w:cs="DengXian-Regular"/>
          <w:sz w:val="32"/>
          <w:szCs w:val="32"/>
          <w:lang w:eastAsia="zh-CN"/>
        </w:rPr>
        <w:t>，</w:t>
      </w:r>
      <w:r>
        <w:rPr>
          <w:rFonts w:hint="eastAsia" w:ascii="仿宋_GB2312" w:eastAsia="仿宋_GB2312" w:cs="DengXian-Regular"/>
          <w:sz w:val="32"/>
          <w:szCs w:val="32"/>
        </w:rPr>
        <w:t>对照项目绩效目标，完善项目支出责任制度，提高支出执行的及时性、均衡性和有效性；及时掌握项目绩效目标的完成情况、项目实施进度和资金支付进度；争取保障资金支付与工程量相对应；当项目执行绩效与绩效目标发生偏离时，及时报告，并采取相应措施予以纠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不存在项目执行绩效与绩效目标发生</w:t>
      </w:r>
      <w:r>
        <w:rPr>
          <w:rFonts w:hint="eastAsia" w:ascii="宋体" w:hAnsi="宋体" w:cs="宋体"/>
          <w:sz w:val="32"/>
          <w:szCs w:val="32"/>
        </w:rPr>
        <w:t>偏</w:t>
      </w:r>
      <w:r>
        <w:rPr>
          <w:rFonts w:hint="eastAsia" w:ascii="仿宋_GB2312" w:hAnsi="仿宋_GB2312" w:eastAsia="仿宋_GB2312" w:cs="仿宋_GB2312"/>
          <w:sz w:val="32"/>
          <w:szCs w:val="32"/>
        </w:rPr>
        <w:t>离情况</w:t>
      </w:r>
      <w:r>
        <w:rPr>
          <w:rFonts w:hint="eastAsia" w:ascii="仿宋_GB2312" w:hAnsi="仿宋_GB2312" w:eastAsia="仿宋_GB2312" w:cs="仿宋_GB2312"/>
          <w:sz w:val="32"/>
          <w:szCs w:val="32"/>
          <w:lang w:eastAsia="zh-CN"/>
        </w:rPr>
        <w:t>。</w:t>
      </w:r>
    </w:p>
    <w:p>
      <w:pPr>
        <w:adjustRightInd w:val="0"/>
        <w:snapToGrid w:val="0"/>
        <w:spacing w:after="0" w:line="580" w:lineRule="exact"/>
        <w:ind w:firstLine="640" w:firstLineChars="200"/>
        <w:rPr>
          <w:rFonts w:hint="eastAsia" w:ascii="仿宋_GB2312" w:eastAsia="仿宋_GB2312" w:cs="DengXian-Regular"/>
          <w:sz w:val="32"/>
          <w:szCs w:val="32"/>
          <w:lang w:val="en-US" w:eastAsia="zh-CN"/>
        </w:rPr>
      </w:pPr>
      <w:r>
        <w:rPr>
          <w:rFonts w:hint="eastAsia" w:ascii="仿宋_GB2312" w:eastAsia="仿宋_GB2312" w:cs="DengXian-Regular"/>
          <w:sz w:val="32"/>
          <w:szCs w:val="32"/>
        </w:rPr>
        <w:t>（三）重点项目绩效评价结果。</w:t>
      </w:r>
      <w:r>
        <w:rPr>
          <w:rFonts w:hint="eastAsia" w:ascii="仿宋_GB2312" w:eastAsia="仿宋_GB2312" w:cs="DengXian-Regular"/>
          <w:sz w:val="32"/>
          <w:szCs w:val="32"/>
          <w:lang w:val="en-US" w:eastAsia="zh-CN"/>
        </w:rPr>
        <w:t>无</w:t>
      </w:r>
      <w:r>
        <w:rPr>
          <w:rFonts w:hint="eastAsia" w:ascii="仿宋_GB2312" w:eastAsia="仿宋_GB2312" w:cs="DengXian-Regular"/>
          <w:sz w:val="32"/>
          <w:szCs w:val="32"/>
        </w:rPr>
        <w:t>重点项目绩效评价</w:t>
      </w:r>
      <w:r>
        <w:rPr>
          <w:rFonts w:hint="eastAsia" w:ascii="仿宋_GB2312" w:eastAsia="仿宋_GB2312" w:cs="DengXian-Regular"/>
          <w:sz w:val="32"/>
          <w:szCs w:val="32"/>
          <w:lang w:val="en-US" w:eastAsia="zh-CN"/>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hint="default" w:ascii="仿宋_GB2312" w:eastAsia="仿宋_GB2312" w:cs="DengXian-Regular"/>
          <w:sz w:val="32"/>
          <w:szCs w:val="32"/>
          <w:lang w:val="en-US" w:eastAsia="zh-CN"/>
        </w:rPr>
      </w:pP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w:t>
      </w:r>
      <w:r>
        <w:rPr>
          <w:rFonts w:hint="eastAsia" w:ascii="仿宋_GB2312" w:eastAsia="仿宋_GB2312" w:cs="DengXian-Regular"/>
          <w:sz w:val="32"/>
          <w:szCs w:val="32"/>
          <w:lang w:val="en-US" w:eastAsia="zh-CN"/>
        </w:rPr>
        <w:t>38.76</w:t>
      </w:r>
      <w:r>
        <w:rPr>
          <w:rFonts w:hint="eastAsia" w:ascii="仿宋_GB2312" w:eastAsia="仿宋_GB2312" w:cs="DengXian-Regular"/>
          <w:sz w:val="32"/>
          <w:szCs w:val="32"/>
        </w:rPr>
        <w:t>万元，比年初预算数减少</w:t>
      </w:r>
      <w:r>
        <w:rPr>
          <w:rFonts w:hint="eastAsia" w:ascii="仿宋_GB2312" w:eastAsia="仿宋_GB2312" w:cs="DengXian-Regular"/>
          <w:sz w:val="32"/>
          <w:szCs w:val="32"/>
          <w:lang w:val="en-US" w:eastAsia="zh-CN"/>
        </w:rPr>
        <w:t>7.56</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16</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压缩办公费用，减少单位日常运行费用。</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hint="eastAsia" w:ascii="仿宋_GB2312" w:eastAsia="仿宋_GB2312" w:cs="DengXian-Regular"/>
          <w:sz w:val="32"/>
          <w:szCs w:val="32"/>
          <w:lang w:eastAsia="zh-CN"/>
        </w:rPr>
      </w:pP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部门</w:t>
      </w:r>
      <w:r>
        <w:rPr>
          <w:rFonts w:ascii="仿宋_GB2312" w:eastAsia="仿宋_GB2312" w:cs="DengXian-Regular"/>
          <w:sz w:val="32"/>
          <w:szCs w:val="32"/>
        </w:rPr>
        <w:t>2018</w:t>
      </w:r>
      <w:r>
        <w:rPr>
          <w:rFonts w:hint="eastAsia" w:ascii="仿宋_GB2312" w:eastAsia="仿宋_GB2312" w:cs="DengXian-Regular"/>
          <w:sz w:val="32"/>
          <w:szCs w:val="32"/>
        </w:rPr>
        <w:t>年度政府采购支出总额</w:t>
      </w:r>
      <w:r>
        <w:rPr>
          <w:rFonts w:hint="eastAsia" w:ascii="仿宋_GB2312" w:eastAsia="仿宋_GB2312" w:cs="DengXian-Regular"/>
          <w:sz w:val="32"/>
          <w:szCs w:val="32"/>
          <w:lang w:val="en-US" w:eastAsia="zh-CN"/>
        </w:rPr>
        <w:t>183.2</w:t>
      </w:r>
      <w:r>
        <w:rPr>
          <w:rFonts w:hint="eastAsia" w:ascii="仿宋_GB2312" w:eastAsia="仿宋_GB2312" w:cs="DengXian-Regular"/>
          <w:sz w:val="32"/>
          <w:szCs w:val="32"/>
        </w:rPr>
        <w:t>万元，从采购类型来看，</w:t>
      </w:r>
      <w:r>
        <w:rPr>
          <w:rFonts w:hint="eastAsia" w:ascii="仿宋_GB2312" w:eastAsia="仿宋_GB2312" w:cs="DengXian-Regular"/>
          <w:sz w:val="32"/>
          <w:szCs w:val="32"/>
          <w:lang w:val="en-US" w:eastAsia="zh-CN"/>
        </w:rPr>
        <w:t>全部为</w:t>
      </w:r>
      <w:r>
        <w:rPr>
          <w:rFonts w:hint="eastAsia"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eastAsia="zh-CN"/>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w:t>
      </w:r>
      <w:r>
        <w:rPr>
          <w:rFonts w:hint="eastAsia" w:ascii="仿宋_GB2312" w:eastAsia="仿宋_GB2312" w:cs="DengXian-Regular"/>
          <w:sz w:val="32"/>
          <w:szCs w:val="32"/>
          <w:lang w:val="en-US" w:eastAsia="zh-CN"/>
        </w:rPr>
        <w:t>31</w:t>
      </w:r>
      <w:r>
        <w:rPr>
          <w:rFonts w:hint="eastAsia" w:ascii="仿宋_GB2312" w:eastAsia="仿宋_GB2312" w:cs="DengXian-Regular"/>
          <w:sz w:val="32"/>
          <w:szCs w:val="32"/>
        </w:rPr>
        <w:t>辆，比上年</w:t>
      </w:r>
      <w:r>
        <w:rPr>
          <w:rFonts w:hint="eastAsia" w:ascii="仿宋_GB2312" w:eastAsia="仿宋_GB2312" w:cs="DengXian-Regular"/>
          <w:sz w:val="32"/>
          <w:szCs w:val="32"/>
          <w:lang w:val="en-US" w:eastAsia="zh-CN"/>
        </w:rPr>
        <w:t>无增减车</w:t>
      </w:r>
      <w:r>
        <w:rPr>
          <w:rFonts w:hint="eastAsia" w:ascii="仿宋_GB2312" w:eastAsia="仿宋_GB2312" w:cs="DengXian-Regular"/>
          <w:sz w:val="32"/>
          <w:szCs w:val="32"/>
        </w:rPr>
        <w:t>辆，其中，机要通信用车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14</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15</w:t>
      </w:r>
      <w:r>
        <w:rPr>
          <w:rFonts w:hint="eastAsia" w:ascii="仿宋_GB2312" w:eastAsia="仿宋_GB2312" w:cs="DengXian-Regular"/>
          <w:sz w:val="32"/>
          <w:szCs w:val="32"/>
        </w:rPr>
        <w:t>辆，其他用车主要是</w:t>
      </w:r>
      <w:r>
        <w:rPr>
          <w:rFonts w:hint="eastAsia" w:ascii="仿宋_GB2312" w:eastAsia="仿宋_GB2312" w:cs="DengXian-Regular"/>
          <w:sz w:val="32"/>
          <w:szCs w:val="32"/>
          <w:lang w:val="en-US" w:eastAsia="zh-CN"/>
        </w:rPr>
        <w:t>环卫清扫保洁车、绿环养护车及市政作业车等。</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val="en-US" w:eastAsia="zh-CN"/>
        </w:rPr>
        <w:t>我单位</w:t>
      </w:r>
      <w:r>
        <w:rPr>
          <w:rFonts w:hint="eastAsia" w:ascii="仿宋_GB2312" w:eastAsia="仿宋_GB2312" w:cs="DengXian-Regular"/>
          <w:sz w:val="32"/>
          <w:szCs w:val="32"/>
        </w:rPr>
        <w:t>无收支及结转结余情况。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mc:AlternateContent>
          <mc:Choice Requires="wpg">
            <w:drawing>
              <wp:anchor distT="0" distB="0" distL="114300" distR="114300" simplePos="0" relativeHeight="251687936"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83"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1" name="矩形 13"/>
                        <wps:cNvSpPr/>
                        <wps:spPr>
                          <a:xfrm>
                            <a:off x="4551" y="52615"/>
                            <a:ext cx="8546" cy="1175"/>
                          </a:xfrm>
                          <a:prstGeom prst="rect">
                            <a:avLst/>
                          </a:prstGeom>
                          <a:solidFill>
                            <a:srgbClr val="96DA9D"/>
                          </a:solidFill>
                          <a:ln w="25400">
                            <a:noFill/>
                          </a:ln>
                        </wps:spPr>
                        <wps:bodyPr anchor="ctr" anchorCtr="0" upright="1"/>
                      </wps:wsp>
                      <wps:wsp>
                        <wps:cNvPr id="8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91" o:spid="_x0000_s1026" o:spt="203" style="position:absolute;left:0pt;margin-left:-79.5pt;margin-top:29.3pt;height:43.95pt;width:301.85pt;mso-position-vertical-relative:page;z-index:251687936;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8VeorbAAAACwEA&#10;AA8AAAAAAAAAAQAgAAAAIgAAAGRycy9kb3ducmV2LnhtbFBLAQIUABQAAAAIAIdO4kDawMzAwgIA&#10;ACYHAAAOAAAAAAAAAAEAIAAAACo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bir2TroAAADb&#10;AAAADwAAAGRycy9kb3ducmV2LnhtbEWPQWsCMRSE70L/Q3iF3vRlhRZZjR4KhZ4Kte3B22Pz3Cxu&#10;XpYkruu/bwTB4zAz3zCb3eR7NXJMXRAD1UKDYmmC7aQ18PvzMV+BSpnEUh+EDVw5wW77NNtQbcNF&#10;vnnc51YViKSaDLichxoxNY49pUUYWIp3DNFTLjK2aCNdCtz3uNT6DT11UhYcDfzuuDntz94ARo7o&#10;4nSMhzSesfrSf6/NyZiX50qvQWWe8iN8b39aA6sKbl/KD8D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KvZO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Hxhrb0AAADb&#10;AAAADwAAAGRycy9kb3ducmV2LnhtbEWPT4vCMBTE78J+h/AWvGmqhyLVKCLIroLIamXZ26N5NsXm&#10;pTTx76c3C4LHYWZ+w0xmN1uLC7W+cqxg0E9AEBdOV1wqyPfL3giED8gaa8ek4E4eZtOPzgQz7a78&#10;Q5ddKEWEsM9QgQmhyaT0hSGLvu8a4ugdXWsxRNmWUrd4jXBby2GSpNJixXHBYEMLQ8Vpd7YKtrn5&#10;+8I1/drN+nTI5xWmj1WqVPdzkIxBBLqFd/jV/tYKRkP4/xJ/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fGGt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2"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1"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wps:txbx>
                      <wps:bodyPr upright="1"/>
                    </wps:wsp>
                  </a:graphicData>
                </a:graphic>
              </wp:anchor>
            </w:drawing>
          </mc:Choice>
          <mc:Fallback>
            <w:pict>
              <v:shape id="文本框 22"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DlQJcStwEAAFoDAAAOAAAAAAAAAAEAIAAAAC0BAABkcnMvZTJvRG9jLnht&#10;bFBLBQYAAAAABgAGAFkBAABW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mc:Fallback>
        </mc:AlternateConten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mc:AlternateContent>
          <mc:Choice Requires="wpg">
            <w:drawing>
              <wp:anchor distT="0" distB="0" distL="114300" distR="114300" simplePos="0" relativeHeight="25167052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23"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21" name="矩形 13"/>
                        <wps:cNvSpPr/>
                        <wps:spPr>
                          <a:xfrm>
                            <a:off x="4551" y="52615"/>
                            <a:ext cx="8546" cy="1175"/>
                          </a:xfrm>
                          <a:prstGeom prst="rect">
                            <a:avLst/>
                          </a:prstGeom>
                          <a:solidFill>
                            <a:srgbClr val="96DA9D"/>
                          </a:solidFill>
                          <a:ln w="25400">
                            <a:noFill/>
                          </a:ln>
                        </wps:spPr>
                        <wps:bodyPr anchor="ctr" anchorCtr="0" upright="1"/>
                      </wps:wsp>
                      <wps:wsp>
                        <wps:cNvPr id="2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anchorCtr="0" upright="1"/>
                      </wps:wsp>
                    </wpg:wgp>
                  </a:graphicData>
                </a:graphic>
              </wp:anchor>
            </w:drawing>
          </mc:Choice>
          <mc:Fallback>
            <w:pict>
              <v:group id="组合 149" o:spid="_x0000_s1026" o:spt="203" style="position:absolute;left:0pt;margin-left:-81.05pt;margin-top:39.65pt;height:43.95pt;width:264.85pt;mso-position-vertical-relative:page;z-index:25167052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FjPyb2wAAAAsB&#10;AAAPAAAAAAAAAAEAIAAAACIAAABkcnMvZG93bnJldi54bWxQSwECFAAUAAAACACHTuJA3j5uTcMC&#10;AAAnBwAADgAAAAAAAAABACAAAAAqAQAAZHJzL2Uyb0RvYy54bWxQSwUGAAAAAAYABgBZAQAAXwYA&#10;AAAA&#10;">
                <o:lock v:ext="edit" aspectratio="f"/>
                <v:rect id="矩形 13" o:spid="_x0000_s1026" o:spt="1" style="position:absolute;left:4551;top:52615;height:1175;width:8546;v-text-anchor:middle;" fillcolor="#96DA9D" filled="t" stroked="f" coordsize="21600,21600" o:gfxdata="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TKl0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Bho+l74AAADb&#10;AAAADwAAAGRycy9kb3ducmV2LnhtbEWPT2vCQBTE74V+h+UJvdWNOQRJXYMIUhWk1EbE2yP7zIZk&#10;34bs1j/99G6h0OMwM79hZsXNduJCg28cK5iMExDEldMN1wrKr9XrFIQPyBo7x6TgTh6K+fPTDHPt&#10;rvxJl32oRYSwz1GBCaHPpfSVIYt+7Hri6J3dYDFEOdRSD3iNcNvJNEkyabHhuGCwp6Whqt1/WwUf&#10;pTm945aOdrdtD+Wiwexnkyn1MpokbyAC3cJ/+K+91grSFH6/xB8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o+l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mc:AlternateContent>
          <mc:Choice Requires="wpg">
            <w:drawing>
              <wp:anchor distT="0" distB="0" distL="114300" distR="114300" simplePos="0" relativeHeight="251688960"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86"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84" name="矩形 13"/>
                        <wps:cNvSpPr/>
                        <wps:spPr>
                          <a:xfrm>
                            <a:off x="4551" y="52615"/>
                            <a:ext cx="8546" cy="1175"/>
                          </a:xfrm>
                          <a:prstGeom prst="rect">
                            <a:avLst/>
                          </a:prstGeom>
                          <a:solidFill>
                            <a:srgbClr val="96DA9D"/>
                          </a:solidFill>
                          <a:ln w="25400">
                            <a:noFill/>
                          </a:ln>
                        </wps:spPr>
                        <wps:bodyPr anchor="ctr" anchorCtr="0" upright="1"/>
                      </wps:wsp>
                      <wps:wsp>
                        <wps:cNvPr id="8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anchorCtr="0" upright="1"/>
                      </wps:wsp>
                    </wpg:wgp>
                  </a:graphicData>
                </a:graphic>
              </wp:anchor>
            </w:drawing>
          </mc:Choice>
          <mc:Fallback>
            <w:pict>
              <v:group id="组合 94" o:spid="_x0000_s1026" o:spt="203" style="position:absolute;left:0pt;margin-left:-81.05pt;margin-top:39.65pt;height:43.95pt;width:264.85pt;mso-position-vertical-relative:page;z-index:251688960;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IWM/JvbAAAA&#10;CwEAAA8AAAAAAAAAAQAgAAAAIgAAAGRycy9kb3ducmV2LnhtbFBLAQIUABQAAAAIAIdO4kDKHoTm&#10;xQIAACYHAAAOAAAAAAAAAAEAIAAAACoBAABkcnMvZTJvRG9jLnhtbFBLBQYAAAAABgAGAFkBAABh&#10;BgAAAAA=&#10;">
                <o:lock v:ext="edit" aspectratio="f"/>
                <v:rect id="矩形 13" o:spid="_x0000_s1026" o:spt="1" style="position:absolute;left:4551;top:52615;height:1175;width:8546;v-text-anchor:middle;" fillcolor="#96DA9D" filled="t" stroked="f" coordsize="21600,21600" o:gfxdata="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1V1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5X52b4AAADb&#10;AAAADwAAAGRycy9kb3ducmV2LnhtbEWP3WrCQBSE74W+w3IK3pmNBYOkrlIKpVWQokaKd4fsMRvM&#10;ng3Z9ffp3YLg5TAz3zCT2cU24kSdrx0rGCYpCOLS6ZorBcXmazAG4QOyxsYxKbiSh9n0pTfBXLsz&#10;r+i0DpWIEPY5KjAhtLmUvjRk0SeuJY7e3nUWQ5RdJXWH5wi3jXxL00xarDkuGGzp01B5WB+tgt/C&#10;7L5xQX92uThsi48as9s8U6r/OkzfQQS6hGf40f7RCsYj+P8Sf4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X52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mc:AlternateContent>
          <mc:Choice Requires="wpg">
            <w:drawing>
              <wp:anchor distT="0" distB="0" distL="114300" distR="114300" simplePos="0" relativeHeight="25168998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89"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87" name="矩形 13"/>
                        <wps:cNvSpPr/>
                        <wps:spPr>
                          <a:xfrm>
                            <a:off x="4551" y="52615"/>
                            <a:ext cx="8546" cy="1175"/>
                          </a:xfrm>
                          <a:prstGeom prst="rect">
                            <a:avLst/>
                          </a:prstGeom>
                          <a:solidFill>
                            <a:srgbClr val="96DA9D"/>
                          </a:solidFill>
                          <a:ln w="25400">
                            <a:noFill/>
                          </a:ln>
                        </wps:spPr>
                        <wps:bodyPr anchor="ctr" anchorCtr="0" upright="1"/>
                      </wps:wsp>
                      <wps:wsp>
                        <wps:cNvPr id="8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anchorCtr="0" upright="1"/>
                      </wps:wsp>
                    </wpg:wgp>
                  </a:graphicData>
                </a:graphic>
              </wp:anchor>
            </w:drawing>
          </mc:Choice>
          <mc:Fallback>
            <w:pict>
              <v:group id="组合 97" o:spid="_x0000_s1026" o:spt="203" style="position:absolute;left:0pt;margin-left:-81.05pt;margin-top:39.65pt;height:43.95pt;width:264.85pt;mso-position-vertical-relative:page;z-index:25168998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FjPyb2wAAAAsB&#10;AAAPAAAAAAAAAAEAIAAAACIAAABkcnMvZG93bnJldi54bWxQSwECFAAUAAAACACHTuJAAkV1WMMC&#10;AAAmBwAADgAAAAAAAAABACAAAAAqAQAAZHJzL2Uyb0RvYy54bWxQSwUGAAAAAAYABgBZAQAAXwYA&#10;AAAA&#10;">
                <o:lock v:ext="edit" aspectratio="f"/>
                <v:rect id="矩形 13" o:spid="_x0000_s1026" o:spt="1" style="position:absolute;left:4551;top:52615;height:1175;width:8546;v-text-anchor:middle;" fillcolor="#96DA9D" filled="t" stroked="f" coordsize="21600,21600" o:gfxdata="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Lo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ZRWR7wAAADb&#10;AAAADwAAAGRycy9kb3ducmV2LnhtbEVPy2rCQBTdC/7DcIXudGIXIaSZiBRKW0FKY4q4u2SumWDm&#10;TshMffTrOwvB5eG8i9XV9uJMo+8cK1guEhDEjdMdtwrq3ds8A+EDssbeMSm4kYdVOZ0UmGt34W86&#10;V6EVMYR9jgpMCEMupW8MWfQLNxBH7uhGiyHCsZV6xEsMt718TpJUWuw4Nhgc6NVQc6p+rYKv2hze&#10;cUN7u92cfup1h+nfZ6rU02yZvIAIdA0P8d39oRVkcWz8En+AL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UVke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drawing>
          <wp:anchor distT="0" distB="0" distL="114300" distR="114300" simplePos="0" relativeHeight="251668480"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9"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1" descr="3"/>
                    <pic:cNvPicPr>
                      <a:picLocks noChangeAspect="1"/>
                    </pic:cNvPicPr>
                  </pic:nvPicPr>
                  <pic:blipFill>
                    <a:blip r:embed="rId8"/>
                    <a:stretch>
                      <a:fillRect/>
                    </a:stretch>
                  </pic:blipFill>
                  <pic:spPr>
                    <a:xfrm>
                      <a:off x="0" y="0"/>
                      <a:ext cx="7590155" cy="10735945"/>
                    </a:xfrm>
                    <a:prstGeom prst="rect">
                      <a:avLst/>
                    </a:prstGeom>
                    <a:noFill/>
                    <a:ln>
                      <a:noFill/>
                    </a:ln>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BBAAA58-8E6C-4DF1-AF43-E7047AB50BB1}"/>
  </w:font>
  <w:font w:name="Arial">
    <w:panose1 w:val="020B0604020202020204"/>
    <w:charset w:val="01"/>
    <w:family w:val="swiss"/>
    <w:pitch w:val="default"/>
    <w:sig w:usb0="E0002EFF" w:usb1="C000785B" w:usb2="00000009" w:usb3="00000000" w:csb0="400001FF" w:csb1="FFFF0000"/>
    <w:embedRegular r:id="rId2" w:fontKey="{A164B3CD-5ACA-48D7-94DD-F8416D8FB0A8}"/>
  </w:font>
  <w:font w:name="黑体">
    <w:panose1 w:val="02010609060101010101"/>
    <w:charset w:val="86"/>
    <w:family w:val="auto"/>
    <w:pitch w:val="default"/>
    <w:sig w:usb0="800002BF" w:usb1="38CF7CFA" w:usb2="00000016" w:usb3="00000000" w:csb0="00040001" w:csb1="00000000"/>
    <w:embedRegular r:id="rId3" w:fontKey="{D378E1CB-D1D3-44EF-A726-A425C17E7596}"/>
  </w:font>
  <w:font w:name="Courier New">
    <w:panose1 w:val="02070309020205020404"/>
    <w:charset w:val="01"/>
    <w:family w:val="modern"/>
    <w:pitch w:val="default"/>
    <w:sig w:usb0="E0002EFF" w:usb1="C0007843" w:usb2="00000009" w:usb3="00000000" w:csb0="400001FF" w:csb1="FFFF0000"/>
    <w:embedRegular r:id="rId4" w:fontKey="{E6A80DFD-38CE-4779-8073-5DAC4AA1B07B}"/>
  </w:font>
  <w:font w:name="Symbol">
    <w:panose1 w:val="05050102010706020507"/>
    <w:charset w:val="02"/>
    <w:family w:val="roman"/>
    <w:pitch w:val="default"/>
    <w:sig w:usb0="00000000" w:usb1="00000000" w:usb2="00000000" w:usb3="00000000" w:csb0="80000000" w:csb1="00000000"/>
    <w:embedRegular r:id="rId5" w:fontKey="{793DB3CA-3291-43E5-BCBA-D37D84B3D4C5}"/>
  </w:font>
  <w:font w:name="Calibri">
    <w:panose1 w:val="020F0502020204030204"/>
    <w:charset w:val="00"/>
    <w:family w:val="swiss"/>
    <w:pitch w:val="default"/>
    <w:sig w:usb0="E4002EFF" w:usb1="C000247B" w:usb2="00000009" w:usb3="00000000" w:csb0="200001FF" w:csb1="00000000"/>
    <w:embedRegular r:id="rId6" w:fontKey="{B3BD20F5-08C3-4F35-ACA1-51125A28DC4A}"/>
  </w:font>
  <w:font w:name="Cambria">
    <w:panose1 w:val="02040503050406030204"/>
    <w:charset w:val="00"/>
    <w:family w:val="roman"/>
    <w:pitch w:val="default"/>
    <w:sig w:usb0="E00006FF" w:usb1="420024FF" w:usb2="02000000" w:usb3="00000000" w:csb0="2000019F" w:csb1="00000000"/>
    <w:embedRegular r:id="rId7" w:fontKey="{42A819E6-91CB-42F1-AB96-C71DA62589BB}"/>
  </w:font>
  <w:font w:name="楷体">
    <w:panose1 w:val="02010609060101010101"/>
    <w:charset w:val="86"/>
    <w:family w:val="modern"/>
    <w:pitch w:val="default"/>
    <w:sig w:usb0="800002BF" w:usb1="38CF7CFA" w:usb2="00000016" w:usb3="00000000" w:csb0="00040001" w:csb1="00000000"/>
    <w:embedRegular r:id="rId8" w:fontKey="{14DA24CB-FEE0-4D3C-B975-9B343FA23521}"/>
  </w:font>
  <w:font w:name="MS Gothic">
    <w:panose1 w:val="020B0609070205080204"/>
    <w:charset w:val="80"/>
    <w:family w:val="modern"/>
    <w:pitch w:val="default"/>
    <w:sig w:usb0="E00002FF" w:usb1="6AC7FDFB" w:usb2="08000012" w:usb3="00000000" w:csb0="4002009F" w:csb1="DFD70000"/>
    <w:embedRegular r:id="rId9" w:fontKey="{D1354AD4-A8C3-433D-9AAB-165254109DAF}"/>
  </w:font>
  <w:font w:name="仿宋_GB2312">
    <w:panose1 w:val="02010609030101010101"/>
    <w:charset w:val="86"/>
    <w:family w:val="modern"/>
    <w:pitch w:val="default"/>
    <w:sig w:usb0="00000001" w:usb1="080E0000" w:usb2="00000000" w:usb3="00000000" w:csb0="00040000" w:csb1="00000000"/>
    <w:embedRegular r:id="rId10" w:fontKey="{DF456B52-4F8D-4E20-ADB6-20ACAD29971A}"/>
  </w:font>
  <w:font w:name="ArialUnicodeMS">
    <w:altName w:val="Malgun Gothic"/>
    <w:panose1 w:val="00000000000000000000"/>
    <w:charset w:val="81"/>
    <w:family w:val="auto"/>
    <w:pitch w:val="default"/>
    <w:sig w:usb0="00000000" w:usb1="00000000" w:usb2="00000010" w:usb3="00000000" w:csb0="00080000" w:csb1="00000000"/>
    <w:embedRegular r:id="rId11" w:fontKey="{717C0D99-9450-49FA-A881-98029A0BF82D}"/>
  </w:font>
  <w:font w:name="MS-UIGothic,Bold">
    <w:altName w:val="Malgun Gothic"/>
    <w:panose1 w:val="00000000000000000000"/>
    <w:charset w:val="81"/>
    <w:family w:val="auto"/>
    <w:pitch w:val="default"/>
    <w:sig w:usb0="00000000" w:usb1="00000000" w:usb2="00000010" w:usb3="00000000" w:csb0="00080000" w:csb1="00000000"/>
    <w:embedRegular r:id="rId12" w:fontKey="{BDD214A6-F108-4335-8B99-AAC0EBB7A1DE}"/>
  </w:font>
  <w:font w:name="DengXian-Regular">
    <w:altName w:val="宋体"/>
    <w:panose1 w:val="00000000000000000000"/>
    <w:charset w:val="86"/>
    <w:family w:val="auto"/>
    <w:pitch w:val="default"/>
    <w:sig w:usb0="00000000" w:usb1="00000000" w:usb2="00000010" w:usb3="00000000" w:csb0="00040000" w:csb1="00000000"/>
    <w:embedRegular r:id="rId13" w:fontKey="{DCD10CF2-E5C9-4772-8821-07F7EF0F9CEA}"/>
  </w:font>
  <w:font w:name="楷体_GB2312">
    <w:panose1 w:val="02010609030101010101"/>
    <w:charset w:val="86"/>
    <w:family w:val="auto"/>
    <w:pitch w:val="default"/>
    <w:sig w:usb0="00000001" w:usb1="080E0000" w:usb2="00000000" w:usb3="00000000" w:csb0="00040000" w:csb1="00000000"/>
    <w:embedRegular r:id="rId14" w:fontKey="{B798195D-A99E-4B3F-A647-CF0000A141C7}"/>
  </w:font>
  <w:font w:name="DengXian-Bold">
    <w:altName w:val="宋体"/>
    <w:panose1 w:val="00000000000000000000"/>
    <w:charset w:val="86"/>
    <w:family w:val="auto"/>
    <w:pitch w:val="default"/>
    <w:sig w:usb0="00000000" w:usb1="00000000" w:usb2="00000010" w:usb3="00000000" w:csb0="00040000" w:csb1="00000000"/>
    <w:embedRegular r:id="rId15" w:fontKey="{B10DC751-ABAD-4AE9-B415-446D2942ED7A}"/>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C74F87"/>
    <w:multiLevelType w:val="singleLevel"/>
    <w:tmpl w:val="69C74F87"/>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wMTQ2ODg1MTZkMzVlYWY5ZTQyMTEyMDU1NzJlMTIifQ=="/>
  </w:docVars>
  <w:rsids>
    <w:rsidRoot w:val="003C1413"/>
    <w:rsid w:val="00024E7F"/>
    <w:rsid w:val="000475A0"/>
    <w:rsid w:val="000838C3"/>
    <w:rsid w:val="000B2446"/>
    <w:rsid w:val="000D7C65"/>
    <w:rsid w:val="000E2F81"/>
    <w:rsid w:val="00117946"/>
    <w:rsid w:val="00117E2C"/>
    <w:rsid w:val="00146C47"/>
    <w:rsid w:val="00152FB8"/>
    <w:rsid w:val="00176658"/>
    <w:rsid w:val="0018239E"/>
    <w:rsid w:val="001A29BD"/>
    <w:rsid w:val="001B3410"/>
    <w:rsid w:val="001C030D"/>
    <w:rsid w:val="001C4A84"/>
    <w:rsid w:val="001E5902"/>
    <w:rsid w:val="00233705"/>
    <w:rsid w:val="002455AB"/>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23803"/>
    <w:rsid w:val="00641318"/>
    <w:rsid w:val="0064405D"/>
    <w:rsid w:val="00695557"/>
    <w:rsid w:val="006D4EA7"/>
    <w:rsid w:val="0070012A"/>
    <w:rsid w:val="0070664B"/>
    <w:rsid w:val="007071B8"/>
    <w:rsid w:val="007414DE"/>
    <w:rsid w:val="007905A9"/>
    <w:rsid w:val="007B0E8E"/>
    <w:rsid w:val="007E5500"/>
    <w:rsid w:val="007F055B"/>
    <w:rsid w:val="00811C2F"/>
    <w:rsid w:val="00833D46"/>
    <w:rsid w:val="00840A97"/>
    <w:rsid w:val="008C0149"/>
    <w:rsid w:val="008D5DED"/>
    <w:rsid w:val="008E25CA"/>
    <w:rsid w:val="008F34FC"/>
    <w:rsid w:val="00922643"/>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3300C"/>
    <w:rsid w:val="00B56722"/>
    <w:rsid w:val="00B74D39"/>
    <w:rsid w:val="00B91DA4"/>
    <w:rsid w:val="00C12630"/>
    <w:rsid w:val="00C34562"/>
    <w:rsid w:val="00C3774E"/>
    <w:rsid w:val="00C57456"/>
    <w:rsid w:val="00C65387"/>
    <w:rsid w:val="00C87FAB"/>
    <w:rsid w:val="00C91FF7"/>
    <w:rsid w:val="00C94E53"/>
    <w:rsid w:val="00CC46BD"/>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C4766"/>
    <w:rsid w:val="00FD3BD5"/>
    <w:rsid w:val="00FE3DC8"/>
    <w:rsid w:val="04073F84"/>
    <w:rsid w:val="087431CA"/>
    <w:rsid w:val="0B60750A"/>
    <w:rsid w:val="0BD551A6"/>
    <w:rsid w:val="0DDA3028"/>
    <w:rsid w:val="10686488"/>
    <w:rsid w:val="10DF728A"/>
    <w:rsid w:val="1264200E"/>
    <w:rsid w:val="13DE55BF"/>
    <w:rsid w:val="13EB4D3E"/>
    <w:rsid w:val="141C5B77"/>
    <w:rsid w:val="18D8339D"/>
    <w:rsid w:val="18F97980"/>
    <w:rsid w:val="19FA67E1"/>
    <w:rsid w:val="1A21388F"/>
    <w:rsid w:val="1A570D2F"/>
    <w:rsid w:val="1BCA6A4E"/>
    <w:rsid w:val="1BD85DBB"/>
    <w:rsid w:val="1EBF1F75"/>
    <w:rsid w:val="1FBC0099"/>
    <w:rsid w:val="243566AC"/>
    <w:rsid w:val="263F1B35"/>
    <w:rsid w:val="267349E1"/>
    <w:rsid w:val="28CC70C1"/>
    <w:rsid w:val="28FB0B8D"/>
    <w:rsid w:val="2D2B7942"/>
    <w:rsid w:val="2D46481D"/>
    <w:rsid w:val="2E733B28"/>
    <w:rsid w:val="31852B5A"/>
    <w:rsid w:val="32D01238"/>
    <w:rsid w:val="339F1633"/>
    <w:rsid w:val="34ED1F9B"/>
    <w:rsid w:val="370662F9"/>
    <w:rsid w:val="38570AA3"/>
    <w:rsid w:val="39726E2D"/>
    <w:rsid w:val="3B2D3EA3"/>
    <w:rsid w:val="3B671DFD"/>
    <w:rsid w:val="3C2B2CB7"/>
    <w:rsid w:val="3DFC59A8"/>
    <w:rsid w:val="3ECF245E"/>
    <w:rsid w:val="3FB96314"/>
    <w:rsid w:val="429B517F"/>
    <w:rsid w:val="42E37B76"/>
    <w:rsid w:val="438B6350"/>
    <w:rsid w:val="450067CA"/>
    <w:rsid w:val="46DA62FE"/>
    <w:rsid w:val="499A2CF0"/>
    <w:rsid w:val="4C521C14"/>
    <w:rsid w:val="53A44FAF"/>
    <w:rsid w:val="55AA40A2"/>
    <w:rsid w:val="568F283D"/>
    <w:rsid w:val="594329EC"/>
    <w:rsid w:val="5BEE1540"/>
    <w:rsid w:val="5DE61A5D"/>
    <w:rsid w:val="61FC0A9B"/>
    <w:rsid w:val="63C04243"/>
    <w:rsid w:val="649C01C7"/>
    <w:rsid w:val="699A3F60"/>
    <w:rsid w:val="6CA17D04"/>
    <w:rsid w:val="6D9A79CF"/>
    <w:rsid w:val="6E3B5352"/>
    <w:rsid w:val="70836AAA"/>
    <w:rsid w:val="727813EA"/>
    <w:rsid w:val="72902E62"/>
    <w:rsid w:val="73234FE1"/>
    <w:rsid w:val="73C61104"/>
    <w:rsid w:val="776452EA"/>
    <w:rsid w:val="7DC663B9"/>
    <w:rsid w:val="7FD21032"/>
    <w:rsid w:val="7FFB3855"/>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qFormat/>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Heading 1 Char"/>
    <w:basedOn w:val="14"/>
    <w:link w:val="2"/>
    <w:qFormat/>
    <w:locked/>
    <w:uiPriority w:val="99"/>
    <w:rPr>
      <w:rFonts w:ascii="Times New Roman" w:hAnsi="Times New Roman" w:eastAsia="宋体" w:cs="Times New Roman"/>
      <w:b/>
      <w:bCs/>
      <w:kern w:val="44"/>
      <w:sz w:val="44"/>
      <w:szCs w:val="44"/>
    </w:rPr>
  </w:style>
  <w:style w:type="character" w:customStyle="1" w:styleId="16">
    <w:name w:val="Heading 2 Char"/>
    <w:basedOn w:val="14"/>
    <w:link w:val="3"/>
    <w:qFormat/>
    <w:locked/>
    <w:uiPriority w:val="99"/>
    <w:rPr>
      <w:rFonts w:ascii="Calibri" w:hAnsi="Calibri" w:eastAsia="宋体" w:cs="Times New Roman"/>
      <w:b/>
      <w:bCs/>
      <w:sz w:val="32"/>
      <w:szCs w:val="32"/>
    </w:rPr>
  </w:style>
  <w:style w:type="character" w:customStyle="1" w:styleId="17">
    <w:name w:val="Heading 3 Char"/>
    <w:basedOn w:val="14"/>
    <w:link w:val="4"/>
    <w:qFormat/>
    <w:locked/>
    <w:uiPriority w:val="99"/>
    <w:rPr>
      <w:rFonts w:ascii="Times New Roman" w:hAnsi="Times New Roman" w:eastAsia="宋体" w:cs="Times New Roman"/>
      <w:b/>
      <w:bCs/>
      <w:sz w:val="32"/>
      <w:szCs w:val="32"/>
    </w:rPr>
  </w:style>
  <w:style w:type="character" w:customStyle="1" w:styleId="18">
    <w:name w:val="Heading 4 Char"/>
    <w:basedOn w:val="14"/>
    <w:link w:val="5"/>
    <w:qFormat/>
    <w:locked/>
    <w:uiPriority w:val="99"/>
    <w:rPr>
      <w:rFonts w:ascii="Calibri" w:hAnsi="Calibri" w:eastAsia="宋体" w:cs="Times New Roman"/>
      <w:b/>
      <w:bCs/>
      <w:sz w:val="28"/>
      <w:szCs w:val="28"/>
    </w:rPr>
  </w:style>
  <w:style w:type="character" w:customStyle="1" w:styleId="19">
    <w:name w:val="Date Char"/>
    <w:basedOn w:val="14"/>
    <w:link w:val="6"/>
    <w:semiHidden/>
    <w:qFormat/>
    <w:locked/>
    <w:uiPriority w:val="99"/>
    <w:rPr>
      <w:rFonts w:ascii="Times New Roman" w:hAnsi="Times New Roman" w:eastAsia="宋体" w:cs="Times New Roman"/>
      <w:sz w:val="24"/>
      <w:szCs w:val="24"/>
    </w:rPr>
  </w:style>
  <w:style w:type="character" w:customStyle="1" w:styleId="20">
    <w:name w:val="Balloon Text Char"/>
    <w:basedOn w:val="14"/>
    <w:link w:val="7"/>
    <w:semiHidden/>
    <w:qFormat/>
    <w:locked/>
    <w:uiPriority w:val="99"/>
    <w:rPr>
      <w:rFonts w:ascii="Times New Roman" w:hAnsi="Times New Roman" w:eastAsia="宋体" w:cs="Times New Roman"/>
      <w:sz w:val="18"/>
      <w:szCs w:val="18"/>
    </w:rPr>
  </w:style>
  <w:style w:type="character" w:customStyle="1" w:styleId="21">
    <w:name w:val="Footer Char"/>
    <w:basedOn w:val="14"/>
    <w:link w:val="8"/>
    <w:qFormat/>
    <w:locked/>
    <w:uiPriority w:val="99"/>
    <w:rPr>
      <w:rFonts w:cs="Times New Roman"/>
      <w:sz w:val="18"/>
      <w:szCs w:val="18"/>
    </w:rPr>
  </w:style>
  <w:style w:type="character" w:customStyle="1" w:styleId="22">
    <w:name w:val="Header Char"/>
    <w:basedOn w:val="14"/>
    <w:link w:val="9"/>
    <w:qFormat/>
    <w:locked/>
    <w:uiPriority w:val="99"/>
    <w:rPr>
      <w:rFonts w:cs="Times New Roman"/>
      <w:sz w:val="18"/>
      <w:szCs w:val="18"/>
    </w:rPr>
  </w:style>
  <w:style w:type="character" w:customStyle="1" w:styleId="23">
    <w:name w:val="Subtitle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Title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6">
    <w:name w:val="No Spacing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33</Pages>
  <Words>1623</Words>
  <Characters>9257</Characters>
  <Lines>0</Lines>
  <Paragraphs>0</Paragraphs>
  <TotalTime>1</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lenovo</cp:lastModifiedBy>
  <cp:lastPrinted>2021-05-08T01:28:00Z</cp:lastPrinted>
  <dcterms:modified xsi:type="dcterms:W3CDTF">2023-11-17T03:13:07Z</dcterms:modified>
  <dc:subject>石家庄市xxx部门</dc:subject>
  <dc:title>2017年度部门决算</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66AE4C3E9B6148DB94CD836AD8A9960A</vt:lpwstr>
  </property>
</Properties>
</file>