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72"/>
          <w:szCs w:val="96"/>
        </w:rPr>
      </w:pPr>
      <w:r>
        <w:drawing>
          <wp:inline distT="0" distB="0" distL="0" distR="0">
            <wp:extent cx="7132955" cy="8692515"/>
            <wp:effectExtent l="19050" t="0" r="0" b="0"/>
            <wp:docPr id="2" name="图片 2" descr="C:\Users\Administrator\Desktop\微信图片_20220830100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微信图片_20220830100749.jpg"/>
                    <pic:cNvPicPr>
                      <a:picLocks noChangeAspect="1" noChangeArrowheads="1"/>
                    </pic:cNvPicPr>
                  </pic:nvPicPr>
                  <pic:blipFill>
                    <a:blip r:embed="rId13" cstate="print"/>
                    <a:srcRect/>
                    <a:stretch>
                      <a:fillRect/>
                    </a:stretch>
                  </pic:blipFill>
                  <pic:spPr>
                    <a:xfrm>
                      <a:off x="0" y="0"/>
                      <a:ext cx="7136923" cy="8697299"/>
                    </a:xfrm>
                    <a:prstGeom prst="rect">
                      <a:avLst/>
                    </a:prstGeom>
                    <a:ln>
                      <a:noFill/>
                    </a:ln>
                    <a:effectLst>
                      <a:softEdge rad="112500"/>
                    </a:effectLst>
                  </pic:spPr>
                </pic:pic>
              </a:graphicData>
            </a:graphic>
          </wp:inline>
        </w:drawing>
      </w:r>
      <w:r>
        <w:br w:type="page"/>
      </w: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4"/>
          <w:szCs w:val="44"/>
          <w:highlight w:val="yellow"/>
        </w:rPr>
      </w:pPr>
      <w:r>
        <w:rPr>
          <w:rFonts w:hint="eastAsia" w:ascii="楷体_GB2312" w:hAnsi="楷体_GB2312" w:eastAsia="楷体_GB2312" w:cs="楷体_GB2312"/>
          <w:color w:val="000000" w:themeColor="text1"/>
          <w:kern w:val="0"/>
          <w:sz w:val="44"/>
          <w:szCs w:val="44"/>
        </w:rPr>
        <w:t>保定市满城区博物馆</w:t>
      </w:r>
    </w:p>
    <w:p>
      <w:pPr>
        <w:snapToGrid w:val="0"/>
        <w:jc w:val="center"/>
        <w:rPr>
          <w:rFonts w:ascii="楷体_GB2312" w:hAnsi="楷体_GB2312" w:eastAsia="楷体_GB2312" w:cs="楷体_GB2312"/>
          <w:color w:val="000000" w:themeColor="text1"/>
          <w:kern w:val="0"/>
          <w:sz w:val="40"/>
          <w:szCs w:val="40"/>
        </w:rPr>
      </w:pPr>
      <w:r>
        <w:rPr>
          <w:rFonts w:hint="eastAsia" w:ascii="楷体_GB2312" w:hAnsi="楷体_GB2312" w:eastAsia="楷体_GB2312" w:cs="楷体_GB2312"/>
          <w:color w:val="000000" w:themeColor="text1"/>
          <w:kern w:val="0"/>
          <w:sz w:val="40"/>
          <w:szCs w:val="40"/>
        </w:rPr>
        <w:t>二〇二一年九月</w:t>
      </w:r>
    </w:p>
    <w:p>
      <w:pPr>
        <w:snapToGrid w:val="0"/>
        <w:jc w:val="center"/>
        <w:rPr>
          <w:rFonts w:ascii="楷体_GB2312" w:hAnsi="楷体_GB2312" w:eastAsia="楷体_GB2312" w:cs="楷体_GB2312"/>
          <w:color w:val="000000" w:themeColor="text1"/>
          <w:kern w:val="0"/>
          <w:sz w:val="40"/>
          <w:szCs w:val="40"/>
        </w:rPr>
      </w:pPr>
    </w:p>
    <w:p>
      <w:pPr>
        <w:snapToGrid w:val="0"/>
        <w:jc w:val="center"/>
        <w:rPr>
          <w:rFonts w:ascii="楷体_GB2312" w:hAnsi="楷体_GB2312" w:eastAsia="楷体_GB2312" w:cs="楷体_GB2312"/>
          <w:b/>
          <w:color w:val="000000" w:themeColor="text1"/>
          <w:kern w:val="0"/>
          <w:sz w:val="72"/>
          <w:szCs w:val="72"/>
          <w:highlight w:val="yellow"/>
        </w:rPr>
      </w:pPr>
      <w:r>
        <w:rPr>
          <w:rFonts w:hint="eastAsia" w:ascii="楷体_GB2312" w:hAnsi="楷体_GB2312" w:eastAsia="楷体_GB2312" w:cs="楷体_GB2312"/>
          <w:b/>
          <w:color w:val="000000" w:themeColor="text1"/>
          <w:kern w:val="0"/>
          <w:sz w:val="72"/>
          <w:szCs w:val="72"/>
        </w:rPr>
        <w:t>保定市满城区博物馆</w:t>
      </w:r>
    </w:p>
    <w:p>
      <w:pP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0"/>
          <w:szCs w:val="40"/>
        </w:rPr>
      </w:pPr>
    </w:p>
    <w:p>
      <w:pPr>
        <w:snapToGrid w:val="0"/>
        <w:jc w:val="center"/>
        <w:rPr>
          <w:rFonts w:ascii="楷体_GB2312" w:hAnsi="楷体_GB2312" w:eastAsia="楷体_GB2312" w:cs="楷体_GB2312"/>
          <w:color w:val="000000" w:themeColor="text1"/>
          <w:kern w:val="0"/>
          <w:sz w:val="40"/>
          <w:szCs w:val="40"/>
        </w:rPr>
      </w:pPr>
    </w:p>
    <w:p>
      <w:pPr>
        <w:snapToGrid w:val="0"/>
        <w:jc w:val="center"/>
        <w:rPr>
          <w:rFonts w:ascii="楷体_GB2312" w:hAnsi="楷体_GB2312" w:eastAsia="楷体_GB2312" w:cs="楷体_GB2312"/>
          <w:color w:val="000000" w:themeColor="text1"/>
          <w:kern w:val="0"/>
          <w:sz w:val="40"/>
          <w:szCs w:val="40"/>
        </w:rPr>
      </w:pPr>
    </w:p>
    <w:p>
      <w:pPr>
        <w:snapToGrid w:val="0"/>
        <w:jc w:val="center"/>
        <w:rPr>
          <w:rFonts w:ascii="楷体_GB2312" w:hAnsi="楷体_GB2312" w:eastAsia="楷体_GB2312" w:cs="楷体_GB2312"/>
          <w:color w:val="000000" w:themeColor="text1"/>
          <w:kern w:val="0"/>
          <w:sz w:val="40"/>
          <w:szCs w:val="40"/>
        </w:rPr>
        <w:sectPr>
          <w:pgSz w:w="11906" w:h="16838"/>
          <w:pgMar w:top="2098" w:right="1531" w:bottom="1984"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0"/>
          <w:szCs w:val="40"/>
        </w:rPr>
        <w:t>二〇二一年九月</w:t>
      </w:r>
    </w:p>
    <w:p>
      <w:pPr>
        <w:snapToGrid w:val="0"/>
        <w:jc w:val="center"/>
        <w:rPr>
          <w:rFonts w:ascii="楷体_GB2312" w:hAnsi="楷体_GB2312" w:eastAsia="楷体_GB2312" w:cs="楷体_GB2312"/>
          <w:color w:val="000000" w:themeColor="text1"/>
          <w:kern w:val="0"/>
          <w:sz w:val="40"/>
          <w:szCs w:val="40"/>
        </w:rPr>
        <w:sectPr>
          <w:headerReference r:id="rId4" w:type="first"/>
          <w:footerReference r:id="rId5" w:type="first"/>
          <w:headerReference r:id="rId3" w:type="default"/>
          <w:pgSz w:w="11906" w:h="16838"/>
          <w:pgMar w:top="2098" w:right="1531" w:bottom="1984" w:left="1531" w:header="851" w:footer="992" w:gutter="0"/>
          <w:cols w:space="0" w:num="1"/>
          <w:titlePg/>
          <w:docGrid w:type="lines" w:linePitch="312" w:charSpace="0"/>
        </w:sect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line="64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line="6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年部门决算情况说明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line="64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widowControl/>
        <w:spacing w:line="64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 xml:space="preserve">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7" w:type="first"/>
          <w:footerReference r:id="rId9" w:type="first"/>
          <w:headerReference r:id="rId6" w:type="default"/>
          <w:footerReference r:id="rId8" w:type="default"/>
          <w:type w:val="continuous"/>
          <w:pgSz w:w="11906" w:h="16838"/>
          <w:pgMar w:top="2098" w:right="1531" w:bottom="1984"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w:pict>
          <v:shape id="_x0000_s1026" o:spid="_x0000_s1026" o:spt="202" type="#_x0000_t202" style="position:absolute;left:0pt;margin-left:-85.7pt;margin-top:80.7pt;height:263.1pt;width:613.65pt;z-index:251659264;v-text-anchor:middle;mso-width-relative:page;mso-height-relative:page;" fillcolor="#7F7F7F" filled="t" stroked="t" coordsize="21600,21600" o:gfxdata="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Df95gjcAAAADQEAAA8AAAAAAAAAAQAgAAAAIgAAAGRycy9kb3ducmV2Lnht&#10;bFBLAQIUABQAAAAIAIdO4kCP8Fn4oAIAAHEFAAAOAAAAAAAAAAEAIAAAACsBAABkcnMvZTJvRG9j&#10;LnhtbFBLBQYAAAAABgAGAFkBAAA9BgAAAAA=&#10;">
            <v:path/>
            <v:fill type="pattern" on="t" o:title="5%" focussize="0,0" r:id="rId14"/>
            <v:stroke weight="1pt" color="#A6A6A6" joinstyle="round"/>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第一部分  部门概况</w:t>
                  </w:r>
                </w:p>
              </w:txbxContent>
            </v:textbox>
          </v:shape>
        </w:pic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ind w:firstLine="560" w:firstLineChars="200"/>
        <w:rPr>
          <w:rFonts w:ascii="宋体" w:hAnsi="宋体" w:cs="宋体"/>
          <w:sz w:val="28"/>
          <w:szCs w:val="28"/>
        </w:rPr>
      </w:pPr>
      <w:r>
        <w:rPr>
          <w:rFonts w:hint="eastAsia" w:ascii="宋体" w:hAnsi="宋体" w:cs="宋体"/>
          <w:sz w:val="28"/>
          <w:szCs w:val="28"/>
        </w:rPr>
        <w:t>我单位负责全区行政区域内的文物业务工作，研究指导文物保护与抢救工作;负责全区文物库房、田野文物安全保卫工作、负责制定管理文物的办法和文物对外交流工作；负责对地上、地下文物以及古建筑、古石刻、古代艺术品的收集、修复、鉴定、保护管理工作等等。</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从决算编报单位构成看，纳入20</w:t>
      </w:r>
      <w:r>
        <w:rPr>
          <w:rFonts w:ascii="仿宋_GB2312" w:hAnsi="Calibri" w:eastAsia="仿宋_GB2312" w:cs="Arial Black"/>
          <w:kern w:val="0"/>
          <w:sz w:val="32"/>
          <w:szCs w:val="32"/>
        </w:rPr>
        <w:t>20</w:t>
      </w:r>
      <w:r>
        <w:rPr>
          <w:rFonts w:hint="eastAsia" w:ascii="仿宋_GB2312" w:hAnsi="Calibri" w:eastAsia="仿宋_GB2312" w:cs="Arial Black"/>
          <w:kern w:val="0"/>
          <w:sz w:val="32"/>
          <w:szCs w:val="32"/>
        </w:rPr>
        <w:t>年度本部门决算汇编范围的独立核算单位（以下简称“单位”）共 1 个，具体情况如下：</w:t>
      </w:r>
    </w:p>
    <w:tbl>
      <w:tblPr>
        <w:tblStyle w:val="8"/>
        <w:tblpPr w:leftFromText="180" w:rightFromText="180" w:vertAnchor="text" w:horzAnchor="page" w:tblpXSpec="center" w:tblpY="10"/>
        <w:tblOverlap w:val="never"/>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577"/>
        <w:gridCol w:w="2404"/>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817"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序号</w:t>
            </w:r>
          </w:p>
        </w:tc>
        <w:tc>
          <w:tcPr>
            <w:tcW w:w="3577"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单位名称</w:t>
            </w:r>
          </w:p>
        </w:tc>
        <w:tc>
          <w:tcPr>
            <w:tcW w:w="2404"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单位基本性质</w:t>
            </w:r>
          </w:p>
        </w:tc>
        <w:tc>
          <w:tcPr>
            <w:tcW w:w="2622"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817"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1</w:t>
            </w:r>
          </w:p>
        </w:tc>
        <w:tc>
          <w:tcPr>
            <w:tcW w:w="3577" w:type="dxa"/>
          </w:tcPr>
          <w:p>
            <w:pPr>
              <w:spacing w:line="560" w:lineRule="exact"/>
              <w:rPr>
                <w:rFonts w:ascii="仿宋_GB2312" w:hAnsi="Calibri" w:eastAsia="仿宋_GB2312" w:cs="Arial Black"/>
                <w:kern w:val="0"/>
                <w:sz w:val="28"/>
                <w:szCs w:val="28"/>
              </w:rPr>
            </w:pPr>
            <w:r>
              <w:rPr>
                <w:rFonts w:hint="eastAsia" w:ascii="仿宋_GB2312" w:hAnsi="Calibri" w:eastAsia="仿宋_GB2312" w:cs="Arial Black"/>
                <w:kern w:val="0"/>
                <w:sz w:val="28"/>
                <w:szCs w:val="28"/>
              </w:rPr>
              <w:t>保定市满城区博物馆</w:t>
            </w:r>
          </w:p>
        </w:tc>
        <w:tc>
          <w:tcPr>
            <w:tcW w:w="2404"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财政补助事业单位</w:t>
            </w:r>
          </w:p>
        </w:tc>
        <w:tc>
          <w:tcPr>
            <w:tcW w:w="2622"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817"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2</w:t>
            </w:r>
          </w:p>
        </w:tc>
        <w:tc>
          <w:tcPr>
            <w:tcW w:w="3577" w:type="dxa"/>
          </w:tcPr>
          <w:p>
            <w:pPr>
              <w:spacing w:line="560" w:lineRule="exact"/>
              <w:rPr>
                <w:rFonts w:ascii="仿宋_GB2312" w:hAnsi="Calibri" w:eastAsia="仿宋_GB2312" w:cs="Arial Black"/>
                <w:kern w:val="0"/>
                <w:sz w:val="28"/>
                <w:szCs w:val="28"/>
              </w:rPr>
            </w:pPr>
          </w:p>
        </w:tc>
        <w:tc>
          <w:tcPr>
            <w:tcW w:w="2404" w:type="dxa"/>
          </w:tcPr>
          <w:p>
            <w:pPr>
              <w:spacing w:line="560" w:lineRule="exact"/>
              <w:jc w:val="center"/>
              <w:rPr>
                <w:rFonts w:ascii="仿宋_GB2312" w:hAnsi="Calibri" w:eastAsia="仿宋_GB2312" w:cs="Arial Black"/>
                <w:kern w:val="0"/>
                <w:sz w:val="28"/>
                <w:szCs w:val="28"/>
              </w:rPr>
            </w:pPr>
          </w:p>
        </w:tc>
        <w:tc>
          <w:tcPr>
            <w:tcW w:w="2622" w:type="dxa"/>
          </w:tcPr>
          <w:p>
            <w:pPr>
              <w:spacing w:line="560" w:lineRule="exact"/>
              <w:jc w:val="center"/>
              <w:rPr>
                <w:rFonts w:ascii="仿宋_GB2312" w:hAnsi="Calibri" w:eastAsia="仿宋_GB2312" w:cs="Arial Blac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817"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3</w:t>
            </w:r>
          </w:p>
        </w:tc>
        <w:tc>
          <w:tcPr>
            <w:tcW w:w="3577" w:type="dxa"/>
          </w:tcPr>
          <w:p>
            <w:pPr>
              <w:spacing w:line="560" w:lineRule="exact"/>
              <w:rPr>
                <w:rFonts w:ascii="仿宋_GB2312" w:hAnsi="Calibri" w:eastAsia="仿宋_GB2312" w:cs="Arial Black"/>
                <w:kern w:val="0"/>
                <w:sz w:val="28"/>
                <w:szCs w:val="28"/>
              </w:rPr>
            </w:pPr>
          </w:p>
        </w:tc>
        <w:tc>
          <w:tcPr>
            <w:tcW w:w="2404" w:type="dxa"/>
          </w:tcPr>
          <w:p>
            <w:pPr>
              <w:spacing w:line="560" w:lineRule="exact"/>
              <w:jc w:val="center"/>
              <w:rPr>
                <w:rFonts w:ascii="仿宋_GB2312" w:hAnsi="Calibri" w:eastAsia="仿宋_GB2312" w:cs="Arial Black"/>
                <w:kern w:val="0"/>
                <w:sz w:val="28"/>
                <w:szCs w:val="28"/>
              </w:rPr>
            </w:pPr>
          </w:p>
        </w:tc>
        <w:tc>
          <w:tcPr>
            <w:tcW w:w="2622" w:type="dxa"/>
          </w:tcPr>
          <w:p>
            <w:pPr>
              <w:spacing w:line="560" w:lineRule="exact"/>
              <w:jc w:val="center"/>
              <w:rPr>
                <w:rFonts w:ascii="仿宋_GB2312" w:hAnsi="Calibri" w:eastAsia="仿宋_GB2312" w:cs="Arial Blac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17" w:type="dxa"/>
            <w:tcBorders>
              <w:bottom w:val="single" w:color="auto" w:sz="4" w:space="0"/>
            </w:tcBorders>
          </w:tcPr>
          <w:p>
            <w:pPr>
              <w:spacing w:line="560" w:lineRule="exact"/>
              <w:jc w:val="center"/>
              <w:rPr>
                <w:rFonts w:ascii="仿宋_GB2312" w:hAnsi="Calibri" w:eastAsia="仿宋_GB2312" w:cs="Arial Black"/>
                <w:kern w:val="0"/>
                <w:sz w:val="28"/>
                <w:szCs w:val="28"/>
              </w:rPr>
            </w:pPr>
          </w:p>
        </w:tc>
        <w:tc>
          <w:tcPr>
            <w:tcW w:w="3577" w:type="dxa"/>
            <w:tcBorders>
              <w:bottom w:val="single" w:color="auto" w:sz="4" w:space="0"/>
            </w:tcBorders>
          </w:tcPr>
          <w:p>
            <w:pPr>
              <w:spacing w:line="560" w:lineRule="exact"/>
              <w:rPr>
                <w:rFonts w:ascii="仿宋_GB2312" w:hAnsi="Calibri" w:eastAsia="仿宋_GB2312" w:cs="Arial Black"/>
                <w:kern w:val="0"/>
                <w:sz w:val="28"/>
                <w:szCs w:val="28"/>
              </w:rPr>
            </w:pPr>
          </w:p>
        </w:tc>
        <w:tc>
          <w:tcPr>
            <w:tcW w:w="2404" w:type="dxa"/>
            <w:tcBorders>
              <w:bottom w:val="single" w:color="auto" w:sz="4" w:space="0"/>
            </w:tcBorders>
          </w:tcPr>
          <w:p>
            <w:pPr>
              <w:spacing w:line="560" w:lineRule="exact"/>
              <w:jc w:val="center"/>
              <w:rPr>
                <w:rFonts w:ascii="仿宋_GB2312" w:hAnsi="Calibri" w:eastAsia="仿宋_GB2312" w:cs="Arial Black"/>
                <w:kern w:val="0"/>
                <w:sz w:val="28"/>
                <w:szCs w:val="28"/>
              </w:rPr>
            </w:pPr>
          </w:p>
        </w:tc>
        <w:tc>
          <w:tcPr>
            <w:tcW w:w="2622" w:type="dxa"/>
            <w:tcBorders>
              <w:bottom w:val="single" w:color="auto" w:sz="4" w:space="0"/>
            </w:tcBorders>
          </w:tcPr>
          <w:p>
            <w:pPr>
              <w:spacing w:line="560" w:lineRule="exact"/>
              <w:jc w:val="center"/>
              <w:rPr>
                <w:rFonts w:ascii="仿宋_GB2312" w:hAnsi="Calibri" w:eastAsia="仿宋_GB2312" w:cs="Arial Blac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420" w:type="dxa"/>
            <w:gridSpan w:val="4"/>
            <w:tcBorders>
              <w:top w:val="single" w:color="auto" w:sz="4" w:space="0"/>
              <w:left w:val="nil"/>
              <w:bottom w:val="nil"/>
              <w:right w:val="nil"/>
            </w:tcBorders>
          </w:tcPr>
          <w:p>
            <w:pPr>
              <w:spacing w:line="560" w:lineRule="exact"/>
              <w:jc w:val="left"/>
              <w:rPr>
                <w:rFonts w:ascii="仿宋_GB2312" w:hAnsi="Calibri" w:eastAsia="仿宋_GB2312" w:cs="Arial Black"/>
                <w:kern w:val="0"/>
                <w:sz w:val="28"/>
                <w:szCs w:val="28"/>
              </w:rPr>
            </w:pPr>
            <w:r>
              <w:rPr>
                <w:rFonts w:hint="eastAsia" w:ascii="仿宋_GB2312" w:hAnsi="Calibri" w:eastAsia="仿宋_GB2312" w:cs="Arial Black"/>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 Black"/>
                <w:kern w:val="0"/>
                <w:sz w:val="28"/>
                <w:szCs w:val="28"/>
              </w:rPr>
            </w:pPr>
            <w:r>
              <w:rPr>
                <w:rFonts w:hint="eastAsia" w:ascii="仿宋_GB2312" w:hAnsi="Calibri" w:eastAsia="仿宋_GB2312" w:cs="Arial Black"/>
                <w:kern w:val="0"/>
                <w:sz w:val="28"/>
                <w:szCs w:val="28"/>
              </w:rPr>
              <w:t>2、经费形式分为财政拨款、财政性资金基本保证、财政性资金定额或定项补助、财政性资金零补助四类。</w:t>
            </w:r>
          </w:p>
        </w:tc>
      </w:tr>
    </w:tbl>
    <w:p>
      <w:pPr>
        <w:widowControl/>
        <w:spacing w:after="160" w:line="580" w:lineRule="exact"/>
        <w:ind w:firstLine="640" w:firstLineChars="200"/>
        <w:rPr>
          <w:rFonts w:ascii="Times New Roman" w:hAnsi="Times New Roman" w:eastAsia="黑体" w:cs="Times New Roman"/>
          <w:sz w:val="32"/>
          <w:szCs w:val="32"/>
        </w:rPr>
      </w:pPr>
    </w:p>
    <w:p/>
    <w:p>
      <w:pPr>
        <w:widowControl/>
        <w:spacing w:after="160" w:line="580" w:lineRule="exact"/>
        <w:ind w:firstLine="1440" w:firstLineChars="200"/>
        <w:rPr>
          <w:rFonts w:ascii="Times New Roman" w:hAnsi="Times New Roman" w:eastAsia="黑体" w:cs="Times New Roman"/>
          <w:sz w:val="32"/>
          <w:szCs w:val="32"/>
        </w:rPr>
        <w:sectPr>
          <w:headerReference r:id="rId10" w:type="default"/>
          <w:pgSz w:w="11906" w:h="16838"/>
          <w:pgMar w:top="2098" w:right="1531" w:bottom="1984" w:left="1531" w:header="851" w:footer="992" w:gutter="0"/>
          <w:pgNumType w:fmt="numberInDash"/>
          <w:cols w:space="0" w:num="1"/>
          <w:titlePg/>
          <w:docGrid w:type="lines" w:linePitch="312" w:charSpace="0"/>
        </w:sectPr>
      </w:pPr>
      <w:r>
        <w:rPr>
          <w:sz w:val="72"/>
        </w:rPr>
        <w:pict>
          <v:shape id="_x0000_s1040" o:spid="_x0000_s1040" o:spt="202" type="#_x0000_t202" style="position:absolute;left:0pt;margin-left:-85.7pt;margin-top:238.15pt;height:173.25pt;width:613.65pt;z-index:251661312;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path/>
            <v:fill on="f" focussize="0,0"/>
            <v:stroke on="f" weight="0.5pt" joinstyle="miter"/>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 xml:space="preserve"> </w:t>
                  </w:r>
                </w:p>
                <w:p>
                  <w:pPr>
                    <w:widowControl/>
                    <w:jc w:val="center"/>
                    <w:rPr>
                      <w:rFonts w:ascii="黑体" w:hAnsi="黑体" w:eastAsia="黑体" w:cs="黑体"/>
                      <w:color w:val="000000" w:themeColor="text1"/>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w:pict>
          <v:shape id="_x0000_s1039" o:spid="_x0000_s1039" o:spt="202" type="#_x0000_t202" style="position:absolute;left:0pt;margin-left:-80.95pt;margin-top:-207.65pt;height:263.1pt;width:613.65pt;z-index:251662336;v-text-anchor:middle;mso-width-relative:page;mso-height-relative:page;" fillcolor="#7F7F7F" filled="t" stroked="t" coordsize="21600,21600" o:gfxdata="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vBcO0d0AAAAOAQAADwAAAAAAAAABACAAAAAiAAAAZHJzL2Rvd25yZXYueG1s&#10;UEsBAhQAFAAAAAgAh07iQFmkM3ieAgAAbQUAAA4AAAAAAAAAAQAgAAAALAEAAGRycy9lMm9Eb2Mu&#10;eG1sUEsFBgAAAAAGAAYAWQEAADwGAAAAAA==&#10;">
            <v:path/>
            <v:fill type="pattern" on="t" o:title="5%" focussize="0,0" r:id="rId14"/>
            <v:stroke weight="1pt" color="#A6A6A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第二部分 </w:t>
                  </w:r>
                </w:p>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2020年部门决算情况说明</w:t>
                  </w:r>
                </w:p>
                <w:p>
                  <w:pPr>
                    <w:widowControl/>
                    <w:jc w:val="center"/>
                  </w:pPr>
                </w:p>
                <w:p/>
              </w:txbxContent>
            </v:textbox>
          </v:shape>
        </w:pict>
      </w:r>
    </w:p>
    <w:p>
      <w:pPr>
        <w:jc w:val="center"/>
        <w:rPr>
          <w:rFonts w:ascii="黑体" w:hAnsi="黑体" w:eastAsia="黑体" w:cs="黑体"/>
          <w:sz w:val="56"/>
          <w:szCs w:val="72"/>
        </w:rPr>
      </w:pPr>
    </w:p>
    <w:p>
      <w:pPr>
        <w:keepNext/>
        <w:keepLines/>
        <w:snapToGrid w:val="0"/>
        <w:spacing w:line="600" w:lineRule="exact"/>
        <w:ind w:firstLine="630" w:firstLineChars="300"/>
        <w:outlineLvl w:val="1"/>
        <w:rPr>
          <w:rFonts w:ascii="黑体" w:hAnsi="Calibri" w:eastAsia="黑体" w:cs="Times New Roman"/>
          <w:sz w:val="32"/>
          <w:szCs w:val="32"/>
        </w:rPr>
      </w:pPr>
      <w:r>
        <w:br w:type="page"/>
      </w: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600" w:lineRule="exact"/>
        <w:ind w:firstLine="640" w:firstLineChars="200"/>
        <w:rPr>
          <w:rFonts w:ascii="仿宋_GB2312" w:hAnsi="Times New Roman" w:eastAsia="仿宋_GB2312" w:cs="Wingdings"/>
          <w:sz w:val="32"/>
          <w:szCs w:val="32"/>
          <w:highlight w:val="yellow"/>
        </w:rPr>
      </w:pPr>
      <w:r>
        <w:rPr>
          <w:rFonts w:hint="eastAsia" w:ascii="仿宋_GB2312" w:hAnsi="Times New Roman" w:eastAsia="仿宋_GB2312" w:cs="Wingdings"/>
          <w:sz w:val="32"/>
          <w:szCs w:val="32"/>
        </w:rPr>
        <w:t>本部门2020年度收、支总计（含结转和结余）69.99万元。与2019年度决算相比，收支各增加18.35万元，增长35.53%，主要原因是文物保护</w:t>
      </w:r>
      <w:r>
        <w:rPr>
          <w:rFonts w:hint="eastAsia" w:ascii="仿宋_GB2312" w:hAnsi="Times New Roman" w:eastAsia="仿宋_GB2312" w:cs="DengXian-Regular"/>
          <w:sz w:val="32"/>
          <w:szCs w:val="32"/>
        </w:rPr>
        <w:t>项目增加。</w:t>
      </w:r>
    </w:p>
    <w:p>
      <w:pPr>
        <w:keepNext/>
        <w:keepLines/>
        <w:snapToGrid w:val="0"/>
        <w:spacing w:line="600" w:lineRule="exact"/>
        <w:outlineLvl w:val="1"/>
        <w:rPr>
          <w:rFonts w:ascii="黑体" w:hAnsi="Calibri" w:eastAsia="黑体" w:cs="Times New Roman"/>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本部门2020年度本年收入合计69.99万元，其中：财政拨款收入69.99万元，占100%；事业收入0万元，占0%；经营收入0万元，占0%；其他收入0万元，占0%。</w:t>
      </w:r>
    </w:p>
    <w:p>
      <w:pPr>
        <w:adjustRightInd w:val="0"/>
        <w:snapToGrid w:val="0"/>
        <w:spacing w:line="600" w:lineRule="exact"/>
        <w:ind w:firstLine="640" w:firstLineChars="200"/>
        <w:rPr>
          <w:rFonts w:ascii="黑体" w:hAnsi="Calibri" w:eastAsia="黑体" w:cs="Times New Roman"/>
          <w:sz w:val="32"/>
          <w:szCs w:val="32"/>
        </w:rPr>
      </w:pPr>
    </w:p>
    <w:p>
      <w:pPr>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本部门2020年度本年支出合计69.99万元，其中：基本支出14.25万元，占20.36%；项目支出55.74万元，占79.64%；经营支出0万元，占0%。</w:t>
      </w:r>
    </w:p>
    <w:p>
      <w:pPr>
        <w:adjustRightInd w:val="0"/>
        <w:snapToGrid w:val="0"/>
        <w:spacing w:line="600" w:lineRule="exact"/>
        <w:ind w:firstLine="640" w:firstLineChars="200"/>
        <w:rPr>
          <w:rFonts w:ascii="仿宋_GB2312" w:hAnsi="Times New Roman" w:eastAsia="仿宋_GB2312" w:cs="Wingdings"/>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（一）财政拨款收支与2019年度决算对比情况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本部门2020年度财政拨款收支均为一般公共预算财政拨款，其中本年收入69.99万元,比2019年度增加18.35万元，增长35.53%，主要是文物保护</w:t>
      </w:r>
      <w:r>
        <w:rPr>
          <w:rFonts w:hint="eastAsia" w:ascii="仿宋_GB2312" w:hAnsi="Times New Roman" w:eastAsia="仿宋_GB2312" w:cs="DengXian-Regular"/>
          <w:sz w:val="32"/>
          <w:szCs w:val="32"/>
        </w:rPr>
        <w:t>项目增加</w:t>
      </w:r>
      <w:r>
        <w:rPr>
          <w:rFonts w:hint="eastAsia" w:ascii="仿宋_GB2312" w:hAnsi="Times New Roman" w:eastAsia="仿宋_GB2312" w:cs="Wingdings"/>
          <w:sz w:val="32"/>
          <w:szCs w:val="32"/>
        </w:rPr>
        <w:t>；本年支出69.99万元，增加19.35万元，增长35.53%，主要是文物保护</w:t>
      </w:r>
      <w:r>
        <w:rPr>
          <w:rFonts w:hint="eastAsia" w:ascii="仿宋_GB2312" w:hAnsi="Times New Roman" w:eastAsia="仿宋_GB2312" w:cs="DengXian-Regular"/>
          <w:sz w:val="32"/>
          <w:szCs w:val="32"/>
        </w:rPr>
        <w:t>项目增加。</w:t>
      </w:r>
    </w:p>
    <w:p>
      <w:pPr>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（二）财政拨款收支与年初预算数对比情况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本部门2020年度一般公共预算财政拨款收入69.99万元，完成年初预算的69.71%,比年初预算增加48.79万元，决算数大于预算数主要原因是文物保护</w:t>
      </w:r>
      <w:r>
        <w:rPr>
          <w:rFonts w:hint="eastAsia" w:ascii="仿宋_GB2312" w:hAnsi="Times New Roman" w:eastAsia="仿宋_GB2312" w:cs="DengXian-Regular"/>
          <w:sz w:val="32"/>
          <w:szCs w:val="32"/>
        </w:rPr>
        <w:t>项目增加</w:t>
      </w:r>
      <w:r>
        <w:rPr>
          <w:rFonts w:hint="eastAsia" w:ascii="仿宋_GB2312" w:hAnsi="Times New Roman" w:eastAsia="仿宋_GB2312" w:cs="Wingdings"/>
          <w:sz w:val="32"/>
          <w:szCs w:val="32"/>
        </w:rPr>
        <w:t>；本年支出69.99万元，完成年初预算的69.71%,比年初预算增加48.79万元，决算数大于预算数主要原因是文物保护</w:t>
      </w:r>
      <w:r>
        <w:rPr>
          <w:rFonts w:hint="eastAsia" w:ascii="仿宋_GB2312" w:hAnsi="Times New Roman" w:eastAsia="仿宋_GB2312" w:cs="DengXian-Regular"/>
          <w:sz w:val="32"/>
          <w:szCs w:val="32"/>
        </w:rPr>
        <w:t>项目增加</w:t>
      </w:r>
      <w:r>
        <w:rPr>
          <w:rFonts w:hint="eastAsia" w:ascii="仿宋_GB2312" w:hAnsi="Times New Roman" w:eastAsia="仿宋_GB2312" w:cs="Wingdings"/>
          <w:sz w:val="32"/>
          <w:szCs w:val="32"/>
        </w:rPr>
        <w:t>。</w:t>
      </w:r>
    </w:p>
    <w:p>
      <w:pPr>
        <w:numPr>
          <w:ilvl w:val="0"/>
          <w:numId w:val="1"/>
        </w:num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财政拨款支出决算结构情况。</w:t>
      </w:r>
    </w:p>
    <w:p>
      <w:pPr>
        <w:adjustRightInd w:val="0"/>
        <w:snapToGrid w:val="0"/>
        <w:spacing w:line="600" w:lineRule="exact"/>
        <w:ind w:firstLine="640" w:firstLineChars="200"/>
        <w:rPr>
          <w:rFonts w:ascii="楷体_GB2312" w:hAnsi="Times New Roman" w:eastAsia="楷体_GB2312" w:cs="Mongolian Baiti"/>
          <w:b/>
          <w:bCs/>
          <w:sz w:val="32"/>
          <w:szCs w:val="32"/>
        </w:rPr>
      </w:pPr>
      <w:r>
        <w:rPr>
          <w:rFonts w:hint="eastAsia" w:ascii="仿宋_GB2312" w:hAnsi="Times New Roman" w:eastAsia="仿宋_GB2312" w:cs="Wingdings"/>
          <w:sz w:val="32"/>
          <w:szCs w:val="32"/>
        </w:rPr>
        <w:t>2020 年度财政拨款支出69.99万元，主要用于以下方面：</w:t>
      </w:r>
      <w:r>
        <w:rPr>
          <w:rFonts w:hint="eastAsia" w:ascii="仿宋_GB2312" w:eastAsia="仿宋_GB2312" w:cs="DengXian-Regular"/>
          <w:sz w:val="32"/>
          <w:szCs w:val="32"/>
        </w:rPr>
        <w:t>文化旅游体育与传媒支出63.63</w:t>
      </w:r>
      <w:r>
        <w:rPr>
          <w:rFonts w:hint="eastAsia" w:ascii="仿宋_GB2312" w:hAnsi="Times New Roman" w:eastAsia="仿宋_GB2312" w:cs="DengXian-Regular"/>
          <w:sz w:val="32"/>
          <w:szCs w:val="32"/>
        </w:rPr>
        <w:t>万元，占90.91</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；社会保障和就业（类）支出5.08万元，占7.26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；卫生健康支出0.49万元，占0.70%；住房保障（类）支出0.79万元，占</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1.13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ind w:firstLine="161" w:firstLineChars="5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（四）一般公共预算基本支出决算情况说明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年度财政拨款基本支出14.25万元，其中：人员经费 14.19万元，主要包括基本工资、津贴补贴、奖金、机关事业单位基本养老保险缴费、职业年金缴费、职工基本医疗保险缴费、住房公积金、其他工资福利支出、生活补助；公用经费0.06万元，主要包括办公费。</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（一）“三公”经费财政拨款支出决算总体情况说明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本部门2020年度“三公”经费财政拨款支出预算为0万元，支出决算为0元，完成预算的100%,</w:t>
      </w:r>
      <w:r>
        <w:rPr>
          <w:rFonts w:hint="eastAsia" w:ascii="仿宋_GB2312" w:hAnsi="Times New Roman" w:eastAsia="仿宋_GB2312" w:cs="DengXian-Regular"/>
          <w:sz w:val="32"/>
          <w:szCs w:val="32"/>
        </w:rPr>
        <w:t>无增长，主要是</w:t>
      </w:r>
      <w:r>
        <w:rPr>
          <w:rFonts w:hint="eastAsia" w:ascii="仿宋_GB2312" w:eastAsia="仿宋_GB2312" w:cs="DengXian-Regular"/>
          <w:sz w:val="32"/>
          <w:szCs w:val="32"/>
        </w:rPr>
        <w:t>认真贯彻落实中央八项规定精神和厉行节约要求从严控制“三公”经费开支</w:t>
      </w:r>
      <w:r>
        <w:rPr>
          <w:rFonts w:hint="eastAsia" w:ascii="仿宋_GB2312" w:hAnsi="Times New Roman" w:eastAsia="仿宋_GB2312" w:cs="DengXian-Regular"/>
          <w:sz w:val="32"/>
          <w:szCs w:val="32"/>
        </w:rPr>
        <w:t>；较</w:t>
      </w:r>
      <w:r>
        <w:rPr>
          <w:rFonts w:ascii="仿宋_GB2312" w:hAnsi="Times New Roman" w:eastAsia="仿宋_GB2312" w:cs="DengXian-Regular"/>
          <w:sz w:val="32"/>
          <w:szCs w:val="32"/>
        </w:rPr>
        <w:t>201</w:t>
      </w:r>
      <w:r>
        <w:rPr>
          <w:rFonts w:hint="eastAsia" w:ascii="仿宋_GB2312" w:hAnsi="Times New Roman" w:eastAsia="仿宋_GB2312" w:cs="DengXian-Regular"/>
          <w:sz w:val="32"/>
          <w:szCs w:val="32"/>
        </w:rPr>
        <w:t>9年度决算无变化，主要原因是</w:t>
      </w:r>
      <w:r>
        <w:rPr>
          <w:rFonts w:hint="eastAsia" w:ascii="仿宋_GB2312" w:eastAsia="仿宋_GB2312" w:cs="DengXian-Regular"/>
          <w:sz w:val="32"/>
          <w:szCs w:val="32"/>
        </w:rPr>
        <w:t>认真贯彻落实中央八项规定精神和厉行节约要求从严控制“三公”经费开支</w:t>
      </w:r>
      <w:r>
        <w:rPr>
          <w:rFonts w:hint="eastAsia" w:ascii="仿宋_GB2312" w:hAnsi="Times New Roman" w:eastAsia="仿宋_GB2312" w:cs="DengXian-Regular"/>
          <w:sz w:val="32"/>
          <w:szCs w:val="32"/>
        </w:rPr>
        <w:t>。</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（二）“三公”经费财政拨款支出决算具体情况说明</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1.因公出国（境）费。</w:t>
      </w:r>
      <w:r>
        <w:rPr>
          <w:rFonts w:hint="eastAsia" w:ascii="仿宋_GB2312" w:hAnsi="仿宋_GB2312" w:eastAsia="仿宋_GB2312" w:cs="仿宋_GB2312"/>
          <w:sz w:val="32"/>
          <w:szCs w:val="32"/>
        </w:rPr>
        <w:t>本部门2020年因公出国（境）费支出0万元，完成预算的100%。</w:t>
      </w:r>
      <w:r>
        <w:rPr>
          <w:rFonts w:hint="eastAsia" w:ascii="仿宋_GB2312" w:hAnsi="Times New Roman" w:eastAsia="仿宋_GB2312" w:cs="Wingdings"/>
          <w:sz w:val="32"/>
          <w:szCs w:val="32"/>
        </w:rPr>
        <w:t>因公出国（境）团组0个、共0人、参加其他单位组织的因公出国（境）团组0个、共0人/无本单位组织的出国（境）团组。无增长</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认真贯彻落实中央八项规定精神和厉行节约要求从严控制“三公”经费开支</w:t>
      </w:r>
      <w:r>
        <w:rPr>
          <w:rFonts w:hint="eastAsia" w:ascii="仿宋_GB2312" w:hAnsi="Times New Roman" w:eastAsia="仿宋_GB2312" w:cs="DengXian-Regular"/>
          <w:sz w:val="32"/>
          <w:szCs w:val="32"/>
        </w:rPr>
        <w:t>；较</w:t>
      </w:r>
      <w:r>
        <w:rPr>
          <w:rFonts w:ascii="仿宋_GB2312" w:hAnsi="Times New Roman" w:eastAsia="仿宋_GB2312" w:cs="DengXian-Regular"/>
          <w:sz w:val="32"/>
          <w:szCs w:val="32"/>
        </w:rPr>
        <w:t>201</w:t>
      </w:r>
      <w:r>
        <w:rPr>
          <w:rFonts w:hint="eastAsia" w:ascii="仿宋_GB2312" w:hAnsi="Times New Roman" w:eastAsia="仿宋_GB2312" w:cs="DengXian-Regular"/>
          <w:sz w:val="32"/>
          <w:szCs w:val="32"/>
        </w:rPr>
        <w:t>9年度决算无变化，主要原因是</w:t>
      </w:r>
      <w:r>
        <w:rPr>
          <w:rFonts w:hint="eastAsia" w:ascii="仿宋_GB2312" w:eastAsia="仿宋_GB2312" w:cs="DengXian-Regular"/>
          <w:sz w:val="32"/>
          <w:szCs w:val="32"/>
        </w:rPr>
        <w:t>认真贯彻落实中央八项规定精神和厉行节约要求从严控制“三公”经费开支</w:t>
      </w:r>
      <w:r>
        <w:rPr>
          <w:rFonts w:hint="eastAsia" w:ascii="仿宋_GB2312" w:hAnsi="Times New Roman" w:eastAsia="仿宋_GB2312" w:cs="DengXian-Regular"/>
          <w:sz w:val="32"/>
          <w:szCs w:val="32"/>
        </w:rPr>
        <w:t>。</w:t>
      </w:r>
    </w:p>
    <w:p>
      <w:pPr>
        <w:adjustRightInd w:val="0"/>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2.公务用车购置及运行维护费。</w:t>
      </w:r>
      <w:r>
        <w:rPr>
          <w:rFonts w:hint="eastAsia" w:ascii="仿宋_GB2312" w:hAnsi="仿宋_GB2312" w:eastAsia="仿宋_GB2312" w:cs="仿宋_GB2312"/>
          <w:sz w:val="32"/>
          <w:szCs w:val="32"/>
        </w:rPr>
        <w:t>本部门2020年公务用车购置及运行维护费支出0万元，完成预算的100%，</w:t>
      </w:r>
      <w:r>
        <w:rPr>
          <w:rFonts w:hint="eastAsia" w:ascii="仿宋_GB2312" w:hAnsi="Times New Roman" w:eastAsia="仿宋_GB2312" w:cs="Wingdings"/>
          <w:sz w:val="32"/>
          <w:szCs w:val="32"/>
        </w:rPr>
        <w:t>较预算减少0万元，降低0%,主要是</w:t>
      </w:r>
      <w:r>
        <w:rPr>
          <w:rFonts w:hint="eastAsia" w:ascii="仿宋_GB2312" w:eastAsia="仿宋_GB2312" w:cs="DengXian-Regular"/>
          <w:sz w:val="32"/>
          <w:szCs w:val="32"/>
        </w:rPr>
        <w:t>认真贯彻落实中央八项规定精神和厉行节约要求从严控制“三公”经费开支</w:t>
      </w:r>
      <w:r>
        <w:rPr>
          <w:rFonts w:hint="eastAsia" w:ascii="仿宋_GB2312" w:hAnsi="Times New Roman" w:eastAsia="仿宋_GB2312" w:cs="DengXian-Regular"/>
          <w:sz w:val="32"/>
          <w:szCs w:val="32"/>
        </w:rPr>
        <w:t>。</w:t>
      </w:r>
      <w:r>
        <w:rPr>
          <w:rFonts w:hint="eastAsia" w:ascii="仿宋_GB2312" w:hAnsi="Times New Roman" w:eastAsia="仿宋_GB2312" w:cs="Wingdings"/>
          <w:sz w:val="32"/>
          <w:szCs w:val="32"/>
        </w:rPr>
        <w:t>较上年减少0万元，降低0%,主要是</w:t>
      </w:r>
      <w:r>
        <w:rPr>
          <w:rFonts w:hint="eastAsia" w:ascii="仿宋_GB2312" w:eastAsia="仿宋_GB2312" w:cs="DengXian-Regular"/>
          <w:sz w:val="32"/>
          <w:szCs w:val="32"/>
        </w:rPr>
        <w:t>认真贯彻落实中央八项规定精神和厉行节约要求从严控制“三公”经费开支</w:t>
      </w:r>
      <w:r>
        <w:rPr>
          <w:rFonts w:hint="eastAsia" w:ascii="仿宋_GB2312" w:hAnsi="Times New Roman" w:eastAsia="仿宋_GB2312" w:cs="DengXian-Regular"/>
          <w:sz w:val="32"/>
          <w:szCs w:val="32"/>
        </w:rPr>
        <w:t>。</w:t>
      </w:r>
      <w:r>
        <w:rPr>
          <w:rFonts w:hint="eastAsia" w:ascii="仿宋_GB2312" w:hAnsi="Times New Roman" w:eastAsia="仿宋_GB2312" w:cs="Mongolian Baiti"/>
          <w:b/>
          <w:bCs/>
          <w:sz w:val="32"/>
          <w:szCs w:val="32"/>
        </w:rPr>
        <w:t>其中：</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公务用车购置费支出：</w:t>
      </w:r>
      <w:r>
        <w:rPr>
          <w:rFonts w:hint="eastAsia" w:ascii="仿宋_GB2312" w:hAnsi="Times New Roman" w:eastAsia="仿宋_GB2312" w:cs="Wingdings"/>
          <w:sz w:val="32"/>
          <w:szCs w:val="32"/>
        </w:rPr>
        <w:t>本部门2020年度公务用车购置量0辆，发生“公务用车购置”经费支出0万元。公务用车购置费支出较预算增加0万元，增长0%,主要是</w:t>
      </w:r>
      <w:r>
        <w:rPr>
          <w:rFonts w:hint="eastAsia" w:ascii="仿宋_GB2312" w:eastAsia="仿宋_GB2312" w:cs="DengXian-Regular"/>
          <w:sz w:val="32"/>
          <w:szCs w:val="32"/>
        </w:rPr>
        <w:t>未发生公务用车购置经费支出，与年初预算持平，与2019度决算支出持平</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公务用车运行维护费支出：</w:t>
      </w:r>
      <w:r>
        <w:rPr>
          <w:rFonts w:hint="eastAsia" w:ascii="仿宋_GB2312" w:hAnsi="Times New Roman" w:eastAsia="仿宋_GB2312" w:cs="Wingdings"/>
          <w:sz w:val="32"/>
          <w:szCs w:val="32"/>
        </w:rPr>
        <w:t>本部门2020年度单位公务用车保有量0辆,发生运行维护费支出0万元，。公车运行维护费支出较预算增加0万元，增长0%,主要是</w:t>
      </w:r>
      <w:r>
        <w:rPr>
          <w:rFonts w:hint="eastAsia" w:ascii="仿宋_GB2312" w:eastAsia="仿宋_GB2312" w:cs="DengXian-Regular"/>
          <w:sz w:val="32"/>
          <w:szCs w:val="32"/>
        </w:rPr>
        <w:t>未发生公务用车维护经费支出，与年初预算持平，与2019度决算支出持平</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Wingdings"/>
          <w:sz w:val="32"/>
          <w:szCs w:val="32"/>
          <w:highlight w:val="yellow"/>
        </w:rPr>
      </w:pPr>
      <w:r>
        <w:rPr>
          <w:rFonts w:hint="eastAsia" w:ascii="楷体_GB2312" w:hAnsi="Times New Roman" w:eastAsia="楷体_GB2312" w:cs="Mongolian Baiti"/>
          <w:b/>
          <w:bCs/>
          <w:sz w:val="32"/>
          <w:szCs w:val="32"/>
        </w:rPr>
        <w:t>3.公务接待费。</w:t>
      </w:r>
      <w:r>
        <w:rPr>
          <w:rFonts w:hint="eastAsia" w:ascii="仿宋_GB2312" w:hAnsi="仿宋_GB2312" w:eastAsia="仿宋_GB2312" w:cs="仿宋_GB2312"/>
          <w:sz w:val="32"/>
          <w:szCs w:val="32"/>
        </w:rPr>
        <w:t>本部门2020年公务用车购置及运行维护费支出0万元，完成预算的100%。发生</w:t>
      </w:r>
      <w:r>
        <w:rPr>
          <w:rFonts w:hint="eastAsia" w:ascii="仿宋_GB2312" w:hAnsi="Times New Roman" w:eastAsia="仿宋_GB2312" w:cs="Wingdings"/>
          <w:sz w:val="32"/>
          <w:szCs w:val="32"/>
        </w:rPr>
        <w:t>公务接待共0批次、0人次。公务接待费支出较预算减少0万元，降低0%,主要是</w:t>
      </w:r>
      <w:r>
        <w:rPr>
          <w:rFonts w:hint="eastAsia" w:ascii="仿宋_GB2312" w:eastAsia="仿宋_GB2312" w:cs="DengXian-Regular"/>
          <w:sz w:val="32"/>
          <w:szCs w:val="32"/>
        </w:rPr>
        <w:t>认真贯彻落实中央八项规定精神和厉行节约要求从严控制“三公”经费开支。</w:t>
      </w:r>
      <w:r>
        <w:rPr>
          <w:rFonts w:hint="eastAsia" w:ascii="仿宋_GB2312" w:hAnsi="Times New Roman" w:eastAsia="仿宋_GB2312" w:cs="Wingdings"/>
          <w:sz w:val="32"/>
          <w:szCs w:val="32"/>
        </w:rPr>
        <w:t>较上年度减少0万元，降低0%,主要是</w:t>
      </w:r>
      <w:r>
        <w:rPr>
          <w:rFonts w:hint="eastAsia" w:ascii="仿宋_GB2312" w:eastAsia="仿宋_GB2312" w:cs="DengXian-Regular"/>
          <w:sz w:val="32"/>
          <w:szCs w:val="32"/>
        </w:rPr>
        <w:t>认真贯彻落实中央八项规定精神和厉行节约要求从严控制“三公”经费开支。</w:t>
      </w:r>
    </w:p>
    <w:p>
      <w:pPr>
        <w:adjustRightInd w:val="0"/>
        <w:snapToGrid w:val="0"/>
        <w:spacing w:line="60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2020年度项目支出全面开展绩效自评，其中，一般公共预算一级项目0个，二级项目2个，共涉及资金55.74万元，占一般公共预算项目支出总额的79.64%；政府性基金预算一级项目0个，二级项目0个,共涉及资金0万元，占政府性基金预算项目支出总额的0。</w:t>
      </w:r>
    </w:p>
    <w:p>
      <w:pPr>
        <w:adjustRightInd w:val="0"/>
        <w:snapToGrid w:val="0"/>
        <w:spacing w:line="600" w:lineRule="exact"/>
        <w:ind w:firstLine="640" w:firstLineChars="200"/>
        <w:rPr>
          <w:rFonts w:ascii="仿宋_GB2312" w:hAnsi="仿宋_GB2312" w:eastAsia="仿宋_GB2312" w:cs="仿宋_GB2312"/>
          <w:sz w:val="32"/>
          <w:szCs w:val="32"/>
        </w:rPr>
      </w:pPr>
    </w:p>
    <w:p>
      <w:pPr>
        <w:adjustRightInd w:val="0"/>
        <w:snapToGrid w:val="0"/>
        <w:spacing w:line="600" w:lineRule="exact"/>
        <w:ind w:firstLine="640" w:firstLineChars="200"/>
        <w:rPr>
          <w:rFonts w:ascii="仿宋_GB2312" w:hAnsi="仿宋_GB2312" w:eastAsia="仿宋_GB2312" w:cs="仿宋_GB2312"/>
          <w:sz w:val="32"/>
          <w:szCs w:val="32"/>
        </w:rPr>
      </w:pPr>
    </w:p>
    <w:p>
      <w:pPr>
        <w:adjustRightInd w:val="0"/>
        <w:snapToGrid w:val="0"/>
        <w:spacing w:line="600" w:lineRule="exact"/>
        <w:ind w:firstLine="640" w:firstLineChars="200"/>
        <w:rPr>
          <w:rFonts w:ascii="仿宋_GB2312" w:hAnsi="仿宋_GB2312" w:eastAsia="仿宋_GB2312" w:cs="仿宋_GB2312"/>
          <w:sz w:val="32"/>
          <w:szCs w:val="32"/>
        </w:rPr>
      </w:pP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 部门决算中项目绩效自评结果。</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本部门在今年部门决算公开中反映满城汉墓三期防渗工程尾款项目及 2020年文物保护经费项目2个项目绩效自评结果。</w:t>
      </w:r>
    </w:p>
    <w:p>
      <w:pPr>
        <w:ind w:firstLine="640" w:firstLineChars="200"/>
        <w:rPr>
          <w:rFonts w:ascii="仿宋" w:hAnsi="仿宋" w:eastAsia="仿宋"/>
          <w:sz w:val="32"/>
          <w:szCs w:val="32"/>
        </w:rPr>
      </w:pPr>
      <w:r>
        <w:rPr>
          <w:rFonts w:hint="eastAsia" w:ascii="仿宋_GB2312" w:hAnsi="仿宋_GB2312" w:eastAsia="仿宋_GB2312" w:cs="仿宋_GB2312"/>
          <w:sz w:val="32"/>
          <w:szCs w:val="32"/>
        </w:rPr>
        <w:t>满城汉墓三期防渗工程尾款项目和2020年文物保护经费项目自评综述：</w:t>
      </w:r>
      <w:r>
        <w:rPr>
          <w:rFonts w:hint="eastAsia" w:ascii="仿宋" w:hAnsi="仿宋" w:eastAsia="仿宋"/>
          <w:sz w:val="32"/>
          <w:szCs w:val="32"/>
        </w:rPr>
        <w:t>我单位主要采取自行监控模式，按照预算绩效运行的管理制度要求和有关规定，对照项目绩效目标，完善项目支出责任制度，提高支出执行的及时性、均衡性和有效性；及时掌握项目绩效目标的完成情况、项目实施进程和资金支出进度；当项目执行绩效与绩效目标发生偏离时，及时报告，并采取措施予以纠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全年预算数为55.74万元，执行数为55.74万元，完成预算的100%。项目绩效目标完成情况：</w:t>
      </w:r>
    </w:p>
    <w:p>
      <w:pPr>
        <w:ind w:firstLine="640" w:firstLineChars="200"/>
        <w:rPr>
          <w:rFonts w:ascii="仿宋" w:hAnsi="仿宋" w:eastAsia="仿宋"/>
          <w:sz w:val="32"/>
          <w:szCs w:val="32"/>
        </w:rPr>
      </w:pPr>
      <w:r>
        <w:rPr>
          <w:rFonts w:ascii="仿宋" w:hAnsi="仿宋" w:eastAsia="仿宋"/>
          <w:sz w:val="32"/>
          <w:szCs w:val="32"/>
        </w:rPr>
        <w:t xml:space="preserve">1. </w:t>
      </w:r>
      <w:r>
        <w:rPr>
          <w:rFonts w:hint="eastAsia" w:ascii="仿宋" w:hAnsi="仿宋" w:eastAsia="仿宋"/>
          <w:sz w:val="32"/>
          <w:szCs w:val="32"/>
        </w:rPr>
        <w:t>监控结果。例如：绩效目标实现程度达到50</w:t>
      </w:r>
      <w:r>
        <w:rPr>
          <w:rFonts w:ascii="仿宋" w:hAnsi="仿宋" w:eastAsia="仿宋"/>
          <w:sz w:val="32"/>
          <w:szCs w:val="32"/>
        </w:rPr>
        <w:t>%</w:t>
      </w:r>
      <w:r>
        <w:rPr>
          <w:rFonts w:hint="eastAsia" w:ascii="仿宋" w:hAnsi="仿宋" w:eastAsia="仿宋"/>
          <w:sz w:val="32"/>
          <w:szCs w:val="32"/>
        </w:rPr>
        <w:t>以上的项目有2个。</w:t>
      </w:r>
    </w:p>
    <w:p>
      <w:pPr>
        <w:ind w:firstLine="640" w:firstLineChars="200"/>
        <w:rPr>
          <w:rFonts w:ascii="仿宋" w:hAnsi="仿宋" w:eastAsia="仿宋"/>
          <w:sz w:val="32"/>
          <w:szCs w:val="32"/>
        </w:rPr>
      </w:pPr>
      <w:r>
        <w:rPr>
          <w:rFonts w:ascii="仿宋" w:hAnsi="仿宋" w:eastAsia="仿宋"/>
          <w:sz w:val="32"/>
          <w:szCs w:val="32"/>
        </w:rPr>
        <w:t xml:space="preserve"> 2. </w:t>
      </w:r>
      <w:r>
        <w:rPr>
          <w:rFonts w:hint="eastAsia" w:ascii="仿宋" w:hAnsi="仿宋" w:eastAsia="仿宋"/>
          <w:sz w:val="32"/>
          <w:szCs w:val="32"/>
        </w:rPr>
        <w:t>年底能实现绩效目标的项目有2个，涉及资金55.74万元；不存在不能完成绩效目标的项目；不存在预计年底完成情况与年初目标差距较大的项目。具体统计表如下：</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rPr>
          <w:rFonts w:ascii="仿宋" w:hAnsi="仿宋" w:eastAsia="仿宋"/>
          <w:sz w:val="32"/>
          <w:szCs w:val="32"/>
        </w:rPr>
      </w:pPr>
    </w:p>
    <w:tbl>
      <w:tblPr>
        <w:tblStyle w:val="7"/>
        <w:tblW w:w="9460" w:type="dxa"/>
        <w:tblInd w:w="93" w:type="dxa"/>
        <w:tblLayout w:type="fixed"/>
        <w:tblCellMar>
          <w:top w:w="0" w:type="dxa"/>
          <w:left w:w="108" w:type="dxa"/>
          <w:bottom w:w="0" w:type="dxa"/>
          <w:right w:w="108" w:type="dxa"/>
        </w:tblCellMar>
      </w:tblPr>
      <w:tblGrid>
        <w:gridCol w:w="1360"/>
        <w:gridCol w:w="1780"/>
        <w:gridCol w:w="1240"/>
        <w:gridCol w:w="1240"/>
        <w:gridCol w:w="1060"/>
        <w:gridCol w:w="1500"/>
        <w:gridCol w:w="1280"/>
      </w:tblGrid>
      <w:tr>
        <w:tblPrEx>
          <w:tblCellMar>
            <w:top w:w="0" w:type="dxa"/>
            <w:left w:w="108" w:type="dxa"/>
            <w:bottom w:w="0" w:type="dxa"/>
            <w:right w:w="108" w:type="dxa"/>
          </w:tblCellMar>
        </w:tblPrEx>
        <w:trPr>
          <w:trHeight w:val="645" w:hRule="atLeast"/>
        </w:trPr>
        <w:tc>
          <w:tcPr>
            <w:tcW w:w="13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部门名称</w:t>
            </w:r>
          </w:p>
        </w:tc>
        <w:tc>
          <w:tcPr>
            <w:tcW w:w="17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项目名称</w:t>
            </w:r>
          </w:p>
        </w:tc>
        <w:tc>
          <w:tcPr>
            <w:tcW w:w="12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资金数额（万元）</w:t>
            </w:r>
          </w:p>
        </w:tc>
        <w:tc>
          <w:tcPr>
            <w:tcW w:w="124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11月底绩效目标实现程度（</w:t>
            </w:r>
            <w:r>
              <w:rPr>
                <w:rFonts w:ascii="仿宋" w:hAnsi="仿宋" w:eastAsia="仿宋" w:cs="宋体"/>
                <w:color w:val="000000"/>
                <w:kern w:val="0"/>
                <w:sz w:val="32"/>
                <w:szCs w:val="32"/>
              </w:rPr>
              <w:t>%</w:t>
            </w:r>
            <w:r>
              <w:rPr>
                <w:rFonts w:hint="eastAsia" w:ascii="仿宋" w:hAnsi="仿宋" w:eastAsia="仿宋" w:cs="宋体"/>
                <w:color w:val="000000"/>
                <w:kern w:val="0"/>
                <w:sz w:val="32"/>
                <w:szCs w:val="32"/>
              </w:rPr>
              <w:t>）</w:t>
            </w:r>
          </w:p>
        </w:tc>
        <w:tc>
          <w:tcPr>
            <w:tcW w:w="3840"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预计年底绩效目标实现情况</w:t>
            </w:r>
          </w:p>
        </w:tc>
      </w:tr>
      <w:tr>
        <w:tblPrEx>
          <w:tblCellMar>
            <w:top w:w="0" w:type="dxa"/>
            <w:left w:w="108" w:type="dxa"/>
            <w:bottom w:w="0" w:type="dxa"/>
            <w:right w:w="108" w:type="dxa"/>
          </w:tblCellMar>
        </w:tblPrEx>
        <w:trPr>
          <w:trHeight w:val="645" w:hRule="atLeast"/>
        </w:trPr>
        <w:tc>
          <w:tcPr>
            <w:tcW w:w="13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2"/>
                <w:szCs w:val="32"/>
              </w:rPr>
            </w:pPr>
          </w:p>
        </w:tc>
        <w:tc>
          <w:tcPr>
            <w:tcW w:w="1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2"/>
                <w:szCs w:val="32"/>
              </w:rPr>
            </w:pPr>
          </w:p>
        </w:tc>
        <w:tc>
          <w:tcPr>
            <w:tcW w:w="12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2"/>
                <w:szCs w:val="32"/>
              </w:rPr>
            </w:pPr>
          </w:p>
        </w:tc>
        <w:tc>
          <w:tcPr>
            <w:tcW w:w="12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2"/>
                <w:szCs w:val="32"/>
              </w:rPr>
            </w:pPr>
          </w:p>
        </w:tc>
        <w:tc>
          <w:tcPr>
            <w:tcW w:w="10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能实现</w:t>
            </w: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不能完全实现</w:t>
            </w:r>
          </w:p>
        </w:tc>
        <w:tc>
          <w:tcPr>
            <w:tcW w:w="12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差距较大</w:t>
            </w:r>
          </w:p>
        </w:tc>
      </w:tr>
      <w:tr>
        <w:tblPrEx>
          <w:tblCellMar>
            <w:top w:w="0" w:type="dxa"/>
            <w:left w:w="108" w:type="dxa"/>
            <w:bottom w:w="0" w:type="dxa"/>
            <w:right w:w="108" w:type="dxa"/>
          </w:tblCellMar>
        </w:tblPrEx>
        <w:trPr>
          <w:trHeight w:val="495" w:hRule="atLeast"/>
        </w:trPr>
        <w:tc>
          <w:tcPr>
            <w:tcW w:w="136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保定市满城区博物馆</w:t>
            </w:r>
          </w:p>
        </w:tc>
        <w:tc>
          <w:tcPr>
            <w:tcW w:w="17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满城汉墓三期防渗工程尾款</w:t>
            </w:r>
          </w:p>
        </w:tc>
        <w:tc>
          <w:tcPr>
            <w:tcW w:w="124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48.74</w:t>
            </w:r>
          </w:p>
        </w:tc>
        <w:tc>
          <w:tcPr>
            <w:tcW w:w="124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100</w:t>
            </w:r>
          </w:p>
        </w:tc>
        <w:tc>
          <w:tcPr>
            <w:tcW w:w="10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w:t>
            </w:r>
          </w:p>
        </w:tc>
        <w:tc>
          <w:tcPr>
            <w:tcW w:w="1500"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1280"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r>
      <w:tr>
        <w:tblPrEx>
          <w:tblCellMar>
            <w:top w:w="0" w:type="dxa"/>
            <w:left w:w="108" w:type="dxa"/>
            <w:bottom w:w="0" w:type="dxa"/>
            <w:right w:w="108" w:type="dxa"/>
          </w:tblCellMar>
        </w:tblPrEx>
        <w:trPr>
          <w:trHeight w:val="1857" w:hRule="atLeast"/>
        </w:trPr>
        <w:tc>
          <w:tcPr>
            <w:tcW w:w="136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FF0000"/>
                <w:kern w:val="0"/>
                <w:sz w:val="32"/>
                <w:szCs w:val="32"/>
              </w:rPr>
            </w:pPr>
            <w:r>
              <w:rPr>
                <w:rFonts w:hint="eastAsia" w:ascii="仿宋" w:hAnsi="仿宋" w:eastAsia="仿宋" w:cs="宋体"/>
                <w:color w:val="000000"/>
                <w:kern w:val="0"/>
                <w:sz w:val="32"/>
                <w:szCs w:val="32"/>
              </w:rPr>
              <w:t>保定市满城区博物馆</w:t>
            </w:r>
          </w:p>
        </w:tc>
        <w:tc>
          <w:tcPr>
            <w:tcW w:w="17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FF0000"/>
                <w:kern w:val="0"/>
                <w:sz w:val="32"/>
                <w:szCs w:val="32"/>
              </w:rPr>
            </w:pPr>
            <w:r>
              <w:rPr>
                <w:rFonts w:hint="eastAsia" w:ascii="仿宋" w:hAnsi="仿宋" w:eastAsia="仿宋"/>
                <w:sz w:val="32"/>
                <w:szCs w:val="32"/>
              </w:rPr>
              <w:t>2020年文物保护经费</w:t>
            </w:r>
          </w:p>
        </w:tc>
        <w:tc>
          <w:tcPr>
            <w:tcW w:w="124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FF0000"/>
                <w:kern w:val="0"/>
                <w:sz w:val="32"/>
                <w:szCs w:val="32"/>
              </w:rPr>
            </w:pPr>
            <w:r>
              <w:rPr>
                <w:rFonts w:hint="eastAsia" w:ascii="仿宋" w:hAnsi="仿宋" w:eastAsia="仿宋" w:cs="宋体"/>
                <w:color w:val="000000"/>
                <w:kern w:val="0"/>
                <w:sz w:val="32"/>
                <w:szCs w:val="32"/>
              </w:rPr>
              <w:t>7</w:t>
            </w:r>
          </w:p>
        </w:tc>
        <w:tc>
          <w:tcPr>
            <w:tcW w:w="124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FF0000"/>
                <w:kern w:val="0"/>
                <w:sz w:val="32"/>
                <w:szCs w:val="32"/>
              </w:rPr>
            </w:pPr>
            <w:r>
              <w:rPr>
                <w:rFonts w:hint="eastAsia" w:ascii="仿宋" w:hAnsi="仿宋" w:eastAsia="仿宋" w:cs="宋体"/>
                <w:color w:val="000000"/>
                <w:kern w:val="0"/>
                <w:sz w:val="32"/>
                <w:szCs w:val="32"/>
              </w:rPr>
              <w:t>100</w:t>
            </w:r>
          </w:p>
        </w:tc>
        <w:tc>
          <w:tcPr>
            <w:tcW w:w="10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FF0000"/>
                <w:kern w:val="0"/>
                <w:sz w:val="32"/>
                <w:szCs w:val="32"/>
              </w:rPr>
            </w:pPr>
            <w:r>
              <w:rPr>
                <w:rFonts w:hint="eastAsia" w:ascii="仿宋" w:hAnsi="仿宋" w:eastAsia="仿宋" w:cs="宋体"/>
                <w:color w:val="000000"/>
                <w:kern w:val="0"/>
                <w:sz w:val="32"/>
                <w:szCs w:val="32"/>
              </w:rPr>
              <w:t>√</w:t>
            </w:r>
          </w:p>
        </w:tc>
        <w:tc>
          <w:tcPr>
            <w:tcW w:w="1500"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FF0000"/>
                <w:kern w:val="0"/>
                <w:sz w:val="32"/>
                <w:szCs w:val="32"/>
              </w:rPr>
            </w:pPr>
            <w:r>
              <w:rPr>
                <w:rFonts w:hint="eastAsia" w:ascii="仿宋" w:hAnsi="仿宋" w:eastAsia="仿宋" w:cs="宋体"/>
                <w:color w:val="FF0000"/>
                <w:kern w:val="0"/>
                <w:sz w:val="32"/>
                <w:szCs w:val="32"/>
              </w:rPr>
              <w:t>　</w:t>
            </w:r>
          </w:p>
        </w:tc>
        <w:tc>
          <w:tcPr>
            <w:tcW w:w="1280"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FF0000"/>
                <w:kern w:val="0"/>
                <w:sz w:val="32"/>
                <w:szCs w:val="32"/>
              </w:rPr>
            </w:pPr>
            <w:r>
              <w:rPr>
                <w:rFonts w:hint="eastAsia" w:ascii="仿宋" w:hAnsi="仿宋" w:eastAsia="仿宋" w:cs="宋体"/>
                <w:color w:val="FF0000"/>
                <w:kern w:val="0"/>
                <w:sz w:val="32"/>
                <w:szCs w:val="32"/>
              </w:rPr>
              <w:t>　</w:t>
            </w:r>
          </w:p>
        </w:tc>
      </w:tr>
    </w:tbl>
    <w:p>
      <w:pPr>
        <w:ind w:firstLine="640" w:firstLineChars="200"/>
        <w:rPr>
          <w:rFonts w:ascii="仿宋" w:hAnsi="仿宋" w:eastAsia="仿宋"/>
          <w:sz w:val="32"/>
          <w:szCs w:val="32"/>
        </w:rPr>
      </w:pPr>
      <w:r>
        <w:rPr>
          <w:rFonts w:ascii="仿宋" w:hAnsi="仿宋" w:eastAsia="仿宋"/>
          <w:sz w:val="32"/>
          <w:szCs w:val="32"/>
        </w:rPr>
        <w:t xml:space="preserve">3. </w:t>
      </w:r>
      <w:r>
        <w:rPr>
          <w:rFonts w:hint="eastAsia" w:ascii="仿宋" w:hAnsi="仿宋" w:eastAsia="仿宋"/>
          <w:sz w:val="32"/>
          <w:szCs w:val="32"/>
        </w:rPr>
        <w:t>偏差原因分析：不存在项目执行绩效与绩效目标发生偏离情况。</w:t>
      </w:r>
    </w:p>
    <w:p>
      <w:pPr>
        <w:ind w:firstLine="640" w:firstLineChars="200"/>
        <w:rPr>
          <w:rFonts w:ascii="仿宋" w:hAnsi="仿宋" w:eastAsia="仿宋"/>
          <w:sz w:val="32"/>
          <w:szCs w:val="32"/>
        </w:rPr>
      </w:pPr>
      <w:r>
        <w:rPr>
          <w:rFonts w:ascii="仿宋" w:hAnsi="仿宋" w:eastAsia="仿宋"/>
          <w:sz w:val="32"/>
          <w:szCs w:val="32"/>
        </w:rPr>
        <w:t xml:space="preserve">4. </w:t>
      </w:r>
      <w:r>
        <w:rPr>
          <w:rFonts w:hint="eastAsia" w:ascii="仿宋" w:hAnsi="仿宋" w:eastAsia="仿宋"/>
          <w:sz w:val="32"/>
          <w:szCs w:val="32"/>
        </w:rPr>
        <w:t>监控过程中采取的整改措施及整改结果。</w:t>
      </w:r>
    </w:p>
    <w:p>
      <w:pPr>
        <w:ind w:firstLine="640" w:firstLineChars="200"/>
        <w:rPr>
          <w:rFonts w:ascii="仿宋" w:hAnsi="仿宋" w:eastAsia="仿宋"/>
          <w:sz w:val="32"/>
          <w:szCs w:val="32"/>
        </w:rPr>
      </w:pPr>
      <w:r>
        <w:rPr>
          <w:rFonts w:hint="eastAsia" w:ascii="仿宋" w:hAnsi="仿宋" w:eastAsia="仿宋"/>
          <w:sz w:val="32"/>
          <w:szCs w:val="32"/>
        </w:rPr>
        <w:t>无</w:t>
      </w:r>
    </w:p>
    <w:p>
      <w:pPr>
        <w:pStyle w:val="6"/>
        <w:shd w:val="clear" w:color="auto" w:fill="FFFFFF"/>
        <w:spacing w:before="0" w:beforeAutospacing="0" w:after="240" w:afterAutospacing="0"/>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（三）财政评价项目绩效评价结果</w:t>
      </w:r>
      <w:r>
        <w:rPr>
          <w:rFonts w:hint="eastAsia" w:ascii="仿宋_GB2312" w:hAnsi="仿宋_GB2312" w:eastAsia="仿宋_GB2312" w:cs="仿宋_GB2312"/>
          <w:sz w:val="32"/>
          <w:szCs w:val="32"/>
        </w:rPr>
        <w:t>。</w:t>
      </w:r>
    </w:p>
    <w:p>
      <w:pPr>
        <w:pStyle w:val="6"/>
        <w:shd w:val="clear" w:color="auto" w:fill="FFFFFF"/>
        <w:spacing w:before="0" w:beforeAutospacing="0" w:after="240" w:afterAutospacing="0"/>
        <w:ind w:firstLine="672" w:firstLineChars="200"/>
        <w:rPr>
          <w:rFonts w:ascii="仿宋" w:hAnsi="仿宋" w:eastAsia="仿宋"/>
          <w:color w:val="333333"/>
          <w:spacing w:val="8"/>
          <w:sz w:val="32"/>
          <w:szCs w:val="32"/>
        </w:rPr>
      </w:pPr>
      <w:r>
        <w:rPr>
          <w:rFonts w:hint="eastAsia" w:ascii="仿宋" w:hAnsi="仿宋" w:eastAsia="仿宋"/>
          <w:color w:val="333333"/>
          <w:spacing w:val="8"/>
          <w:sz w:val="32"/>
          <w:szCs w:val="32"/>
        </w:rPr>
        <w:t>2020年度无财政评价项目绩效</w:t>
      </w:r>
    </w:p>
    <w:p>
      <w:pPr>
        <w:adjustRightInd w:val="0"/>
        <w:snapToGrid w:val="0"/>
        <w:spacing w:line="600" w:lineRule="exact"/>
        <w:ind w:firstLine="643" w:firstLineChars="200"/>
        <w:rPr>
          <w:rFonts w:ascii="仿宋_GB2312" w:hAnsi="仿宋_GB2312" w:eastAsia="仿宋_GB2312" w:cs="仿宋_GB2312"/>
          <w:b/>
          <w:bCs/>
          <w:sz w:val="32"/>
          <w:szCs w:val="32"/>
        </w:rPr>
      </w:pPr>
    </w:p>
    <w:p>
      <w:pPr>
        <w:keepNext/>
        <w:keepLines/>
        <w:snapToGrid w:val="0"/>
        <w:spacing w:line="58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七、机关运行经费情况</w:t>
      </w:r>
    </w:p>
    <w:p>
      <w:pPr>
        <w:keepNext/>
        <w:keepLines/>
        <w:snapToGrid w:val="0"/>
        <w:spacing w:line="580" w:lineRule="exact"/>
        <w:ind w:firstLine="640" w:firstLineChars="200"/>
        <w:outlineLvl w:val="2"/>
        <w:rPr>
          <w:rFonts w:ascii="楷体_GB2312" w:hAnsi="Times New Roman" w:eastAsia="楷体_GB2312" w:cs="DengXian-Bold"/>
          <w:bCs/>
          <w:sz w:val="32"/>
          <w:szCs w:val="32"/>
        </w:rPr>
      </w:pPr>
      <w:r>
        <w:rPr>
          <w:rFonts w:hint="eastAsia" w:ascii="楷体_GB2312" w:hAnsi="Times New Roman" w:eastAsia="楷体_GB2312" w:cs="DengXian-Bold"/>
          <w:bCs/>
          <w:sz w:val="32"/>
          <w:szCs w:val="32"/>
        </w:rPr>
        <w:t>本部门2020年度机关运行经费支出0万元，比2019年增加0万元，增长0%。主要原因是我单位为财政补助事业单位，所以没有机关运行经费</w:t>
      </w:r>
    </w:p>
    <w:p>
      <w:pPr>
        <w:keepNext/>
        <w:keepLines/>
        <w:snapToGrid w:val="0"/>
        <w:spacing w:line="600" w:lineRule="exact"/>
        <w:ind w:firstLine="643" w:firstLineChars="200"/>
        <w:outlineLvl w:val="1"/>
        <w:rPr>
          <w:rFonts w:ascii="黑体" w:hAnsi="黑体" w:eastAsia="黑体" w:cs="黑体"/>
          <w:b/>
          <w:bCs/>
          <w:sz w:val="32"/>
          <w:szCs w:val="32"/>
        </w:rPr>
      </w:pPr>
    </w:p>
    <w:p>
      <w:pPr>
        <w:keepNext/>
        <w:keepLines/>
        <w:snapToGrid w:val="0"/>
        <w:spacing w:line="600" w:lineRule="exac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八、政府采购情况</w:t>
      </w:r>
    </w:p>
    <w:p>
      <w:pPr>
        <w:snapToGrid w:val="0"/>
        <w:spacing w:line="600" w:lineRule="exact"/>
        <w:ind w:firstLine="640" w:firstLineChars="200"/>
        <w:jc w:val="left"/>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本部门2020年度政府采购支出总额0万元，从采购类型来看，</w:t>
      </w:r>
      <w:r>
        <w:rPr>
          <w:rFonts w:hint="eastAsia" w:ascii="仿宋_GB2312" w:hAnsi="仿宋_GB2312" w:eastAsia="仿宋_GB2312" w:cs="仿宋_GB2312"/>
          <w:color w:val="000000"/>
          <w:kern w:val="0"/>
          <w:sz w:val="32"/>
          <w:szCs w:val="32"/>
        </w:rPr>
        <w:t>政府采购货物支出0 万元、政府采购工程支出0万元、政府采购服务支出 0万元。授予中小企业合同金0万元，占政府采购支出总额的0%，其中授予小微企业合同金额0万元，占政府采购支出总额的 0%。</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九、国有资产占用情况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截至2020年12月31日，本部门共有车辆0辆，比上年增加0辆，</w:t>
      </w:r>
      <w:bookmarkStart w:id="0" w:name="_GoBack"/>
      <w:bookmarkEnd w:id="0"/>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厉行节约，压减开支.</w:t>
      </w:r>
      <w:r>
        <w:rPr>
          <w:rFonts w:hint="eastAsia" w:ascii="仿宋_GB2312" w:hAnsi="仿宋_GB2312" w:eastAsia="仿宋_GB2312" w:cs="仿宋_GB2312"/>
          <w:sz w:val="32"/>
          <w:szCs w:val="32"/>
        </w:rPr>
        <w:t>其中，副部（省）级及以上领导用车0辆，主要领导干部用车0辆，机要通信用车0辆，应急保障用车0辆，执法执勤用车0辆，特种专业技术用车0辆，离退休干部用车0辆，其他用车0辆，其他用车主要是</w:t>
      </w:r>
      <w:r>
        <w:rPr>
          <w:rFonts w:hint="eastAsia" w:ascii="仿宋_GB2312" w:eastAsia="仿宋_GB2312" w:cs="DengXian-Regular"/>
          <w:sz w:val="32"/>
          <w:szCs w:val="32"/>
        </w:rPr>
        <w:t>公务用车应急保障</w:t>
      </w:r>
      <w:r>
        <w:rPr>
          <w:rFonts w:hint="eastAsia" w:ascii="仿宋_GB2312" w:hAnsi="Times New Roman" w:eastAsia="仿宋_GB2312" w:cs="DengXian-Regular"/>
          <w:sz w:val="32"/>
          <w:szCs w:val="32"/>
        </w:rPr>
        <w:t>。</w:t>
      </w:r>
    </w:p>
    <w:p>
      <w:pPr>
        <w:ind w:firstLine="640" w:firstLineChars="200"/>
        <w:rPr>
          <w:rFonts w:ascii="仿宋_GB2312" w:hAnsi="Times New Roman" w:eastAsia="仿宋_GB2312" w:cs="DengXian-Regular"/>
          <w:sz w:val="32"/>
          <w:szCs w:val="32"/>
        </w:rPr>
      </w:pPr>
      <w:r>
        <w:rPr>
          <w:rFonts w:hint="eastAsia" w:ascii="仿宋_GB2312" w:hAnsi="仿宋_GB2312" w:eastAsia="仿宋_GB2312" w:cs="仿宋_GB2312"/>
          <w:sz w:val="32"/>
          <w:szCs w:val="32"/>
        </w:rPr>
        <w:t>单位价值50万元以上通用设备0台（套），比上年增加0套，主要是</w:t>
      </w:r>
      <w:r>
        <w:rPr>
          <w:rFonts w:hint="eastAsia" w:ascii="仿宋_GB2312" w:eastAsia="仿宋_GB2312" w:cs="DengXian-Regular"/>
          <w:sz w:val="32"/>
          <w:szCs w:val="32"/>
        </w:rPr>
        <w:t>厉行节约，压减开支</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w:t>
      </w:r>
      <w:r>
        <w:rPr>
          <w:rFonts w:hint="eastAsia" w:ascii="仿宋_GB2312" w:hAnsi="仿宋_GB2312" w:eastAsia="仿宋_GB2312" w:cs="仿宋_GB2312"/>
          <w:sz w:val="32"/>
          <w:szCs w:val="32"/>
        </w:rPr>
        <w:t>单位价值100万元以上专用设备0台（套）比上年增加0套，主要是</w:t>
      </w:r>
      <w:r>
        <w:rPr>
          <w:rFonts w:hint="eastAsia" w:ascii="仿宋_GB2312" w:eastAsia="仿宋_GB2312" w:cs="DengXian-Regular"/>
          <w:sz w:val="32"/>
          <w:szCs w:val="32"/>
        </w:rPr>
        <w:t>厉行节约，压减开支</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w:t>
      </w:r>
    </w:p>
    <w:p>
      <w:pPr>
        <w:rPr>
          <w:rFonts w:eastAsia="楷体_GB2312"/>
          <w:b/>
          <w:sz w:val="28"/>
          <w:szCs w:val="28"/>
        </w:rPr>
      </w:pPr>
    </w:p>
    <w:p>
      <w:pPr>
        <w:jc w:val="center"/>
        <w:rPr>
          <w:rFonts w:ascii="仿宋" w:hAnsi="仿宋" w:eastAsia="仿宋"/>
          <w:b/>
          <w:sz w:val="44"/>
          <w:szCs w:val="44"/>
        </w:rPr>
      </w:pPr>
      <w:r>
        <w:rPr>
          <w:rFonts w:hint="eastAsia" w:ascii="仿宋" w:hAnsi="仿宋" w:eastAsia="仿宋"/>
          <w:b/>
          <w:sz w:val="44"/>
          <w:szCs w:val="44"/>
        </w:rPr>
        <w:t>保定市满城区部门固定资产占用情况表</w:t>
      </w:r>
    </w:p>
    <w:p>
      <w:pPr>
        <w:jc w:val="center"/>
        <w:rPr>
          <w:rFonts w:ascii="仿宋" w:hAnsi="仿宋" w:eastAsia="仿宋"/>
          <w:b/>
          <w:sz w:val="44"/>
          <w:szCs w:val="44"/>
        </w:rPr>
      </w:pPr>
    </w:p>
    <w:p>
      <w:pPr>
        <w:ind w:firstLine="240" w:firstLineChars="100"/>
        <w:rPr>
          <w:rFonts w:eastAsia="仿宋_GB2312"/>
          <w:sz w:val="24"/>
        </w:rPr>
      </w:pPr>
      <w:r>
        <w:rPr>
          <w:rFonts w:eastAsia="仿宋_GB2312"/>
          <w:sz w:val="24"/>
        </w:rPr>
        <w:t>编制部门：</w:t>
      </w:r>
      <w:r>
        <w:rPr>
          <w:rFonts w:hint="eastAsia" w:eastAsia="仿宋_GB2312"/>
          <w:sz w:val="24"/>
        </w:rPr>
        <w:t xml:space="preserve">  保定市满城区博物馆           </w:t>
      </w:r>
      <w:r>
        <w:rPr>
          <w:rFonts w:eastAsia="仿宋_GB2312"/>
          <w:sz w:val="24"/>
        </w:rPr>
        <w:t>截止日期：2020年12月31</w:t>
      </w:r>
      <w:r>
        <w:rPr>
          <w:rFonts w:hint="eastAsia" w:eastAsia="仿宋_GB2312"/>
          <w:sz w:val="24"/>
        </w:rPr>
        <w:t>日</w:t>
      </w:r>
    </w:p>
    <w:tbl>
      <w:tblPr>
        <w:tblStyle w:val="7"/>
        <w:tblW w:w="0" w:type="auto"/>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2824"/>
        <w:gridCol w:w="2421"/>
        <w:gridCol w:w="2126"/>
        <w:gridCol w:w="158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0" w:hRule="atLeast"/>
        </w:trPr>
        <w:tc>
          <w:tcPr>
            <w:tcW w:w="2824" w:type="dxa"/>
            <w:tcBorders>
              <w:bottom w:val="single" w:color="auto" w:sz="6" w:space="0"/>
              <w:right w:val="single" w:color="auto" w:sz="8" w:space="0"/>
            </w:tcBorders>
            <w:vAlign w:val="center"/>
          </w:tcPr>
          <w:p>
            <w:pPr>
              <w:jc w:val="center"/>
              <w:rPr>
                <w:rFonts w:ascii="楷体_GB2312" w:eastAsia="楷体_GB2312"/>
                <w:b/>
                <w:sz w:val="28"/>
                <w:szCs w:val="28"/>
              </w:rPr>
            </w:pPr>
            <w:r>
              <w:rPr>
                <w:rFonts w:hint="eastAsia" w:ascii="楷体_GB2312" w:eastAsia="楷体_GB2312"/>
                <w:b/>
                <w:sz w:val="28"/>
                <w:szCs w:val="28"/>
              </w:rPr>
              <w:t>项  目</w:t>
            </w:r>
          </w:p>
        </w:tc>
        <w:tc>
          <w:tcPr>
            <w:tcW w:w="2421" w:type="dxa"/>
            <w:tcBorders>
              <w:left w:val="single" w:color="auto" w:sz="8" w:space="0"/>
              <w:bottom w:val="single" w:color="auto" w:sz="6" w:space="0"/>
              <w:right w:val="single" w:color="auto" w:sz="8" w:space="0"/>
            </w:tcBorders>
            <w:vAlign w:val="center"/>
          </w:tcPr>
          <w:p>
            <w:pPr>
              <w:jc w:val="center"/>
              <w:rPr>
                <w:rFonts w:ascii="楷体_GB2312" w:eastAsia="楷体_GB2312"/>
                <w:b/>
                <w:sz w:val="28"/>
                <w:szCs w:val="28"/>
              </w:rPr>
            </w:pPr>
            <w:r>
              <w:rPr>
                <w:rFonts w:hint="eastAsia" w:ascii="楷体_GB2312" w:eastAsia="楷体_GB2312"/>
                <w:b/>
                <w:sz w:val="28"/>
                <w:szCs w:val="28"/>
              </w:rPr>
              <w:t>数  量</w:t>
            </w:r>
          </w:p>
        </w:tc>
        <w:tc>
          <w:tcPr>
            <w:tcW w:w="2126" w:type="dxa"/>
            <w:tcBorders>
              <w:left w:val="single" w:color="auto" w:sz="8" w:space="0"/>
              <w:bottom w:val="single" w:color="auto" w:sz="6" w:space="0"/>
              <w:right w:val="single" w:color="auto" w:sz="8" w:space="0"/>
            </w:tcBorders>
            <w:vAlign w:val="center"/>
          </w:tcPr>
          <w:p>
            <w:pPr>
              <w:jc w:val="center"/>
              <w:rPr>
                <w:rFonts w:ascii="楷体_GB2312" w:eastAsia="楷体_GB2312"/>
                <w:b/>
                <w:sz w:val="28"/>
                <w:szCs w:val="28"/>
              </w:rPr>
            </w:pPr>
            <w:r>
              <w:rPr>
                <w:rFonts w:hint="eastAsia" w:ascii="楷体_GB2312" w:eastAsia="楷体_GB2312"/>
                <w:b/>
                <w:sz w:val="28"/>
                <w:szCs w:val="28"/>
              </w:rPr>
              <w:t>价值（金额单位：万元）</w:t>
            </w:r>
          </w:p>
        </w:tc>
        <w:tc>
          <w:tcPr>
            <w:tcW w:w="1581" w:type="dxa"/>
            <w:tcBorders>
              <w:left w:val="single" w:color="auto" w:sz="8" w:space="0"/>
              <w:bottom w:val="single" w:color="auto" w:sz="6" w:space="0"/>
            </w:tcBorders>
            <w:vAlign w:val="center"/>
          </w:tcPr>
          <w:p>
            <w:pPr>
              <w:jc w:val="center"/>
              <w:rPr>
                <w:rFonts w:ascii="楷体_GB2312" w:eastAsia="楷体_GB2312"/>
                <w:b/>
                <w:sz w:val="28"/>
                <w:szCs w:val="28"/>
              </w:rPr>
            </w:pPr>
            <w:r>
              <w:rPr>
                <w:rFonts w:hint="eastAsia" w:ascii="楷体_GB2312" w:eastAsia="楷体_GB2312"/>
                <w:b/>
                <w:sz w:val="28"/>
                <w:szCs w:val="28"/>
              </w:rPr>
              <w:t>备 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0" w:hRule="atLeast"/>
        </w:trPr>
        <w:tc>
          <w:tcPr>
            <w:tcW w:w="2824" w:type="dxa"/>
            <w:tcBorders>
              <w:top w:val="single" w:color="auto" w:sz="6" w:space="0"/>
              <w:bottom w:val="single" w:color="auto" w:sz="6" w:space="0"/>
              <w:right w:val="single" w:color="auto" w:sz="8" w:space="0"/>
            </w:tcBorders>
          </w:tcPr>
          <w:p>
            <w:pPr>
              <w:rPr>
                <w:rFonts w:eastAsia="仿宋_GB2312"/>
                <w:sz w:val="28"/>
                <w:szCs w:val="28"/>
              </w:rPr>
            </w:pPr>
            <w:r>
              <w:rPr>
                <w:rFonts w:eastAsia="仿宋_GB2312"/>
                <w:sz w:val="28"/>
                <w:szCs w:val="28"/>
              </w:rPr>
              <w:t>资产总额</w:t>
            </w:r>
          </w:p>
        </w:tc>
        <w:tc>
          <w:tcPr>
            <w:tcW w:w="2421" w:type="dxa"/>
            <w:tcBorders>
              <w:top w:val="single" w:color="auto" w:sz="6" w:space="0"/>
              <w:left w:val="single" w:color="auto" w:sz="8" w:space="0"/>
              <w:bottom w:val="single" w:color="auto" w:sz="6" w:space="0"/>
              <w:right w:val="single" w:color="auto" w:sz="8" w:space="0"/>
            </w:tcBorders>
          </w:tcPr>
          <w:p>
            <w:pPr>
              <w:rPr>
                <w:rFonts w:eastAsia="仿宋_GB2312"/>
                <w:sz w:val="28"/>
                <w:szCs w:val="28"/>
              </w:rPr>
            </w:pPr>
            <w:r>
              <w:rPr>
                <w:rFonts w:hint="eastAsia" w:eastAsia="仿宋_GB2312"/>
                <w:sz w:val="28"/>
                <w:szCs w:val="28"/>
              </w:rPr>
              <w:t>80</w:t>
            </w:r>
          </w:p>
        </w:tc>
        <w:tc>
          <w:tcPr>
            <w:tcW w:w="2126" w:type="dxa"/>
            <w:tcBorders>
              <w:top w:val="single" w:color="auto" w:sz="6" w:space="0"/>
              <w:left w:val="single" w:color="auto" w:sz="8" w:space="0"/>
              <w:bottom w:val="single" w:color="auto" w:sz="6" w:space="0"/>
              <w:right w:val="single" w:color="auto" w:sz="8" w:space="0"/>
            </w:tcBorders>
          </w:tcPr>
          <w:p>
            <w:pPr>
              <w:rPr>
                <w:rFonts w:eastAsia="仿宋_GB2312"/>
                <w:sz w:val="28"/>
                <w:szCs w:val="28"/>
              </w:rPr>
            </w:pPr>
            <w:r>
              <w:rPr>
                <w:rFonts w:hint="eastAsia" w:eastAsia="仿宋_GB2312"/>
                <w:sz w:val="28"/>
                <w:szCs w:val="28"/>
              </w:rPr>
              <w:t>10</w:t>
            </w:r>
          </w:p>
        </w:tc>
        <w:tc>
          <w:tcPr>
            <w:tcW w:w="1581" w:type="dxa"/>
            <w:tcBorders>
              <w:top w:val="single" w:color="auto" w:sz="6" w:space="0"/>
              <w:left w:val="single" w:color="auto" w:sz="8" w:space="0"/>
              <w:bottom w:val="single" w:color="auto" w:sz="6" w:space="0"/>
            </w:tcBorders>
          </w:tcPr>
          <w:p>
            <w:pPr>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0" w:hRule="atLeast"/>
        </w:trPr>
        <w:tc>
          <w:tcPr>
            <w:tcW w:w="2824" w:type="dxa"/>
            <w:tcBorders>
              <w:top w:val="single" w:color="auto" w:sz="6" w:space="0"/>
              <w:bottom w:val="single" w:color="auto" w:sz="6" w:space="0"/>
              <w:right w:val="single" w:color="auto" w:sz="8" w:space="0"/>
            </w:tcBorders>
          </w:tcPr>
          <w:p>
            <w:pPr>
              <w:rPr>
                <w:rFonts w:eastAsia="仿宋_GB2312"/>
                <w:sz w:val="28"/>
                <w:szCs w:val="28"/>
              </w:rPr>
            </w:pPr>
            <w:r>
              <w:rPr>
                <w:rFonts w:eastAsia="仿宋_GB2312"/>
                <w:sz w:val="28"/>
                <w:szCs w:val="28"/>
              </w:rPr>
              <w:t>1、房屋（平方米）</w:t>
            </w:r>
          </w:p>
        </w:tc>
        <w:tc>
          <w:tcPr>
            <w:tcW w:w="2421" w:type="dxa"/>
            <w:tcBorders>
              <w:top w:val="single" w:color="auto" w:sz="6" w:space="0"/>
              <w:left w:val="single" w:color="auto" w:sz="8" w:space="0"/>
              <w:bottom w:val="single" w:color="auto" w:sz="6" w:space="0"/>
              <w:right w:val="single" w:color="auto" w:sz="8" w:space="0"/>
            </w:tcBorders>
          </w:tcPr>
          <w:p>
            <w:pPr>
              <w:rPr>
                <w:rFonts w:eastAsia="仿宋_GB2312"/>
                <w:sz w:val="28"/>
                <w:szCs w:val="28"/>
              </w:rPr>
            </w:pPr>
            <w:r>
              <w:rPr>
                <w:rFonts w:hint="eastAsia" w:eastAsia="仿宋_GB2312"/>
                <w:sz w:val="28"/>
                <w:szCs w:val="28"/>
              </w:rPr>
              <w:t>80</w:t>
            </w:r>
          </w:p>
        </w:tc>
        <w:tc>
          <w:tcPr>
            <w:tcW w:w="2126" w:type="dxa"/>
            <w:tcBorders>
              <w:top w:val="single" w:color="auto" w:sz="6" w:space="0"/>
              <w:left w:val="single" w:color="auto" w:sz="8" w:space="0"/>
              <w:bottom w:val="single" w:color="auto" w:sz="6" w:space="0"/>
              <w:right w:val="single" w:color="auto" w:sz="8" w:space="0"/>
            </w:tcBorders>
          </w:tcPr>
          <w:p>
            <w:pPr>
              <w:rPr>
                <w:rFonts w:eastAsia="仿宋_GB2312"/>
                <w:sz w:val="28"/>
                <w:szCs w:val="28"/>
              </w:rPr>
            </w:pPr>
            <w:r>
              <w:rPr>
                <w:rFonts w:hint="eastAsia" w:eastAsia="仿宋_GB2312"/>
                <w:sz w:val="28"/>
                <w:szCs w:val="28"/>
              </w:rPr>
              <w:t>10</w:t>
            </w:r>
          </w:p>
        </w:tc>
        <w:tc>
          <w:tcPr>
            <w:tcW w:w="1581" w:type="dxa"/>
            <w:tcBorders>
              <w:top w:val="single" w:color="auto" w:sz="6" w:space="0"/>
              <w:left w:val="single" w:color="auto" w:sz="8" w:space="0"/>
              <w:bottom w:val="single" w:color="auto" w:sz="6" w:space="0"/>
            </w:tcBorders>
          </w:tcPr>
          <w:p>
            <w:pPr>
              <w:rPr>
                <w:rFonts w:eastAsia="仿宋_GB2312"/>
                <w:sz w:val="28"/>
                <w:szCs w:val="28"/>
              </w:rPr>
            </w:pPr>
            <w:r>
              <w:rPr>
                <w:rFonts w:hint="eastAsia" w:eastAsia="仿宋_GB2312"/>
                <w:sz w:val="28"/>
                <w:szCs w:val="28"/>
              </w:rPr>
              <w:t>文物库房</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0" w:hRule="atLeast"/>
        </w:trPr>
        <w:tc>
          <w:tcPr>
            <w:tcW w:w="2824" w:type="dxa"/>
            <w:tcBorders>
              <w:top w:val="single" w:color="auto" w:sz="6" w:space="0"/>
              <w:bottom w:val="single" w:color="auto" w:sz="6" w:space="0"/>
              <w:right w:val="single" w:color="auto" w:sz="8" w:space="0"/>
            </w:tcBorders>
          </w:tcPr>
          <w:p>
            <w:pPr>
              <w:rPr>
                <w:rFonts w:eastAsia="仿宋_GB2312"/>
                <w:sz w:val="28"/>
                <w:szCs w:val="28"/>
              </w:rPr>
            </w:pPr>
            <w:r>
              <w:rPr>
                <w:rFonts w:eastAsia="仿宋_GB2312"/>
                <w:sz w:val="28"/>
                <w:szCs w:val="28"/>
              </w:rPr>
              <w:t xml:space="preserve">   其中：办公用房（平方米）</w:t>
            </w:r>
          </w:p>
        </w:tc>
        <w:tc>
          <w:tcPr>
            <w:tcW w:w="2421" w:type="dxa"/>
            <w:tcBorders>
              <w:top w:val="single" w:color="auto" w:sz="6" w:space="0"/>
              <w:left w:val="single" w:color="auto" w:sz="8" w:space="0"/>
              <w:bottom w:val="single" w:color="auto" w:sz="6" w:space="0"/>
              <w:right w:val="single" w:color="auto" w:sz="8" w:space="0"/>
            </w:tcBorders>
          </w:tcPr>
          <w:p>
            <w:pPr>
              <w:rPr>
                <w:rFonts w:eastAsia="仿宋_GB2312"/>
                <w:sz w:val="28"/>
                <w:szCs w:val="28"/>
              </w:rPr>
            </w:pPr>
          </w:p>
        </w:tc>
        <w:tc>
          <w:tcPr>
            <w:tcW w:w="2126" w:type="dxa"/>
            <w:tcBorders>
              <w:top w:val="single" w:color="auto" w:sz="6" w:space="0"/>
              <w:left w:val="single" w:color="auto" w:sz="8" w:space="0"/>
              <w:bottom w:val="single" w:color="auto" w:sz="6" w:space="0"/>
              <w:right w:val="single" w:color="auto" w:sz="8" w:space="0"/>
            </w:tcBorders>
          </w:tcPr>
          <w:p>
            <w:pPr>
              <w:rPr>
                <w:rFonts w:eastAsia="仿宋_GB2312"/>
                <w:sz w:val="28"/>
                <w:szCs w:val="28"/>
              </w:rPr>
            </w:pPr>
          </w:p>
        </w:tc>
        <w:tc>
          <w:tcPr>
            <w:tcW w:w="1581" w:type="dxa"/>
            <w:tcBorders>
              <w:top w:val="single" w:color="auto" w:sz="6" w:space="0"/>
              <w:left w:val="single" w:color="auto" w:sz="8" w:space="0"/>
              <w:bottom w:val="single" w:color="auto" w:sz="6" w:space="0"/>
            </w:tcBorders>
          </w:tcPr>
          <w:p>
            <w:pPr>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0" w:hRule="atLeast"/>
        </w:trPr>
        <w:tc>
          <w:tcPr>
            <w:tcW w:w="2824" w:type="dxa"/>
            <w:tcBorders>
              <w:top w:val="single" w:color="auto" w:sz="6" w:space="0"/>
              <w:bottom w:val="single" w:color="auto" w:sz="6" w:space="0"/>
              <w:right w:val="single" w:color="auto" w:sz="8" w:space="0"/>
            </w:tcBorders>
          </w:tcPr>
          <w:p>
            <w:pPr>
              <w:rPr>
                <w:rFonts w:eastAsia="仿宋_GB2312"/>
                <w:sz w:val="28"/>
                <w:szCs w:val="28"/>
              </w:rPr>
            </w:pPr>
            <w:r>
              <w:rPr>
                <w:rFonts w:eastAsia="仿宋_GB2312"/>
                <w:sz w:val="28"/>
                <w:szCs w:val="28"/>
              </w:rPr>
              <w:t>2、车辆（台、辆）</w:t>
            </w:r>
          </w:p>
        </w:tc>
        <w:tc>
          <w:tcPr>
            <w:tcW w:w="2421" w:type="dxa"/>
            <w:tcBorders>
              <w:top w:val="single" w:color="auto" w:sz="6" w:space="0"/>
              <w:left w:val="single" w:color="auto" w:sz="8" w:space="0"/>
              <w:bottom w:val="single" w:color="auto" w:sz="6" w:space="0"/>
              <w:right w:val="single" w:color="auto" w:sz="8" w:space="0"/>
            </w:tcBorders>
          </w:tcPr>
          <w:p>
            <w:pPr>
              <w:rPr>
                <w:rFonts w:eastAsia="仿宋_GB2312"/>
                <w:sz w:val="28"/>
                <w:szCs w:val="28"/>
              </w:rPr>
            </w:pPr>
          </w:p>
        </w:tc>
        <w:tc>
          <w:tcPr>
            <w:tcW w:w="2126" w:type="dxa"/>
            <w:tcBorders>
              <w:top w:val="single" w:color="auto" w:sz="6" w:space="0"/>
              <w:left w:val="single" w:color="auto" w:sz="8" w:space="0"/>
              <w:bottom w:val="single" w:color="auto" w:sz="6" w:space="0"/>
              <w:right w:val="single" w:color="auto" w:sz="8" w:space="0"/>
            </w:tcBorders>
          </w:tcPr>
          <w:p>
            <w:pPr>
              <w:rPr>
                <w:rFonts w:eastAsia="仿宋_GB2312"/>
                <w:sz w:val="28"/>
                <w:szCs w:val="28"/>
              </w:rPr>
            </w:pPr>
          </w:p>
        </w:tc>
        <w:tc>
          <w:tcPr>
            <w:tcW w:w="1581" w:type="dxa"/>
            <w:tcBorders>
              <w:top w:val="single" w:color="auto" w:sz="6" w:space="0"/>
              <w:left w:val="single" w:color="auto" w:sz="8" w:space="0"/>
              <w:bottom w:val="single" w:color="auto" w:sz="6" w:space="0"/>
            </w:tcBorders>
          </w:tcPr>
          <w:p>
            <w:pPr>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0" w:hRule="atLeast"/>
        </w:trPr>
        <w:tc>
          <w:tcPr>
            <w:tcW w:w="2824" w:type="dxa"/>
            <w:tcBorders>
              <w:top w:val="single" w:color="auto" w:sz="6" w:space="0"/>
              <w:bottom w:val="single" w:color="auto" w:sz="6" w:space="0"/>
              <w:right w:val="single" w:color="auto" w:sz="8" w:space="0"/>
            </w:tcBorders>
          </w:tcPr>
          <w:p>
            <w:pPr>
              <w:rPr>
                <w:rFonts w:eastAsia="仿宋_GB2312"/>
                <w:sz w:val="28"/>
                <w:szCs w:val="28"/>
              </w:rPr>
            </w:pPr>
            <w:r>
              <w:rPr>
                <w:rFonts w:eastAsia="仿宋_GB2312"/>
                <w:sz w:val="28"/>
                <w:szCs w:val="28"/>
              </w:rPr>
              <w:t>2、单位在20万元以上的设备</w:t>
            </w:r>
          </w:p>
        </w:tc>
        <w:tc>
          <w:tcPr>
            <w:tcW w:w="2421" w:type="dxa"/>
            <w:tcBorders>
              <w:top w:val="single" w:color="auto" w:sz="6" w:space="0"/>
              <w:left w:val="single" w:color="auto" w:sz="8" w:space="0"/>
              <w:bottom w:val="single" w:color="auto" w:sz="6" w:space="0"/>
              <w:right w:val="single" w:color="auto" w:sz="8" w:space="0"/>
            </w:tcBorders>
          </w:tcPr>
          <w:p>
            <w:pPr>
              <w:rPr>
                <w:rFonts w:eastAsia="仿宋_GB2312"/>
                <w:sz w:val="28"/>
                <w:szCs w:val="28"/>
              </w:rPr>
            </w:pPr>
          </w:p>
        </w:tc>
        <w:tc>
          <w:tcPr>
            <w:tcW w:w="2126" w:type="dxa"/>
            <w:tcBorders>
              <w:top w:val="single" w:color="auto" w:sz="6" w:space="0"/>
              <w:left w:val="single" w:color="auto" w:sz="8" w:space="0"/>
              <w:bottom w:val="single" w:color="auto" w:sz="6" w:space="0"/>
              <w:right w:val="single" w:color="auto" w:sz="8" w:space="0"/>
            </w:tcBorders>
          </w:tcPr>
          <w:p>
            <w:pPr>
              <w:rPr>
                <w:rFonts w:eastAsia="仿宋_GB2312"/>
                <w:sz w:val="28"/>
                <w:szCs w:val="28"/>
              </w:rPr>
            </w:pPr>
          </w:p>
        </w:tc>
        <w:tc>
          <w:tcPr>
            <w:tcW w:w="1581" w:type="dxa"/>
            <w:tcBorders>
              <w:top w:val="single" w:color="auto" w:sz="6" w:space="0"/>
              <w:left w:val="single" w:color="auto" w:sz="8" w:space="0"/>
              <w:bottom w:val="single" w:color="auto" w:sz="6" w:space="0"/>
            </w:tcBorders>
          </w:tcPr>
          <w:p>
            <w:pPr>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0" w:hRule="atLeast"/>
        </w:trPr>
        <w:tc>
          <w:tcPr>
            <w:tcW w:w="2824" w:type="dxa"/>
            <w:tcBorders>
              <w:top w:val="single" w:color="auto" w:sz="6" w:space="0"/>
              <w:right w:val="single" w:color="auto" w:sz="8" w:space="0"/>
            </w:tcBorders>
          </w:tcPr>
          <w:p>
            <w:pPr>
              <w:rPr>
                <w:rFonts w:eastAsia="仿宋_GB2312"/>
                <w:sz w:val="28"/>
                <w:szCs w:val="28"/>
              </w:rPr>
            </w:pPr>
            <w:r>
              <w:rPr>
                <w:rFonts w:eastAsia="仿宋_GB2312"/>
                <w:sz w:val="28"/>
                <w:szCs w:val="28"/>
              </w:rPr>
              <w:t>4、其他固定资产</w:t>
            </w:r>
          </w:p>
        </w:tc>
        <w:tc>
          <w:tcPr>
            <w:tcW w:w="2421" w:type="dxa"/>
            <w:tcBorders>
              <w:top w:val="single" w:color="auto" w:sz="6" w:space="0"/>
              <w:left w:val="single" w:color="auto" w:sz="8" w:space="0"/>
              <w:right w:val="single" w:color="auto" w:sz="8" w:space="0"/>
            </w:tcBorders>
          </w:tcPr>
          <w:p>
            <w:pPr>
              <w:rPr>
                <w:rFonts w:eastAsia="仿宋_GB2312"/>
                <w:sz w:val="28"/>
                <w:szCs w:val="28"/>
              </w:rPr>
            </w:pPr>
          </w:p>
        </w:tc>
        <w:tc>
          <w:tcPr>
            <w:tcW w:w="2126" w:type="dxa"/>
            <w:tcBorders>
              <w:top w:val="single" w:color="auto" w:sz="6" w:space="0"/>
              <w:left w:val="single" w:color="auto" w:sz="8" w:space="0"/>
              <w:right w:val="single" w:color="auto" w:sz="8" w:space="0"/>
            </w:tcBorders>
          </w:tcPr>
          <w:p>
            <w:pPr>
              <w:rPr>
                <w:rFonts w:eastAsia="仿宋_GB2312"/>
                <w:sz w:val="28"/>
                <w:szCs w:val="28"/>
              </w:rPr>
            </w:pPr>
          </w:p>
        </w:tc>
        <w:tc>
          <w:tcPr>
            <w:tcW w:w="1581" w:type="dxa"/>
            <w:tcBorders>
              <w:top w:val="single" w:color="auto" w:sz="6" w:space="0"/>
              <w:left w:val="single" w:color="auto" w:sz="8" w:space="0"/>
            </w:tcBorders>
          </w:tcPr>
          <w:p>
            <w:pPr>
              <w:rPr>
                <w:rFonts w:eastAsia="仿宋_GB2312"/>
                <w:sz w:val="28"/>
                <w:szCs w:val="28"/>
              </w:rPr>
            </w:pPr>
          </w:p>
        </w:tc>
      </w:tr>
    </w:tbl>
    <w:p>
      <w:pPr>
        <w:rPr>
          <w:rFonts w:eastAsia="仿宋_GB2312"/>
          <w:sz w:val="28"/>
          <w:szCs w:val="28"/>
        </w:rPr>
      </w:pPr>
    </w:p>
    <w:p>
      <w:pPr>
        <w:adjustRightInd w:val="0"/>
        <w:snapToGrid w:val="0"/>
        <w:spacing w:line="600" w:lineRule="exact"/>
        <w:ind w:firstLine="640" w:firstLineChars="200"/>
        <w:rPr>
          <w:rFonts w:ascii="仿宋_GB2312" w:hAnsi="Times New Roman" w:eastAsia="仿宋_GB2312" w:cs="DengXian-Regular"/>
          <w:sz w:val="32"/>
          <w:szCs w:val="32"/>
        </w:rPr>
      </w:pPr>
    </w:p>
    <w:p>
      <w:pPr>
        <w:adjustRightInd w:val="0"/>
        <w:snapToGrid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十、其他需要说明的情况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Times New Roman" w:eastAsia="仿宋_GB2312" w:cs="DengXian-Regular"/>
          <w:sz w:val="32"/>
          <w:szCs w:val="32"/>
        </w:rPr>
        <w:t xml:space="preserve"> 本部门</w:t>
      </w:r>
      <w:r>
        <w:rPr>
          <w:rFonts w:ascii="仿宋_GB2312" w:hAnsi="Times New Roman" w:eastAsia="仿宋_GB2312" w:cs="DengXian-Regular"/>
          <w:sz w:val="32"/>
          <w:szCs w:val="32"/>
        </w:rPr>
        <w:t>20</w:t>
      </w:r>
      <w:r>
        <w:rPr>
          <w:rFonts w:hint="eastAsia" w:ascii="仿宋_GB2312" w:hAnsi="Times New Roman" w:eastAsia="仿宋_GB2312" w:cs="DengXian-Regular"/>
          <w:sz w:val="32"/>
          <w:szCs w:val="32"/>
        </w:rPr>
        <w:t>20年度国有资本经营预算财政拨款无收支及结转结余情况，故公开0</w:t>
      </w:r>
      <w:r>
        <w:rPr>
          <w:rFonts w:ascii="仿宋_GB2312" w:hAnsi="Times New Roman" w:eastAsia="仿宋_GB2312" w:cs="DengXian-Regular"/>
          <w:sz w:val="32"/>
          <w:szCs w:val="32"/>
        </w:rPr>
        <w:t>9</w:t>
      </w:r>
      <w:r>
        <w:rPr>
          <w:rFonts w:hint="eastAsia" w:ascii="仿宋_GB2312" w:hAnsi="Times New Roman" w:eastAsia="仿宋_GB2312" w:cs="DengXian-Regular"/>
          <w:sz w:val="32"/>
          <w:szCs w:val="32"/>
        </w:rPr>
        <w:t>表以空表列示。</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由于决算公开表格中金额数值应当保留两位小数，公开数据为四舍五入计算结果，个别数据合计项与分项之和存在小数点后差额，特此说明。</w: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r>
        <w:rPr>
          <w:rFonts w:hint="eastAsia" w:ascii="仿宋_GB2312" w:hAnsi="宋体" w:eastAsia="仿宋_GB2312" w:cs="Arial Black"/>
          <w:sz w:val="32"/>
          <w:szCs w:val="32"/>
        </w:rPr>
        <w:t xml:space="preserve"> </w:t>
      </w:r>
    </w:p>
    <w:p>
      <w:pPr>
        <w:rPr>
          <w:rFonts w:ascii="仿宋_GB2312" w:hAnsi="宋体" w:eastAsia="仿宋_GB2312" w:cs="Arial Black"/>
          <w:sz w:val="32"/>
          <w:szCs w:val="32"/>
        </w:rPr>
      </w:pPr>
      <w:r>
        <w:rPr>
          <w:sz w:val="72"/>
        </w:rPr>
        <w:pict>
          <v:shape id="_x0000_s1029" o:spid="_x0000_s1029" o:spt="202" type="#_x0000_t202" style="position:absolute;left:0pt;margin-left:-80.5pt;margin-top:15.9pt;height:263.1pt;width:613.65pt;z-index:251660288;v-text-anchor:middle;mso-width-relative:page;mso-height-relative:page;" fillcolor="#7F7F7F" filled="t" stroked="t" coordsize="21600,21600" o:gfxdata="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P/0jT7ZAAAADAEAAA8A&#10;AAAAAAAAAQAgAAAAIgAAAGRycy9kb3ducmV2LnhtbFBLAQIUABQAAAAIAIdO4kDBnZ8JiAIAAEwF&#10;AAAOAAAAAAAAAAEAIAAAACgBAABkcnMvZTJvRG9jLnhtbFBLBQYAAAAABgAGAFkBAAAiBgAAAAA=&#10;">
            <v:path/>
            <v:fill type="pattern" on="t" o:title="5%" focussize="0,0" r:id="rId14"/>
            <v:stroke weight="0.5pt" color="#7F7F7F" joinstyle="round"/>
            <v:imagedata o:title=""/>
            <o:lock v:ext="edit"/>
            <v:textbox>
              <w:txbxContent>
                <w:p>
                  <w:pPr>
                    <w:widowControl/>
                    <w:jc w:val="center"/>
                  </w:pPr>
                  <w:r>
                    <w:rPr>
                      <w:rFonts w:hint="eastAsia" w:ascii="黑体" w:hAnsi="黑体" w:eastAsia="黑体" w:cs="黑体"/>
                      <w:color w:val="000000" w:themeColor="text1"/>
                      <w:sz w:val="90"/>
                      <w:szCs w:val="90"/>
                    </w:rPr>
                    <w:t xml:space="preserve">第三部分 相关名词解释 </w:t>
                  </w:r>
                </w:p>
              </w:txbxContent>
            </v:textbox>
          </v:shape>
        </w:pic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highlight w:val="yellow"/>
        </w:rPr>
      </w:pPr>
      <w:r>
        <w:rPr>
          <w:rFonts w:hint="eastAsia" w:ascii="仿宋_GB2312" w:hAnsi="宋体" w:eastAsia="仿宋_GB2312" w:cs="Arial Black"/>
          <w:sz w:val="32"/>
          <w:szCs w:val="32"/>
          <w:highlight w:val="yellow"/>
        </w:rPr>
        <w:br w:type="page"/>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widowControl/>
        <w:spacing w:after="160" w:line="580" w:lineRule="exact"/>
        <w:rPr>
          <w:rFonts w:ascii="Times New Roman" w:hAnsi="Times New Roman" w:eastAsia="黑体" w:cs="Times New Roman"/>
          <w:sz w:val="32"/>
          <w:szCs w:val="32"/>
        </w:rPr>
        <w:sectPr>
          <w:headerReference r:id="rId11" w:type="default"/>
          <w:pgSz w:w="11906" w:h="16838"/>
          <w:pgMar w:top="2098" w:right="1531" w:bottom="1984" w:left="1531" w:header="851" w:footer="992" w:gutter="0"/>
          <w:pgNumType w:fmt="numberInDash"/>
          <w:cols w:space="0" w:num="1"/>
          <w:titlePg/>
          <w:docGrid w:type="lines" w:linePitch="312" w:charSpace="0"/>
        </w:sectPr>
      </w:pPr>
    </w:p>
    <w:p>
      <w:pPr>
        <w:rPr>
          <w:rFonts w:ascii="黑体" w:hAnsi="黑体" w:eastAsia="黑体" w:cs="黑体"/>
          <w:sz w:val="56"/>
          <w:szCs w:val="72"/>
        </w:rPr>
        <w:sectPr>
          <w:type w:val="continuous"/>
          <w:pgSz w:w="11906" w:h="16838"/>
          <w:pgMar w:top="2098" w:right="1531" w:bottom="1984" w:left="1531" w:header="851" w:footer="992" w:gutter="0"/>
          <w:pgNumType w:fmt="numberInDash"/>
          <w:cols w:space="0" w:num="1"/>
          <w:titlePg/>
          <w:docGrid w:type="lines" w:linePitch="312" w:charSpace="0"/>
        </w:sectPr>
      </w:pPr>
      <w:r>
        <w:rPr>
          <w:sz w:val="72"/>
        </w:rPr>
        <w:pict>
          <v:shape id="_x0000_s1028" o:spid="_x0000_s1028" o:spt="202" type="#_x0000_t202" style="position:absolute;left:0pt;margin-left:-80.9pt;margin-top:90.65pt;height:263.1pt;width:613.65pt;z-index:251664384;v-text-anchor:middle;mso-width-relative:page;mso-height-relative:page;" fillcolor="#7F7F7F" filled="t" stroked="t" coordsize="21600,21600" o:gfxdata="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ANhBuPcAAAADQEAAA8AAAAAAAAAAQAgAAAAIgAAAGRycy9kb3du&#10;cmV2LnhtbFBLAQIUABQAAAAIAIdO4kAJY6zCpgIAAKkFAAAOAAAAAAAAAAEAIAAAACsBAABkcnMv&#10;ZTJvRG9jLnhtbFBLBQYAAAAABgAGAFkBAABDBgAAAAA=&#10;">
            <v:path/>
            <v:fill type="pattern" on="t" o:title="5%" focussize="0,0" r:id="rId14"/>
            <v:stroke weight="1pt" color="#A6A6A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第四部分 </w:t>
                  </w:r>
                </w:p>
                <w:p>
                  <w:pPr>
                    <w:widowControl/>
                    <w:jc w:val="center"/>
                  </w:pPr>
                  <w:r>
                    <w:rPr>
                      <w:rFonts w:hint="eastAsia" w:ascii="黑体" w:hAnsi="黑体" w:eastAsia="黑体" w:cs="黑体"/>
                      <w:color w:val="000000" w:themeColor="text1"/>
                      <w:sz w:val="90"/>
                      <w:szCs w:val="90"/>
                    </w:rPr>
                    <w:t>2020年度部门决算报表</w:t>
                  </w:r>
                </w:p>
                <w:p/>
              </w:txbxContent>
            </v:textbox>
          </v:shape>
        </w:pict>
      </w:r>
      <w:r>
        <w:rPr>
          <w:rFonts w:hint="eastAsia" w:ascii="黑体" w:hAnsi="黑体" w:eastAsia="黑体" w:cs="黑体"/>
          <w:sz w:val="56"/>
          <w:szCs w:val="72"/>
        </w:rPr>
        <w:t xml:space="preserve"> </w:t>
      </w:r>
    </w:p>
    <w:tbl>
      <w:tblPr>
        <w:tblStyle w:val="7"/>
        <w:tblpPr w:leftFromText="180" w:rightFromText="180" w:vertAnchor="text" w:horzAnchor="page" w:tblpXSpec="center" w:tblpY="31"/>
        <w:tblOverlap w:val="never"/>
        <w:tblW w:w="9434" w:type="dxa"/>
        <w:jc w:val="center"/>
        <w:tblLayout w:type="fixed"/>
        <w:tblCellMar>
          <w:top w:w="0" w:type="dxa"/>
          <w:left w:w="0" w:type="dxa"/>
          <w:bottom w:w="0" w:type="dxa"/>
          <w:right w:w="0" w:type="dxa"/>
        </w:tblCellMar>
      </w:tblPr>
      <w:tblGrid>
        <w:gridCol w:w="3207"/>
        <w:gridCol w:w="724"/>
        <w:gridCol w:w="686"/>
        <w:gridCol w:w="3443"/>
        <w:gridCol w:w="536"/>
        <w:gridCol w:w="838"/>
      </w:tblGrid>
      <w:tr>
        <w:tblPrEx>
          <w:tblCellMar>
            <w:top w:w="0" w:type="dxa"/>
            <w:left w:w="0" w:type="dxa"/>
            <w:bottom w:w="0" w:type="dxa"/>
            <w:right w:w="0" w:type="dxa"/>
          </w:tblCellMar>
        </w:tblPrEx>
        <w:trPr>
          <w:trHeight w:val="499" w:hRule="atLeast"/>
          <w:jc w:val="center"/>
        </w:trPr>
        <w:tc>
          <w:tcPr>
            <w:tcW w:w="9434"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28"/>
                <w:szCs w:val="28"/>
              </w:rPr>
            </w:pPr>
            <w:r>
              <w:rPr>
                <w:rFonts w:hint="eastAsia" w:ascii="黑体" w:hAnsi="宋体" w:eastAsia="黑体" w:cs="黑体"/>
                <w:color w:val="000000"/>
                <w:kern w:val="0"/>
                <w:sz w:val="28"/>
                <w:szCs w:val="28"/>
              </w:rPr>
              <w:t>收入支出决算总表</w:t>
            </w:r>
          </w:p>
        </w:tc>
      </w:tr>
      <w:tr>
        <w:tblPrEx>
          <w:tblCellMar>
            <w:top w:w="0" w:type="dxa"/>
            <w:left w:w="0" w:type="dxa"/>
            <w:bottom w:w="0" w:type="dxa"/>
            <w:right w:w="0" w:type="dxa"/>
          </w:tblCellMar>
        </w:tblPrEx>
        <w:trPr>
          <w:trHeight w:val="209" w:hRule="atLeast"/>
          <w:jc w:val="center"/>
        </w:trPr>
        <w:tc>
          <w:tcPr>
            <w:tcW w:w="320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724"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684"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4816" w:type="dxa"/>
            <w:gridSpan w:val="3"/>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公开01表</w:t>
            </w:r>
          </w:p>
        </w:tc>
      </w:tr>
      <w:tr>
        <w:tblPrEx>
          <w:tblCellMar>
            <w:top w:w="0" w:type="dxa"/>
            <w:left w:w="0" w:type="dxa"/>
            <w:bottom w:w="0" w:type="dxa"/>
            <w:right w:w="0" w:type="dxa"/>
          </w:tblCellMar>
        </w:tblPrEx>
        <w:trPr>
          <w:trHeight w:val="430" w:hRule="atLeast"/>
          <w:jc w:val="center"/>
        </w:trPr>
        <w:tc>
          <w:tcPr>
            <w:tcW w:w="320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部门：保定市满城区博物馆</w:t>
            </w:r>
          </w:p>
        </w:tc>
        <w:tc>
          <w:tcPr>
            <w:tcW w:w="724"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684"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4816" w:type="dxa"/>
            <w:gridSpan w:val="3"/>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290" w:hRule="atLeast"/>
          <w:jc w:val="center"/>
        </w:trPr>
        <w:tc>
          <w:tcPr>
            <w:tcW w:w="461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收入</w:t>
            </w:r>
          </w:p>
        </w:tc>
        <w:tc>
          <w:tcPr>
            <w:tcW w:w="4816"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支出</w:t>
            </w:r>
          </w:p>
        </w:tc>
      </w:tr>
      <w:tr>
        <w:tblPrEx>
          <w:tblCellMar>
            <w:top w:w="0" w:type="dxa"/>
            <w:left w:w="0" w:type="dxa"/>
            <w:bottom w:w="0" w:type="dxa"/>
            <w:right w:w="0" w:type="dxa"/>
          </w:tblCellMar>
        </w:tblPrEx>
        <w:trPr>
          <w:trHeight w:val="37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项目</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行次</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金额</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项目</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行次</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金额</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一、一般公共预算财政拨款收入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69.99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一、一般公共服务支出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29</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二、政府性基金预算财政拨款收入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二、外交支出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185"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三、上级补助收入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三、国防支出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四、事业收入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四、公共安全支出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32</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五、经营收入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五、教育支出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六、附属单位上缴收入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六、科学技术支出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34</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七、其他收入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七、文化旅游体育与传媒支出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35</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63.63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8</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八、社会保障和就业支出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36</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5.08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九、卫生健康支出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37</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0.49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十、节能环保支出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38</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11</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十一、城乡社区支出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39</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12</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十二、农林水支出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40</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13</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十三、交通运输支出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41</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14</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十四、资源勘探信息等支出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42</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15</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十五、商业服务业等支出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43</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16</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十六、金融支出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44</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17</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十七、援助其他地区支出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45</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18</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十八、自然资源海洋气象等支出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46</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19</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十九、住房保障支出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47</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0.79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20</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二十、粮油物资储备支出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48</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21</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二十一、灾害防治及应急管理支出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49</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22</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二十二、其他支出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50</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23</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二十四、债务付息支出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51</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本年收入合计</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24</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69.99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本年支出合计</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52</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69.99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使用非财政拨款结余</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结余分配</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53</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年初结转和结余</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26</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年末结转和结余</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54</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27</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55</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总计</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28</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69.99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总计</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56</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69.99　</w:t>
            </w:r>
          </w:p>
        </w:tc>
      </w:tr>
      <w:tr>
        <w:tblPrEx>
          <w:tblCellMar>
            <w:top w:w="0" w:type="dxa"/>
            <w:left w:w="0" w:type="dxa"/>
            <w:bottom w:w="0" w:type="dxa"/>
            <w:right w:w="0" w:type="dxa"/>
          </w:tblCellMar>
        </w:tblPrEx>
        <w:trPr>
          <w:trHeight w:val="217" w:hRule="atLeast"/>
          <w:jc w:val="center"/>
        </w:trPr>
        <w:tc>
          <w:tcPr>
            <w:tcW w:w="9434"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注：本表反映部门本年度的总收支和年末结转结余情况。</w:t>
            </w:r>
          </w:p>
          <w:p>
            <w:pPr>
              <w:widowControl/>
              <w:jc w:val="left"/>
              <w:textAlignment w:val="center"/>
              <w:rPr>
                <w:rFonts w:ascii="宋体" w:hAnsi="宋体" w:eastAsia="宋体" w:cs="宋体"/>
                <w:color w:val="000000"/>
                <w:kern w:val="0"/>
                <w:sz w:val="18"/>
                <w:szCs w:val="18"/>
              </w:rPr>
            </w:pPr>
          </w:p>
        </w:tc>
      </w:tr>
    </w:tbl>
    <w:tbl>
      <w:tblPr>
        <w:tblStyle w:val="7"/>
        <w:tblW w:w="9580" w:type="dxa"/>
        <w:jc w:val="center"/>
        <w:tblLayout w:type="autofit"/>
        <w:tblCellMar>
          <w:top w:w="0" w:type="dxa"/>
          <w:left w:w="0" w:type="dxa"/>
          <w:bottom w:w="0" w:type="dxa"/>
          <w:right w:w="0" w:type="dxa"/>
        </w:tblCellMar>
      </w:tblPr>
      <w:tblGrid>
        <w:gridCol w:w="718"/>
        <w:gridCol w:w="41"/>
        <w:gridCol w:w="41"/>
        <w:gridCol w:w="3110"/>
        <w:gridCol w:w="999"/>
        <w:gridCol w:w="999"/>
        <w:gridCol w:w="754"/>
        <w:gridCol w:w="754"/>
        <w:gridCol w:w="754"/>
        <w:gridCol w:w="754"/>
        <w:gridCol w:w="756"/>
      </w:tblGrid>
      <w:tr>
        <w:tblPrEx>
          <w:tblCellMar>
            <w:top w:w="0" w:type="dxa"/>
            <w:left w:w="0" w:type="dxa"/>
            <w:bottom w:w="0" w:type="dxa"/>
            <w:right w:w="0" w:type="dxa"/>
          </w:tblCellMar>
        </w:tblPrEx>
        <w:trPr>
          <w:trHeight w:val="670" w:hRule="atLeast"/>
          <w:jc w:val="center"/>
        </w:trPr>
        <w:tc>
          <w:tcPr>
            <w:tcW w:w="9580"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公开02表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保定市满城区博物馆</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本年收入合计</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财政拨款收入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上级补助收入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事业收入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经营收入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附属单位上缴收入</w:t>
            </w:r>
          </w:p>
        </w:tc>
        <w:tc>
          <w:tcPr>
            <w:tcW w:w="100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其他收入</w:t>
            </w:r>
          </w:p>
        </w:tc>
      </w:tr>
      <w:tr>
        <w:tblPrEx>
          <w:tblCellMar>
            <w:top w:w="0" w:type="dxa"/>
            <w:left w:w="0" w:type="dxa"/>
            <w:bottom w:w="0" w:type="dxa"/>
            <w:right w:w="0" w:type="dxa"/>
          </w:tblCellMar>
        </w:tblPrEx>
        <w:trPr>
          <w:trHeight w:val="380" w:hRule="atLeast"/>
          <w:jc w:val="center"/>
        </w:trPr>
        <w:tc>
          <w:tcPr>
            <w:tcW w:w="1124"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科目名称</w:t>
            </w: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69.99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69.99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文化旅游体育与传媒支出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63.63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63.63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20702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文物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63.63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63.63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2070201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7.89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7.89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2070204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文物保护</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55.74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55.74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行政事业单位养老支出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事业单位离退休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机关事业单位基本养老保险支出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1.53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1.53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机关事业单位职业年金缴费支出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住房保障支出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0.79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0.79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住房改革支出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0.79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0.79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2210201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住房公积金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0.79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0.79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pPr>
        <w:jc w:val="left"/>
      </w:pPr>
    </w:p>
    <w:p>
      <w:r>
        <w:br w:type="page"/>
      </w:r>
    </w:p>
    <w:tbl>
      <w:tblPr>
        <w:tblStyle w:val="7"/>
        <w:tblW w:w="9507" w:type="dxa"/>
        <w:jc w:val="center"/>
        <w:tblLayout w:type="fixed"/>
        <w:tblCellMar>
          <w:top w:w="0" w:type="dxa"/>
          <w:left w:w="0" w:type="dxa"/>
          <w:bottom w:w="0" w:type="dxa"/>
          <w:right w:w="0" w:type="dxa"/>
        </w:tblCellMar>
      </w:tblPr>
      <w:tblGrid>
        <w:gridCol w:w="949"/>
        <w:gridCol w:w="53"/>
        <w:gridCol w:w="111"/>
        <w:gridCol w:w="1359"/>
        <w:gridCol w:w="1161"/>
        <w:gridCol w:w="980"/>
        <w:gridCol w:w="1161"/>
        <w:gridCol w:w="1161"/>
        <w:gridCol w:w="1161"/>
        <w:gridCol w:w="1411"/>
      </w:tblGrid>
      <w:tr>
        <w:tblPrEx>
          <w:tblCellMar>
            <w:top w:w="0" w:type="dxa"/>
            <w:left w:w="0" w:type="dxa"/>
            <w:bottom w:w="0" w:type="dxa"/>
            <w:right w:w="0" w:type="dxa"/>
          </w:tblCellMar>
        </w:tblPrEx>
        <w:trPr>
          <w:trHeight w:val="612" w:hRule="atLeast"/>
          <w:jc w:val="center"/>
        </w:trPr>
        <w:tc>
          <w:tcPr>
            <w:tcW w:w="9507" w:type="dxa"/>
            <w:gridSpan w:val="10"/>
            <w:tcBorders>
              <w:top w:val="nil"/>
              <w:left w:val="nil"/>
              <w:bottom w:val="nil"/>
              <w:right w:val="nil"/>
            </w:tcBorders>
            <w:shd w:val="clear" w:color="auto" w:fill="auto"/>
            <w:noWrap/>
            <w:tcMar>
              <w:top w:w="15" w:type="dxa"/>
              <w:left w:w="15" w:type="dxa"/>
              <w:right w:w="15" w:type="dxa"/>
            </w:tcMar>
            <w:vAlign w:val="center"/>
          </w:tcPr>
          <w:p>
            <w:pPr>
              <w:widowControl/>
              <w:ind w:left="-1130" w:leftChars="-538"/>
              <w:jc w:val="center"/>
              <w:textAlignment w:val="center"/>
              <w:rPr>
                <w:rFonts w:ascii="黑体" w:hAnsi="宋体" w:eastAsia="黑体" w:cs="黑体"/>
                <w:color w:val="000000"/>
                <w:sz w:val="32"/>
                <w:szCs w:val="32"/>
              </w:rPr>
            </w:pPr>
            <w:r>
              <w:rPr>
                <w:rFonts w:hint="eastAsia" w:ascii="黑体" w:hAnsi="宋体" w:eastAsia="黑体" w:cs="黑体"/>
                <w:color w:val="000000"/>
                <w:sz w:val="32"/>
                <w:szCs w:val="32"/>
              </w:rPr>
              <w:t>支出决算表</w:t>
            </w:r>
          </w:p>
        </w:tc>
      </w:tr>
      <w:tr>
        <w:tblPrEx>
          <w:tblCellMar>
            <w:top w:w="0" w:type="dxa"/>
            <w:left w:w="0" w:type="dxa"/>
            <w:bottom w:w="0" w:type="dxa"/>
            <w:right w:w="0" w:type="dxa"/>
          </w:tblCellMar>
        </w:tblPrEx>
        <w:trPr>
          <w:trHeight w:val="313" w:hRule="atLeast"/>
          <w:jc w:val="center"/>
        </w:trPr>
        <w:tc>
          <w:tcPr>
            <w:tcW w:w="94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98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41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公开03表</w:t>
            </w:r>
          </w:p>
        </w:tc>
      </w:tr>
      <w:tr>
        <w:tblPrEx>
          <w:tblCellMar>
            <w:top w:w="0" w:type="dxa"/>
            <w:left w:w="0" w:type="dxa"/>
            <w:bottom w:w="0" w:type="dxa"/>
            <w:right w:w="0" w:type="dxa"/>
          </w:tblCellMar>
        </w:tblPrEx>
        <w:trPr>
          <w:trHeight w:val="313" w:hRule="atLeast"/>
          <w:jc w:val="center"/>
        </w:trPr>
        <w:tc>
          <w:tcPr>
            <w:tcW w:w="5774" w:type="dxa"/>
            <w:gridSpan w:val="7"/>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部门：保定市满城区博物馆</w:t>
            </w:r>
          </w:p>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23" w:hRule="atLeast"/>
          <w:jc w:val="center"/>
        </w:trPr>
        <w:tc>
          <w:tcPr>
            <w:tcW w:w="247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本年支出合计</w:t>
            </w:r>
          </w:p>
        </w:tc>
        <w:tc>
          <w:tcPr>
            <w:tcW w:w="98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对附属单位补助支出</w:t>
            </w:r>
          </w:p>
        </w:tc>
      </w:tr>
      <w:tr>
        <w:tblPrEx>
          <w:tblCellMar>
            <w:top w:w="0" w:type="dxa"/>
            <w:left w:w="0" w:type="dxa"/>
            <w:bottom w:w="0" w:type="dxa"/>
            <w:right w:w="0" w:type="dxa"/>
          </w:tblCellMar>
        </w:tblPrEx>
        <w:trPr>
          <w:trHeight w:val="319" w:hRule="atLeast"/>
          <w:jc w:val="center"/>
        </w:trPr>
        <w:tc>
          <w:tcPr>
            <w:tcW w:w="1113"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功能分类科目编码</w:t>
            </w:r>
          </w:p>
        </w:tc>
        <w:tc>
          <w:tcPr>
            <w:tcW w:w="135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科目名称</w:t>
            </w: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9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r>
      <w:tr>
        <w:tblPrEx>
          <w:tblCellMar>
            <w:top w:w="0" w:type="dxa"/>
            <w:left w:w="0" w:type="dxa"/>
            <w:bottom w:w="0" w:type="dxa"/>
            <w:right w:w="0" w:type="dxa"/>
          </w:tblCellMar>
        </w:tblPrEx>
        <w:trPr>
          <w:trHeight w:val="319" w:hRule="atLeast"/>
          <w:jc w:val="center"/>
        </w:trPr>
        <w:tc>
          <w:tcPr>
            <w:tcW w:w="111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11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247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9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r>
      <w:tr>
        <w:tblPrEx>
          <w:tblCellMar>
            <w:top w:w="0" w:type="dxa"/>
            <w:left w:w="0" w:type="dxa"/>
            <w:bottom w:w="0" w:type="dxa"/>
            <w:right w:w="0" w:type="dxa"/>
          </w:tblCellMar>
        </w:tblPrEx>
        <w:trPr>
          <w:trHeight w:val="323" w:hRule="atLeast"/>
          <w:jc w:val="center"/>
        </w:trPr>
        <w:tc>
          <w:tcPr>
            <w:tcW w:w="247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合计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69.99</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14.25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55.74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r>
      <w:tr>
        <w:tblPrEx>
          <w:tblCellMar>
            <w:top w:w="0" w:type="dxa"/>
            <w:left w:w="0" w:type="dxa"/>
            <w:bottom w:w="0" w:type="dxa"/>
            <w:right w:w="0" w:type="dxa"/>
          </w:tblCellMar>
        </w:tblPrEx>
        <w:trPr>
          <w:trHeight w:val="323" w:hRule="atLeast"/>
          <w:jc w:val="center"/>
        </w:trPr>
        <w:tc>
          <w:tcPr>
            <w:tcW w:w="111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207</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文化旅游体育与传媒支出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63.63</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7.89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55.74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1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20702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文物</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63.63</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7.89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55.74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1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2070201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行政运行</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7.89</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7.89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1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2070204</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文物保护</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55.74</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55.74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1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社会保障和就业支出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5.08</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5.08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1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行政事业单位养老支出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5.08</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5.08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1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2080502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事业单位离退休</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2.56</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2.56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1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2080505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机关事业单位基本养老保险缴费支出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1.53</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1.53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1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2080506</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机关事业单位职业年金缴费支出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0.99</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0.99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1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210</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卫生健康支出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0.49</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0.49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1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21011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行政事业单位医疗</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0.49</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0.49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1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2101102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事业单位医疗</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0.49</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0.49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1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221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住房保障支出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0.79</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0.79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1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22102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住房改革支出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0.79</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0.79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1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2210201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住房公积金</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0.79</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0.79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9507"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注：本表反映部门本年度各项支出情况。</w:t>
            </w:r>
          </w:p>
        </w:tc>
      </w:tr>
    </w:tbl>
    <w:p>
      <w:r>
        <w:br w:type="page"/>
      </w:r>
    </w:p>
    <w:tbl>
      <w:tblPr>
        <w:tblStyle w:val="7"/>
        <w:tblW w:w="9990" w:type="dxa"/>
        <w:jc w:val="center"/>
        <w:tblLayout w:type="fixed"/>
        <w:tblCellMar>
          <w:top w:w="0" w:type="dxa"/>
          <w:left w:w="0" w:type="dxa"/>
          <w:bottom w:w="0" w:type="dxa"/>
          <w:right w:w="0" w:type="dxa"/>
        </w:tblCellMar>
      </w:tblPr>
      <w:tblGrid>
        <w:gridCol w:w="1173"/>
        <w:gridCol w:w="66"/>
        <w:gridCol w:w="68"/>
        <w:gridCol w:w="2952"/>
        <w:gridCol w:w="1984"/>
        <w:gridCol w:w="2127"/>
        <w:gridCol w:w="1144"/>
        <w:gridCol w:w="476"/>
      </w:tblGrid>
      <w:tr>
        <w:tblPrEx>
          <w:tblCellMar>
            <w:top w:w="0" w:type="dxa"/>
            <w:left w:w="0" w:type="dxa"/>
            <w:bottom w:w="0" w:type="dxa"/>
            <w:right w:w="0" w:type="dxa"/>
          </w:tblCellMar>
        </w:tblPrEx>
        <w:trPr>
          <w:gridAfter w:val="1"/>
          <w:wAfter w:w="476" w:type="dxa"/>
          <w:trHeight w:val="406" w:hRule="atLeast"/>
          <w:jc w:val="center"/>
        </w:trPr>
        <w:tc>
          <w:tcPr>
            <w:tcW w:w="9514" w:type="dxa"/>
            <w:gridSpan w:val="7"/>
            <w:tcBorders>
              <w:top w:val="nil"/>
              <w:left w:val="nil"/>
              <w:bottom w:val="nil"/>
              <w:right w:val="nil"/>
            </w:tcBorders>
            <w:shd w:val="clear" w:color="auto" w:fill="auto"/>
            <w:noWrap/>
            <w:tcMar>
              <w:top w:w="15" w:type="dxa"/>
              <w:left w:w="15" w:type="dxa"/>
              <w:right w:w="15" w:type="dxa"/>
            </w:tcMar>
            <w:vAlign w:val="bottom"/>
          </w:tcPr>
          <w:p>
            <w:pPr>
              <w:spacing w:line="32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600" w:hRule="atLeast"/>
          <w:jc w:val="center"/>
        </w:trPr>
        <w:tc>
          <w:tcPr>
            <w:tcW w:w="9990" w:type="dxa"/>
            <w:gridSpan w:val="8"/>
            <w:tcBorders>
              <w:top w:val="nil"/>
              <w:left w:val="nil"/>
              <w:bottom w:val="nil"/>
              <w:right w:val="nil"/>
            </w:tcBorders>
            <w:shd w:val="clear" w:color="auto" w:fill="auto"/>
            <w:noWrap/>
            <w:tcMar>
              <w:top w:w="15" w:type="dxa"/>
              <w:left w:w="15" w:type="dxa"/>
              <w:right w:w="15" w:type="dxa"/>
            </w:tcMar>
            <w:vAlign w:val="center"/>
          </w:tcPr>
          <w:tbl>
            <w:tblPr>
              <w:tblStyle w:val="7"/>
              <w:tblW w:w="9736" w:type="dxa"/>
              <w:tblInd w:w="0" w:type="dxa"/>
              <w:tblLayout w:type="fixed"/>
              <w:tblCellMar>
                <w:top w:w="0" w:type="dxa"/>
                <w:left w:w="108" w:type="dxa"/>
                <w:bottom w:w="0" w:type="dxa"/>
                <w:right w:w="108" w:type="dxa"/>
              </w:tblCellMar>
            </w:tblPr>
            <w:tblGrid>
              <w:gridCol w:w="2317"/>
              <w:gridCol w:w="465"/>
              <w:gridCol w:w="748"/>
              <w:gridCol w:w="2456"/>
              <w:gridCol w:w="446"/>
              <w:gridCol w:w="498"/>
              <w:gridCol w:w="149"/>
              <w:gridCol w:w="702"/>
              <w:gridCol w:w="290"/>
              <w:gridCol w:w="560"/>
              <w:gridCol w:w="853"/>
              <w:gridCol w:w="252"/>
            </w:tblGrid>
            <w:tr>
              <w:tblPrEx>
                <w:tblCellMar>
                  <w:top w:w="0" w:type="dxa"/>
                  <w:left w:w="108" w:type="dxa"/>
                  <w:bottom w:w="0" w:type="dxa"/>
                  <w:right w:w="108" w:type="dxa"/>
                </w:tblCellMar>
              </w:tblPrEx>
              <w:trPr>
                <w:gridAfter w:val="1"/>
                <w:wAfter w:w="252" w:type="dxa"/>
                <w:trHeight w:val="90" w:hRule="atLeast"/>
              </w:trPr>
              <w:tc>
                <w:tcPr>
                  <w:tcW w:w="2317" w:type="dxa"/>
                  <w:tcBorders>
                    <w:top w:val="nil"/>
                    <w:left w:val="nil"/>
                    <w:bottom w:val="nil"/>
                    <w:right w:val="nil"/>
                  </w:tcBorders>
                  <w:shd w:val="clear" w:color="auto" w:fill="auto"/>
                  <w:vAlign w:val="bottom"/>
                </w:tcPr>
                <w:p>
                  <w:pPr>
                    <w:widowControl/>
                    <w:spacing w:line="240" w:lineRule="exact"/>
                    <w:jc w:val="left"/>
                    <w:rPr>
                      <w:rFonts w:ascii="宋体" w:hAnsi="宋体" w:eastAsia="宋体" w:cs="宋体"/>
                      <w:kern w:val="0"/>
                      <w:sz w:val="15"/>
                      <w:szCs w:val="15"/>
                    </w:rPr>
                  </w:pPr>
                </w:p>
              </w:tc>
              <w:tc>
                <w:tcPr>
                  <w:tcW w:w="465"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74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5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4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9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554" w:type="dxa"/>
                  <w:gridSpan w:val="5"/>
                  <w:tcBorders>
                    <w:top w:val="nil"/>
                    <w:left w:val="nil"/>
                    <w:bottom w:val="nil"/>
                    <w:right w:val="nil"/>
                  </w:tcBorders>
                  <w:shd w:val="clear" w:color="auto" w:fill="auto"/>
                  <w:vAlign w:val="bottom"/>
                </w:tcPr>
                <w:p>
                  <w:pPr>
                    <w:widowControl/>
                    <w:spacing w:line="240" w:lineRule="exact"/>
                    <w:ind w:right="300"/>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公开04表</w:t>
                  </w:r>
                </w:p>
              </w:tc>
            </w:tr>
            <w:tr>
              <w:tblPrEx>
                <w:tblCellMar>
                  <w:top w:w="0" w:type="dxa"/>
                  <w:left w:w="108" w:type="dxa"/>
                  <w:bottom w:w="0" w:type="dxa"/>
                  <w:right w:w="108" w:type="dxa"/>
                </w:tblCellMar>
              </w:tblPrEx>
              <w:trPr>
                <w:gridAfter w:val="1"/>
                <w:wAfter w:w="252" w:type="dxa"/>
                <w:trHeight w:val="90" w:hRule="atLeast"/>
              </w:trPr>
              <w:tc>
                <w:tcPr>
                  <w:tcW w:w="2317" w:type="dxa"/>
                  <w:tcBorders>
                    <w:top w:val="nil"/>
                    <w:left w:val="nil"/>
                    <w:bottom w:val="nil"/>
                    <w:right w:val="nil"/>
                  </w:tcBorders>
                  <w:shd w:val="clear" w:color="auto" w:fill="auto"/>
                  <w:vAlign w:val="bottom"/>
                </w:tcPr>
                <w:p>
                  <w:pPr>
                    <w:widowControl/>
                    <w:spacing w:line="24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部门：保定市满城区博物馆</w:t>
                  </w:r>
                </w:p>
              </w:tc>
              <w:tc>
                <w:tcPr>
                  <w:tcW w:w="465" w:type="dxa"/>
                  <w:tcBorders>
                    <w:top w:val="nil"/>
                    <w:left w:val="nil"/>
                    <w:bottom w:val="nil"/>
                    <w:right w:val="nil"/>
                  </w:tcBorders>
                  <w:shd w:val="clear" w:color="auto" w:fill="auto"/>
                  <w:vAlign w:val="bottom"/>
                </w:tcPr>
                <w:p>
                  <w:pPr>
                    <w:widowControl/>
                    <w:spacing w:line="240" w:lineRule="exact"/>
                    <w:jc w:val="left"/>
                    <w:rPr>
                      <w:rFonts w:ascii="宋体" w:hAnsi="宋体" w:eastAsia="宋体" w:cs="Arial"/>
                      <w:color w:val="000000"/>
                      <w:kern w:val="0"/>
                      <w:sz w:val="15"/>
                      <w:szCs w:val="15"/>
                    </w:rPr>
                  </w:pPr>
                </w:p>
              </w:tc>
              <w:tc>
                <w:tcPr>
                  <w:tcW w:w="74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5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4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9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851" w:type="dxa"/>
                  <w:gridSpan w:val="2"/>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1703" w:type="dxa"/>
                  <w:gridSpan w:val="3"/>
                  <w:tcBorders>
                    <w:top w:val="nil"/>
                    <w:left w:val="nil"/>
                    <w:bottom w:val="nil"/>
                    <w:right w:val="nil"/>
                  </w:tcBorders>
                  <w:shd w:val="clear" w:color="auto" w:fill="auto"/>
                  <w:vAlign w:val="bottom"/>
                </w:tcPr>
                <w:p>
                  <w:pPr>
                    <w:widowControl/>
                    <w:spacing w:line="24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gridAfter w:val="1"/>
                <w:wAfter w:w="252" w:type="dxa"/>
                <w:trHeight w:val="90" w:hRule="atLeast"/>
              </w:trPr>
              <w:tc>
                <w:tcPr>
                  <w:tcW w:w="3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20"/>
                      <w:szCs w:val="20"/>
                    </w:rPr>
                  </w:pPr>
                  <w:r>
                    <w:rPr>
                      <w:rFonts w:hint="eastAsia" w:ascii="黑体" w:hAnsi="黑体" w:eastAsia="黑体" w:cs="Arial"/>
                      <w:color w:val="000000"/>
                      <w:kern w:val="0"/>
                      <w:sz w:val="20"/>
                      <w:szCs w:val="20"/>
                    </w:rPr>
                    <w:t>收     入</w:t>
                  </w:r>
                </w:p>
              </w:tc>
              <w:tc>
                <w:tcPr>
                  <w:tcW w:w="5954"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20"/>
                      <w:szCs w:val="20"/>
                    </w:rPr>
                  </w:pPr>
                  <w:r>
                    <w:rPr>
                      <w:rFonts w:hint="eastAsia" w:ascii="黑体" w:hAnsi="黑体" w:eastAsia="黑体" w:cs="Arial"/>
                      <w:color w:val="000000"/>
                      <w:kern w:val="0"/>
                      <w:sz w:val="20"/>
                      <w:szCs w:val="20"/>
                    </w:rPr>
                    <w:t>支     出</w:t>
                  </w:r>
                </w:p>
              </w:tc>
            </w:tr>
            <w:tr>
              <w:tblPrEx>
                <w:tblCellMar>
                  <w:top w:w="0" w:type="dxa"/>
                  <w:left w:w="108" w:type="dxa"/>
                  <w:bottom w:w="0" w:type="dxa"/>
                  <w:right w:w="108" w:type="dxa"/>
                </w:tblCellMar>
              </w:tblPrEx>
              <w:trPr>
                <w:gridAfter w:val="1"/>
                <w:wAfter w:w="252" w:type="dxa"/>
                <w:trHeight w:val="312" w:hRule="atLeast"/>
              </w:trPr>
              <w:tc>
                <w:tcPr>
                  <w:tcW w:w="231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65"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748"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金额</w:t>
                  </w:r>
                </w:p>
              </w:tc>
              <w:tc>
                <w:tcPr>
                  <w:tcW w:w="2456"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647" w:type="dxa"/>
                  <w:gridSpan w:val="2"/>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合计</w:t>
                  </w:r>
                </w:p>
              </w:tc>
              <w:tc>
                <w:tcPr>
                  <w:tcW w:w="992" w:type="dxa"/>
                  <w:gridSpan w:val="2"/>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一般公共预算财政拨款</w:t>
                  </w:r>
                </w:p>
              </w:tc>
              <w:tc>
                <w:tcPr>
                  <w:tcW w:w="560"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政府性基金预算财政拨款</w:t>
                  </w:r>
                </w:p>
              </w:tc>
              <w:tc>
                <w:tcPr>
                  <w:tcW w:w="853"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国有资本经营预算财政拨款</w:t>
                  </w:r>
                </w:p>
              </w:tc>
            </w:tr>
            <w:tr>
              <w:tblPrEx>
                <w:tblCellMar>
                  <w:top w:w="0" w:type="dxa"/>
                  <w:left w:w="108" w:type="dxa"/>
                  <w:bottom w:w="0" w:type="dxa"/>
                  <w:right w:w="108" w:type="dxa"/>
                </w:tblCellMar>
              </w:tblPrEx>
              <w:trPr>
                <w:trHeight w:val="90" w:hRule="atLeast"/>
              </w:trPr>
              <w:tc>
                <w:tcPr>
                  <w:tcW w:w="2317"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465"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748"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2456"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446"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647" w:type="dxa"/>
                  <w:gridSpan w:val="2"/>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992" w:type="dxa"/>
                  <w:gridSpan w:val="2"/>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560"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853"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252"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64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99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69.99</w:t>
                  </w: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一、一般公共服务支出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33</w:t>
                  </w:r>
                </w:p>
              </w:tc>
              <w:tc>
                <w:tcPr>
                  <w:tcW w:w="64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99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二、政府性基金预算财政拨款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二、外交支出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34</w:t>
                  </w:r>
                </w:p>
              </w:tc>
              <w:tc>
                <w:tcPr>
                  <w:tcW w:w="64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99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三、国有资本经营财政拨款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三、国防支出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35</w:t>
                  </w:r>
                </w:p>
              </w:tc>
              <w:tc>
                <w:tcPr>
                  <w:tcW w:w="64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99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四、公共安全支出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36</w:t>
                  </w:r>
                </w:p>
              </w:tc>
              <w:tc>
                <w:tcPr>
                  <w:tcW w:w="64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99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五、教育支出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37</w:t>
                  </w:r>
                </w:p>
              </w:tc>
              <w:tc>
                <w:tcPr>
                  <w:tcW w:w="64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99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六、科学技术支出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38</w:t>
                  </w:r>
                </w:p>
              </w:tc>
              <w:tc>
                <w:tcPr>
                  <w:tcW w:w="64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99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7</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七、文化旅游体育与传媒支出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39</w:t>
                  </w:r>
                </w:p>
              </w:tc>
              <w:tc>
                <w:tcPr>
                  <w:tcW w:w="64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63.63</w:t>
                  </w:r>
                </w:p>
              </w:tc>
              <w:tc>
                <w:tcPr>
                  <w:tcW w:w="99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63.63</w:t>
                  </w: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8</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八、社会保障和就业支出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40</w:t>
                  </w:r>
                </w:p>
              </w:tc>
              <w:tc>
                <w:tcPr>
                  <w:tcW w:w="64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5.08</w:t>
                  </w:r>
                </w:p>
              </w:tc>
              <w:tc>
                <w:tcPr>
                  <w:tcW w:w="99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5.08</w:t>
                  </w: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9</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九、卫生健康支出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41</w:t>
                  </w:r>
                </w:p>
              </w:tc>
              <w:tc>
                <w:tcPr>
                  <w:tcW w:w="64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0.49</w:t>
                  </w:r>
                </w:p>
              </w:tc>
              <w:tc>
                <w:tcPr>
                  <w:tcW w:w="99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0.49</w:t>
                  </w: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10</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十、节能环保支出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42</w:t>
                  </w:r>
                </w:p>
              </w:tc>
              <w:tc>
                <w:tcPr>
                  <w:tcW w:w="64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99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11</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十一、城乡社区支出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43</w:t>
                  </w:r>
                </w:p>
              </w:tc>
              <w:tc>
                <w:tcPr>
                  <w:tcW w:w="64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99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12</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十二、农林水支出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44</w:t>
                  </w:r>
                </w:p>
              </w:tc>
              <w:tc>
                <w:tcPr>
                  <w:tcW w:w="64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99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13</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十三、交通运输支出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45</w:t>
                  </w:r>
                </w:p>
              </w:tc>
              <w:tc>
                <w:tcPr>
                  <w:tcW w:w="64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99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14</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十四、资源勘探工业信息等支出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46</w:t>
                  </w:r>
                </w:p>
              </w:tc>
              <w:tc>
                <w:tcPr>
                  <w:tcW w:w="64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99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15</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十五、商业服务业等支出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47</w:t>
                  </w:r>
                </w:p>
              </w:tc>
              <w:tc>
                <w:tcPr>
                  <w:tcW w:w="64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99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16</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十六、金融支出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48</w:t>
                  </w:r>
                </w:p>
              </w:tc>
              <w:tc>
                <w:tcPr>
                  <w:tcW w:w="64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99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17</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十七、援助其他地区支出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49</w:t>
                  </w:r>
                </w:p>
              </w:tc>
              <w:tc>
                <w:tcPr>
                  <w:tcW w:w="64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99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18</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十八、自然资源海洋气象等支出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50</w:t>
                  </w:r>
                </w:p>
              </w:tc>
              <w:tc>
                <w:tcPr>
                  <w:tcW w:w="64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99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19</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十九、住房保障支出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51</w:t>
                  </w:r>
                </w:p>
              </w:tc>
              <w:tc>
                <w:tcPr>
                  <w:tcW w:w="64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0.79</w:t>
                  </w:r>
                </w:p>
              </w:tc>
              <w:tc>
                <w:tcPr>
                  <w:tcW w:w="99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0.79</w:t>
                  </w: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20</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二十、粮油物资储备支出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52</w:t>
                  </w:r>
                </w:p>
              </w:tc>
              <w:tc>
                <w:tcPr>
                  <w:tcW w:w="64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99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21</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二十一、国有资本经营预算支出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53</w:t>
                  </w:r>
                </w:p>
              </w:tc>
              <w:tc>
                <w:tcPr>
                  <w:tcW w:w="64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99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22</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3"/>
                      <w:szCs w:val="13"/>
                    </w:rPr>
                    <w:t>二十二、灾害防治及应急管理支出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54</w:t>
                  </w:r>
                </w:p>
              </w:tc>
              <w:tc>
                <w:tcPr>
                  <w:tcW w:w="64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99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23</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二十三、其他支出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55</w:t>
                  </w:r>
                </w:p>
              </w:tc>
              <w:tc>
                <w:tcPr>
                  <w:tcW w:w="64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99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25</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二十五、债务付息支出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57</w:t>
                  </w:r>
                </w:p>
              </w:tc>
              <w:tc>
                <w:tcPr>
                  <w:tcW w:w="64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99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26</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二十六、抗疫特别国债安排的支出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58</w:t>
                  </w:r>
                </w:p>
              </w:tc>
              <w:tc>
                <w:tcPr>
                  <w:tcW w:w="64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99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本年收入合计</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27</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69.99</w:t>
                  </w: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本年支出合计</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59</w:t>
                  </w:r>
                </w:p>
              </w:tc>
              <w:tc>
                <w:tcPr>
                  <w:tcW w:w="64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69.99</w:t>
                  </w:r>
                </w:p>
              </w:tc>
              <w:tc>
                <w:tcPr>
                  <w:tcW w:w="99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69.99</w:t>
                  </w: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年初财政拨款结转和结余</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28</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年末财政拨款结转和结余</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60</w:t>
                  </w:r>
                </w:p>
              </w:tc>
              <w:tc>
                <w:tcPr>
                  <w:tcW w:w="64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99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一般公共预算财政拨款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29</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61</w:t>
                  </w:r>
                </w:p>
              </w:tc>
              <w:tc>
                <w:tcPr>
                  <w:tcW w:w="64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99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政府性基金预算财政拨款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30</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62</w:t>
                  </w:r>
                </w:p>
              </w:tc>
              <w:tc>
                <w:tcPr>
                  <w:tcW w:w="64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99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国有资本经营预算财政拨款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31</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63</w:t>
                  </w:r>
                </w:p>
              </w:tc>
              <w:tc>
                <w:tcPr>
                  <w:tcW w:w="64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99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总计</w:t>
                  </w:r>
                </w:p>
              </w:tc>
              <w:tc>
                <w:tcPr>
                  <w:tcW w:w="465" w:type="dxa"/>
                  <w:tcBorders>
                    <w:top w:val="nil"/>
                    <w:left w:val="nil"/>
                    <w:bottom w:val="single" w:color="000000" w:sz="8"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32</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69.99</w:t>
                  </w: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总计</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64</w:t>
                  </w:r>
                </w:p>
              </w:tc>
              <w:tc>
                <w:tcPr>
                  <w:tcW w:w="64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69.99</w:t>
                  </w:r>
                </w:p>
              </w:tc>
              <w:tc>
                <w:tcPr>
                  <w:tcW w:w="99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69.99</w:t>
                  </w: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11"/>
                  <w:tcBorders>
                    <w:top w:val="nil"/>
                    <w:left w:val="nil"/>
                    <w:bottom w:val="nil"/>
                    <w:right w:val="single" w:color="000000" w:sz="4" w:space="0"/>
                  </w:tcBorders>
                  <w:shd w:val="clear" w:color="auto" w:fill="auto"/>
                  <w:vAlign w:val="center"/>
                </w:tcPr>
                <w:p>
                  <w:pPr>
                    <w:widowControl/>
                    <w:spacing w:line="200" w:lineRule="exact"/>
                    <w:jc w:val="left"/>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rPr>
                    <w:t>注：本表反映部门本年度一般公共预算财政拨款、政府性基金预算财政拨款和国有资本经营预算财政拨款的总收支和年末结转结余情况。</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11"/>
                  <w:tcBorders>
                    <w:top w:val="nil"/>
                    <w:left w:val="nil"/>
                    <w:bottom w:val="nil"/>
                    <w:right w:val="nil"/>
                  </w:tcBorders>
                  <w:shd w:val="clear" w:color="auto" w:fill="auto"/>
                  <w:vAlign w:val="center"/>
                </w:tcPr>
                <w:p>
                  <w:pPr>
                    <w:widowControl/>
                    <w:spacing w:line="240" w:lineRule="exact"/>
                    <w:jc w:val="left"/>
                    <w:rPr>
                      <w:rFonts w:ascii="宋体" w:hAnsi="宋体" w:eastAsia="宋体" w:cs="Arial"/>
                      <w:color w:val="000000"/>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bl>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一般公共预算财政拨款支出决算表</w:t>
            </w:r>
          </w:p>
        </w:tc>
      </w:tr>
      <w:tr>
        <w:tblPrEx>
          <w:tblCellMar>
            <w:top w:w="0" w:type="dxa"/>
            <w:left w:w="0" w:type="dxa"/>
            <w:bottom w:w="0" w:type="dxa"/>
            <w:right w:w="0" w:type="dxa"/>
          </w:tblCellMar>
        </w:tblPrEx>
        <w:trPr>
          <w:trHeight w:val="255" w:hRule="atLeast"/>
          <w:jc w:val="center"/>
        </w:trPr>
        <w:tc>
          <w:tcPr>
            <w:tcW w:w="117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95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98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3747"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公开05表</w:t>
            </w:r>
          </w:p>
        </w:tc>
      </w:tr>
      <w:tr>
        <w:tblPrEx>
          <w:tblCellMar>
            <w:top w:w="0" w:type="dxa"/>
            <w:left w:w="0" w:type="dxa"/>
            <w:bottom w:w="0" w:type="dxa"/>
            <w:right w:w="0" w:type="dxa"/>
          </w:tblCellMar>
        </w:tblPrEx>
        <w:trPr>
          <w:trHeight w:val="255" w:hRule="atLeast"/>
          <w:jc w:val="center"/>
        </w:trPr>
        <w:tc>
          <w:tcPr>
            <w:tcW w:w="4259"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r>
              <w:rPr>
                <w:rFonts w:hint="eastAsia" w:ascii="宋体" w:hAnsi="宋体" w:eastAsia="宋体" w:cs="宋体"/>
                <w:color w:val="000000"/>
                <w:kern w:val="0"/>
                <w:sz w:val="18"/>
                <w:szCs w:val="18"/>
              </w:rPr>
              <w:t>部门：保定市满城区博物馆</w:t>
            </w:r>
          </w:p>
        </w:tc>
        <w:tc>
          <w:tcPr>
            <w:tcW w:w="198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3747"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08" w:hRule="atLeast"/>
          <w:jc w:val="center"/>
        </w:trPr>
        <w:tc>
          <w:tcPr>
            <w:tcW w:w="425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w:t>
            </w:r>
          </w:p>
        </w:tc>
        <w:tc>
          <w:tcPr>
            <w:tcW w:w="5731"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本年支出</w:t>
            </w:r>
          </w:p>
        </w:tc>
      </w:tr>
      <w:tr>
        <w:tblPrEx>
          <w:tblCellMar>
            <w:top w:w="0" w:type="dxa"/>
            <w:left w:w="0" w:type="dxa"/>
            <w:bottom w:w="0" w:type="dxa"/>
            <w:right w:w="0" w:type="dxa"/>
          </w:tblCellMar>
        </w:tblPrEx>
        <w:trPr>
          <w:trHeight w:val="312" w:hRule="atLeast"/>
          <w:jc w:val="center"/>
        </w:trPr>
        <w:tc>
          <w:tcPr>
            <w:tcW w:w="1307"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功能分类科目编码</w:t>
            </w:r>
          </w:p>
        </w:tc>
        <w:tc>
          <w:tcPr>
            <w:tcW w:w="2952"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科目名称</w:t>
            </w:r>
          </w:p>
        </w:tc>
        <w:tc>
          <w:tcPr>
            <w:tcW w:w="198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小计</w:t>
            </w:r>
          </w:p>
        </w:tc>
        <w:tc>
          <w:tcPr>
            <w:tcW w:w="212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基本支出</w:t>
            </w:r>
          </w:p>
        </w:tc>
        <w:tc>
          <w:tcPr>
            <w:tcW w:w="1620"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项目支出</w:t>
            </w:r>
          </w:p>
        </w:tc>
      </w:tr>
      <w:tr>
        <w:tblPrEx>
          <w:tblCellMar>
            <w:top w:w="0" w:type="dxa"/>
            <w:left w:w="0" w:type="dxa"/>
            <w:bottom w:w="0" w:type="dxa"/>
            <w:right w:w="0" w:type="dxa"/>
          </w:tblCellMar>
        </w:tblPrEx>
        <w:trPr>
          <w:trHeight w:val="312" w:hRule="atLeast"/>
          <w:jc w:val="center"/>
        </w:trPr>
        <w:tc>
          <w:tcPr>
            <w:tcW w:w="1307"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95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98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12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20"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307"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95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98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12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20"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4259"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19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21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r>
      <w:tr>
        <w:tblPrEx>
          <w:tblCellMar>
            <w:top w:w="0" w:type="dxa"/>
            <w:left w:w="0" w:type="dxa"/>
            <w:bottom w:w="0" w:type="dxa"/>
            <w:right w:w="0" w:type="dxa"/>
          </w:tblCellMar>
        </w:tblPrEx>
        <w:trPr>
          <w:trHeight w:val="308" w:hRule="atLeast"/>
          <w:jc w:val="center"/>
        </w:trPr>
        <w:tc>
          <w:tcPr>
            <w:tcW w:w="4259"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合计</w:t>
            </w:r>
          </w:p>
        </w:tc>
        <w:tc>
          <w:tcPr>
            <w:tcW w:w="19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r>
              <w:rPr>
                <w:rFonts w:hint="eastAsia" w:ascii="宋体" w:hAnsi="宋体" w:eastAsia="宋体" w:cs="宋体"/>
                <w:b/>
                <w:color w:val="000000"/>
                <w:sz w:val="18"/>
                <w:szCs w:val="18"/>
              </w:rPr>
              <w:t>69.99</w:t>
            </w:r>
          </w:p>
        </w:tc>
        <w:tc>
          <w:tcPr>
            <w:tcW w:w="21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r>
              <w:rPr>
                <w:rFonts w:hint="eastAsia" w:ascii="宋体" w:hAnsi="宋体" w:eastAsia="宋体" w:cs="宋体"/>
                <w:b/>
                <w:color w:val="000000"/>
                <w:sz w:val="18"/>
                <w:szCs w:val="18"/>
              </w:rPr>
              <w:t>14.25</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r>
              <w:rPr>
                <w:rFonts w:hint="eastAsia" w:ascii="宋体" w:hAnsi="宋体" w:eastAsia="宋体" w:cs="宋体"/>
                <w:b/>
                <w:color w:val="000000"/>
                <w:sz w:val="18"/>
                <w:szCs w:val="18"/>
              </w:rPr>
              <w:t>55.74</w:t>
            </w:r>
          </w:p>
        </w:tc>
      </w:tr>
      <w:tr>
        <w:tblPrEx>
          <w:tblCellMar>
            <w:top w:w="0" w:type="dxa"/>
            <w:left w:w="0" w:type="dxa"/>
            <w:bottom w:w="0" w:type="dxa"/>
            <w:right w:w="0" w:type="dxa"/>
          </w:tblCellMar>
        </w:tblPrEx>
        <w:trPr>
          <w:trHeight w:val="308" w:hRule="atLeast"/>
          <w:jc w:val="center"/>
        </w:trPr>
        <w:tc>
          <w:tcPr>
            <w:tcW w:w="130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207</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文化旅游体育和传媒支出</w:t>
            </w:r>
          </w:p>
        </w:tc>
        <w:tc>
          <w:tcPr>
            <w:tcW w:w="19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63.63</w:t>
            </w:r>
          </w:p>
        </w:tc>
        <w:tc>
          <w:tcPr>
            <w:tcW w:w="21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7.89</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55.74</w:t>
            </w:r>
          </w:p>
        </w:tc>
      </w:tr>
      <w:tr>
        <w:tblPrEx>
          <w:tblCellMar>
            <w:top w:w="0" w:type="dxa"/>
            <w:left w:w="0" w:type="dxa"/>
            <w:bottom w:w="0" w:type="dxa"/>
            <w:right w:w="0" w:type="dxa"/>
          </w:tblCellMar>
        </w:tblPrEx>
        <w:trPr>
          <w:trHeight w:val="308" w:hRule="atLeast"/>
          <w:jc w:val="center"/>
        </w:trPr>
        <w:tc>
          <w:tcPr>
            <w:tcW w:w="130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20702</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文物</w:t>
            </w:r>
          </w:p>
        </w:tc>
        <w:tc>
          <w:tcPr>
            <w:tcW w:w="19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63.63</w:t>
            </w:r>
          </w:p>
        </w:tc>
        <w:tc>
          <w:tcPr>
            <w:tcW w:w="21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7.89</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55.74</w:t>
            </w:r>
          </w:p>
        </w:tc>
      </w:tr>
      <w:tr>
        <w:tblPrEx>
          <w:tblCellMar>
            <w:top w:w="0" w:type="dxa"/>
            <w:left w:w="0" w:type="dxa"/>
            <w:bottom w:w="0" w:type="dxa"/>
            <w:right w:w="0" w:type="dxa"/>
          </w:tblCellMar>
        </w:tblPrEx>
        <w:trPr>
          <w:trHeight w:val="308" w:hRule="atLeast"/>
          <w:jc w:val="center"/>
        </w:trPr>
        <w:tc>
          <w:tcPr>
            <w:tcW w:w="130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2070201</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行政运行</w:t>
            </w:r>
          </w:p>
        </w:tc>
        <w:tc>
          <w:tcPr>
            <w:tcW w:w="19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7.89</w:t>
            </w:r>
          </w:p>
        </w:tc>
        <w:tc>
          <w:tcPr>
            <w:tcW w:w="21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7.89</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2070204</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文物保护</w:t>
            </w:r>
          </w:p>
        </w:tc>
        <w:tc>
          <w:tcPr>
            <w:tcW w:w="19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55.74</w:t>
            </w:r>
          </w:p>
        </w:tc>
        <w:tc>
          <w:tcPr>
            <w:tcW w:w="21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55.74</w:t>
            </w:r>
          </w:p>
        </w:tc>
      </w:tr>
      <w:tr>
        <w:tblPrEx>
          <w:tblCellMar>
            <w:top w:w="0" w:type="dxa"/>
            <w:left w:w="0" w:type="dxa"/>
            <w:bottom w:w="0" w:type="dxa"/>
            <w:right w:w="0" w:type="dxa"/>
          </w:tblCellMar>
        </w:tblPrEx>
        <w:trPr>
          <w:trHeight w:val="308" w:hRule="atLeast"/>
          <w:jc w:val="center"/>
        </w:trPr>
        <w:tc>
          <w:tcPr>
            <w:tcW w:w="130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社会保障和就业支出</w:t>
            </w:r>
          </w:p>
        </w:tc>
        <w:tc>
          <w:tcPr>
            <w:tcW w:w="19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5.08</w:t>
            </w:r>
          </w:p>
        </w:tc>
        <w:tc>
          <w:tcPr>
            <w:tcW w:w="21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5.08</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20805</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行政事业单位养老支出</w:t>
            </w:r>
          </w:p>
        </w:tc>
        <w:tc>
          <w:tcPr>
            <w:tcW w:w="19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5.08</w:t>
            </w:r>
          </w:p>
        </w:tc>
        <w:tc>
          <w:tcPr>
            <w:tcW w:w="21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5.08</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307" w:type="dxa"/>
            <w:gridSpan w:val="3"/>
          </w:tcPr>
          <w:p>
            <w:pPr>
              <w:jc w:val="left"/>
            </w:pPr>
            <w:r>
              <w:rPr>
                <w:rFonts w:hint="eastAsia"/>
              </w:rPr>
              <w:t>2080502</w:t>
            </w:r>
          </w:p>
        </w:tc>
        <w:tc>
          <w:tcPr>
            <w:tcW w:w="2952" w:type="dxa"/>
          </w:tcPr>
          <w:p>
            <w:pPr>
              <w:jc w:val="left"/>
            </w:pPr>
            <w:r>
              <w:rPr>
                <w:rFonts w:hint="eastAsia"/>
              </w:rPr>
              <w:t>事业单位离退休</w:t>
            </w:r>
          </w:p>
        </w:tc>
        <w:tc>
          <w:tcPr>
            <w:tcW w:w="1984" w:type="dxa"/>
          </w:tcPr>
          <w:p>
            <w:pPr>
              <w:jc w:val="center"/>
            </w:pPr>
            <w:r>
              <w:rPr>
                <w:rFonts w:hint="eastAsia"/>
              </w:rPr>
              <w:t>2.56</w:t>
            </w:r>
          </w:p>
        </w:tc>
        <w:tc>
          <w:tcPr>
            <w:tcW w:w="2127" w:type="dxa"/>
          </w:tcPr>
          <w:p>
            <w:pPr>
              <w:jc w:val="center"/>
            </w:pPr>
            <w:r>
              <w:rPr>
                <w:rFonts w:hint="eastAsia"/>
              </w:rPr>
              <w:t>2.56</w:t>
            </w:r>
          </w:p>
        </w:tc>
        <w:tc>
          <w:tcPr>
            <w:tcW w:w="1620" w:type="dxa"/>
            <w:gridSpan w:val="2"/>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307" w:type="dxa"/>
            <w:gridSpan w:val="3"/>
          </w:tcPr>
          <w:p>
            <w:pPr>
              <w:jc w:val="left"/>
            </w:pPr>
            <w:r>
              <w:rPr>
                <w:rFonts w:hint="eastAsia"/>
              </w:rPr>
              <w:t>2080505</w:t>
            </w:r>
          </w:p>
        </w:tc>
        <w:tc>
          <w:tcPr>
            <w:tcW w:w="2952" w:type="dxa"/>
          </w:tcPr>
          <w:p>
            <w:pPr>
              <w:jc w:val="left"/>
            </w:pPr>
            <w:r>
              <w:rPr>
                <w:rFonts w:hint="eastAsia"/>
              </w:rPr>
              <w:t>机关事业单位 基本养老保险缴费支出</w:t>
            </w:r>
          </w:p>
        </w:tc>
        <w:tc>
          <w:tcPr>
            <w:tcW w:w="1984" w:type="dxa"/>
          </w:tcPr>
          <w:p>
            <w:pPr>
              <w:jc w:val="center"/>
            </w:pPr>
            <w:r>
              <w:rPr>
                <w:rFonts w:hint="eastAsia"/>
              </w:rPr>
              <w:t>1.53</w:t>
            </w:r>
          </w:p>
        </w:tc>
        <w:tc>
          <w:tcPr>
            <w:tcW w:w="2127" w:type="dxa"/>
          </w:tcPr>
          <w:p>
            <w:pPr>
              <w:jc w:val="center"/>
            </w:pPr>
            <w:r>
              <w:rPr>
                <w:rFonts w:hint="eastAsia"/>
              </w:rPr>
              <w:t>1.53</w:t>
            </w:r>
          </w:p>
        </w:tc>
        <w:tc>
          <w:tcPr>
            <w:tcW w:w="1620" w:type="dxa"/>
            <w:gridSpan w:val="2"/>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307" w:type="dxa"/>
            <w:gridSpan w:val="3"/>
          </w:tcPr>
          <w:p>
            <w:pPr>
              <w:jc w:val="left"/>
            </w:pPr>
            <w:r>
              <w:rPr>
                <w:rFonts w:hint="eastAsia"/>
              </w:rPr>
              <w:t>2080506</w:t>
            </w:r>
          </w:p>
        </w:tc>
        <w:tc>
          <w:tcPr>
            <w:tcW w:w="2952" w:type="dxa"/>
          </w:tcPr>
          <w:p>
            <w:pPr>
              <w:jc w:val="left"/>
            </w:pPr>
            <w:r>
              <w:rPr>
                <w:rFonts w:hint="eastAsia"/>
              </w:rPr>
              <w:t>机关事业单位职业年金缴费支出</w:t>
            </w:r>
          </w:p>
        </w:tc>
        <w:tc>
          <w:tcPr>
            <w:tcW w:w="1984" w:type="dxa"/>
          </w:tcPr>
          <w:p>
            <w:pPr>
              <w:jc w:val="center"/>
            </w:pPr>
            <w:r>
              <w:rPr>
                <w:rFonts w:hint="eastAsia"/>
              </w:rPr>
              <w:t>0.99</w:t>
            </w:r>
          </w:p>
        </w:tc>
        <w:tc>
          <w:tcPr>
            <w:tcW w:w="2127" w:type="dxa"/>
          </w:tcPr>
          <w:p>
            <w:pPr>
              <w:jc w:val="center"/>
            </w:pPr>
            <w:r>
              <w:rPr>
                <w:rFonts w:hint="eastAsia"/>
              </w:rPr>
              <w:t>0.99</w:t>
            </w:r>
          </w:p>
        </w:tc>
        <w:tc>
          <w:tcPr>
            <w:tcW w:w="1620" w:type="dxa"/>
            <w:gridSpan w:val="2"/>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307" w:type="dxa"/>
            <w:gridSpan w:val="3"/>
          </w:tcPr>
          <w:p>
            <w:pPr>
              <w:jc w:val="left"/>
            </w:pPr>
            <w:r>
              <w:rPr>
                <w:rFonts w:hint="eastAsia"/>
              </w:rPr>
              <w:t>210</w:t>
            </w:r>
          </w:p>
        </w:tc>
        <w:tc>
          <w:tcPr>
            <w:tcW w:w="2952" w:type="dxa"/>
          </w:tcPr>
          <w:p>
            <w:pPr>
              <w:jc w:val="left"/>
            </w:pPr>
            <w:r>
              <w:rPr>
                <w:rFonts w:hint="eastAsia"/>
              </w:rPr>
              <w:t>卫生健康支出</w:t>
            </w:r>
          </w:p>
        </w:tc>
        <w:tc>
          <w:tcPr>
            <w:tcW w:w="1984" w:type="dxa"/>
          </w:tcPr>
          <w:p>
            <w:pPr>
              <w:jc w:val="center"/>
            </w:pPr>
            <w:r>
              <w:rPr>
                <w:rFonts w:hint="eastAsia"/>
              </w:rPr>
              <w:t>0.49</w:t>
            </w:r>
          </w:p>
        </w:tc>
        <w:tc>
          <w:tcPr>
            <w:tcW w:w="2127" w:type="dxa"/>
          </w:tcPr>
          <w:p>
            <w:pPr>
              <w:jc w:val="center"/>
            </w:pPr>
            <w:r>
              <w:rPr>
                <w:rFonts w:hint="eastAsia"/>
              </w:rPr>
              <w:t>0.49</w:t>
            </w:r>
          </w:p>
        </w:tc>
        <w:tc>
          <w:tcPr>
            <w:tcW w:w="1620" w:type="dxa"/>
            <w:gridSpan w:val="2"/>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307" w:type="dxa"/>
            <w:gridSpan w:val="3"/>
          </w:tcPr>
          <w:p>
            <w:pPr>
              <w:jc w:val="left"/>
            </w:pPr>
            <w:r>
              <w:rPr>
                <w:rFonts w:hint="eastAsia"/>
              </w:rPr>
              <w:t>21011</w:t>
            </w:r>
          </w:p>
        </w:tc>
        <w:tc>
          <w:tcPr>
            <w:tcW w:w="2952" w:type="dxa"/>
          </w:tcPr>
          <w:p>
            <w:pPr>
              <w:jc w:val="left"/>
            </w:pPr>
            <w:r>
              <w:rPr>
                <w:rFonts w:hint="eastAsia"/>
              </w:rPr>
              <w:t>行政事业单位医疗</w:t>
            </w:r>
          </w:p>
        </w:tc>
        <w:tc>
          <w:tcPr>
            <w:tcW w:w="1984" w:type="dxa"/>
          </w:tcPr>
          <w:p>
            <w:pPr>
              <w:jc w:val="center"/>
            </w:pPr>
            <w:r>
              <w:rPr>
                <w:rFonts w:hint="eastAsia"/>
              </w:rPr>
              <w:t>0.49</w:t>
            </w:r>
          </w:p>
        </w:tc>
        <w:tc>
          <w:tcPr>
            <w:tcW w:w="2127" w:type="dxa"/>
          </w:tcPr>
          <w:p>
            <w:pPr>
              <w:jc w:val="center"/>
            </w:pPr>
            <w:r>
              <w:rPr>
                <w:rFonts w:hint="eastAsia"/>
              </w:rPr>
              <w:t>0.49</w:t>
            </w:r>
          </w:p>
        </w:tc>
        <w:tc>
          <w:tcPr>
            <w:tcW w:w="1620" w:type="dxa"/>
            <w:gridSpan w:val="2"/>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307" w:type="dxa"/>
            <w:gridSpan w:val="3"/>
          </w:tcPr>
          <w:p>
            <w:pPr>
              <w:jc w:val="left"/>
            </w:pPr>
            <w:r>
              <w:rPr>
                <w:rFonts w:hint="eastAsia"/>
              </w:rPr>
              <w:t>2101102</w:t>
            </w:r>
          </w:p>
        </w:tc>
        <w:tc>
          <w:tcPr>
            <w:tcW w:w="2952" w:type="dxa"/>
          </w:tcPr>
          <w:p>
            <w:pPr>
              <w:jc w:val="left"/>
            </w:pPr>
            <w:r>
              <w:rPr>
                <w:rFonts w:hint="eastAsia"/>
              </w:rPr>
              <w:t>事业单位医疗</w:t>
            </w:r>
          </w:p>
        </w:tc>
        <w:tc>
          <w:tcPr>
            <w:tcW w:w="1984" w:type="dxa"/>
          </w:tcPr>
          <w:p>
            <w:pPr>
              <w:jc w:val="center"/>
            </w:pPr>
            <w:r>
              <w:rPr>
                <w:rFonts w:hint="eastAsia"/>
              </w:rPr>
              <w:t>0.49</w:t>
            </w:r>
          </w:p>
        </w:tc>
        <w:tc>
          <w:tcPr>
            <w:tcW w:w="2127" w:type="dxa"/>
          </w:tcPr>
          <w:p>
            <w:pPr>
              <w:jc w:val="center"/>
            </w:pPr>
            <w:r>
              <w:rPr>
                <w:rFonts w:hint="eastAsia"/>
              </w:rPr>
              <w:t>0.49</w:t>
            </w:r>
          </w:p>
        </w:tc>
        <w:tc>
          <w:tcPr>
            <w:tcW w:w="1620" w:type="dxa"/>
            <w:gridSpan w:val="2"/>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307" w:type="dxa"/>
            <w:gridSpan w:val="3"/>
          </w:tcPr>
          <w:p>
            <w:pPr>
              <w:jc w:val="left"/>
            </w:pPr>
            <w:r>
              <w:rPr>
                <w:rFonts w:hint="eastAsia"/>
              </w:rPr>
              <w:t>221</w:t>
            </w:r>
          </w:p>
        </w:tc>
        <w:tc>
          <w:tcPr>
            <w:tcW w:w="2952" w:type="dxa"/>
          </w:tcPr>
          <w:p>
            <w:pPr>
              <w:jc w:val="left"/>
            </w:pPr>
            <w:r>
              <w:rPr>
                <w:rFonts w:hint="eastAsia"/>
              </w:rPr>
              <w:t>住房保障支出</w:t>
            </w:r>
          </w:p>
        </w:tc>
        <w:tc>
          <w:tcPr>
            <w:tcW w:w="1984" w:type="dxa"/>
          </w:tcPr>
          <w:p>
            <w:pPr>
              <w:jc w:val="center"/>
            </w:pPr>
            <w:r>
              <w:rPr>
                <w:rFonts w:hint="eastAsia"/>
              </w:rPr>
              <w:t>0.79</w:t>
            </w:r>
          </w:p>
        </w:tc>
        <w:tc>
          <w:tcPr>
            <w:tcW w:w="2127" w:type="dxa"/>
          </w:tcPr>
          <w:p>
            <w:pPr>
              <w:jc w:val="center"/>
            </w:pPr>
            <w:r>
              <w:rPr>
                <w:rFonts w:hint="eastAsia"/>
              </w:rPr>
              <w:t>0.79</w:t>
            </w:r>
          </w:p>
        </w:tc>
        <w:tc>
          <w:tcPr>
            <w:tcW w:w="1620" w:type="dxa"/>
            <w:gridSpan w:val="2"/>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307" w:type="dxa"/>
            <w:gridSpan w:val="3"/>
          </w:tcPr>
          <w:p>
            <w:pPr>
              <w:jc w:val="left"/>
            </w:pPr>
            <w:r>
              <w:rPr>
                <w:rFonts w:hint="eastAsia"/>
              </w:rPr>
              <w:t>22102</w:t>
            </w:r>
          </w:p>
        </w:tc>
        <w:tc>
          <w:tcPr>
            <w:tcW w:w="2952" w:type="dxa"/>
          </w:tcPr>
          <w:p>
            <w:pPr>
              <w:jc w:val="left"/>
            </w:pPr>
            <w:r>
              <w:rPr>
                <w:rFonts w:hint="eastAsia"/>
              </w:rPr>
              <w:t>住房改革支出</w:t>
            </w:r>
          </w:p>
        </w:tc>
        <w:tc>
          <w:tcPr>
            <w:tcW w:w="1984" w:type="dxa"/>
          </w:tcPr>
          <w:p>
            <w:pPr>
              <w:jc w:val="center"/>
            </w:pPr>
            <w:r>
              <w:rPr>
                <w:rFonts w:hint="eastAsia"/>
              </w:rPr>
              <w:t>0.79</w:t>
            </w:r>
          </w:p>
        </w:tc>
        <w:tc>
          <w:tcPr>
            <w:tcW w:w="2127" w:type="dxa"/>
          </w:tcPr>
          <w:p>
            <w:pPr>
              <w:jc w:val="center"/>
            </w:pPr>
            <w:r>
              <w:rPr>
                <w:rFonts w:hint="eastAsia"/>
              </w:rPr>
              <w:t>0.79</w:t>
            </w:r>
          </w:p>
        </w:tc>
        <w:tc>
          <w:tcPr>
            <w:tcW w:w="1620" w:type="dxa"/>
            <w:gridSpan w:val="2"/>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307" w:type="dxa"/>
            <w:gridSpan w:val="3"/>
          </w:tcPr>
          <w:p>
            <w:pPr>
              <w:jc w:val="left"/>
            </w:pPr>
            <w:r>
              <w:rPr>
                <w:rFonts w:hint="eastAsia"/>
              </w:rPr>
              <w:t>2210201</w:t>
            </w:r>
          </w:p>
        </w:tc>
        <w:tc>
          <w:tcPr>
            <w:tcW w:w="2952" w:type="dxa"/>
          </w:tcPr>
          <w:p>
            <w:pPr>
              <w:jc w:val="left"/>
            </w:pPr>
            <w:r>
              <w:rPr>
                <w:rFonts w:hint="eastAsia"/>
              </w:rPr>
              <w:t>住房公积金</w:t>
            </w:r>
          </w:p>
        </w:tc>
        <w:tc>
          <w:tcPr>
            <w:tcW w:w="1984" w:type="dxa"/>
          </w:tcPr>
          <w:p>
            <w:pPr>
              <w:jc w:val="center"/>
            </w:pPr>
            <w:r>
              <w:rPr>
                <w:rFonts w:hint="eastAsia"/>
              </w:rPr>
              <w:t>0.79</w:t>
            </w:r>
          </w:p>
        </w:tc>
        <w:tc>
          <w:tcPr>
            <w:tcW w:w="2127" w:type="dxa"/>
          </w:tcPr>
          <w:p>
            <w:pPr>
              <w:jc w:val="center"/>
            </w:pPr>
            <w:r>
              <w:rPr>
                <w:rFonts w:hint="eastAsia"/>
              </w:rPr>
              <w:t>0.79</w:t>
            </w:r>
          </w:p>
        </w:tc>
        <w:tc>
          <w:tcPr>
            <w:tcW w:w="1620" w:type="dxa"/>
            <w:gridSpan w:val="2"/>
          </w:tcPr>
          <w:p>
            <w:pPr>
              <w:jc w:val="center"/>
            </w:pPr>
          </w:p>
        </w:tc>
      </w:tr>
    </w:tbl>
    <w:p>
      <w:pPr>
        <w:jc w:val="center"/>
      </w:pPr>
      <w:r>
        <w:br w:type="page"/>
      </w:r>
    </w:p>
    <w:p>
      <w:pPr>
        <w:widowControl/>
        <w:jc w:val="center"/>
        <w:textAlignment w:val="center"/>
        <w:rPr>
          <w:rFonts w:ascii="黑体" w:hAnsi="宋体" w:eastAsia="黑体" w:cs="黑体"/>
          <w:color w:val="000000"/>
          <w:kern w:val="0"/>
          <w:sz w:val="28"/>
          <w:szCs w:val="28"/>
        </w:rPr>
        <w:sectPr>
          <w:pgSz w:w="11906" w:h="16838"/>
          <w:pgMar w:top="2098" w:right="1531" w:bottom="1984" w:left="1531" w:header="851" w:footer="992" w:gutter="0"/>
          <w:cols w:space="425" w:num="1"/>
          <w:docGrid w:type="lines" w:linePitch="312" w:charSpace="0"/>
        </w:sectPr>
      </w:pPr>
    </w:p>
    <w:tbl>
      <w:tblPr>
        <w:tblStyle w:val="7"/>
        <w:tblW w:w="14076" w:type="dxa"/>
        <w:jc w:val="center"/>
        <w:tblLayout w:type="fixed"/>
        <w:tblCellMar>
          <w:top w:w="0" w:type="dxa"/>
          <w:left w:w="0" w:type="dxa"/>
          <w:bottom w:w="0" w:type="dxa"/>
          <w:right w:w="0" w:type="dxa"/>
        </w:tblCellMar>
      </w:tblPr>
      <w:tblGrid>
        <w:gridCol w:w="1251"/>
        <w:gridCol w:w="2477"/>
        <w:gridCol w:w="1317"/>
        <w:gridCol w:w="913"/>
        <w:gridCol w:w="2463"/>
        <w:gridCol w:w="966"/>
        <w:gridCol w:w="861"/>
        <w:gridCol w:w="3028"/>
        <w:gridCol w:w="800"/>
      </w:tblGrid>
      <w:tr>
        <w:tblPrEx>
          <w:tblCellMar>
            <w:top w:w="0" w:type="dxa"/>
            <w:left w:w="0" w:type="dxa"/>
            <w:bottom w:w="0" w:type="dxa"/>
            <w:right w:w="0" w:type="dxa"/>
          </w:tblCellMar>
        </w:tblPrEx>
        <w:trPr>
          <w:trHeight w:val="404" w:hRule="atLeast"/>
          <w:jc w:val="center"/>
        </w:trPr>
        <w:tc>
          <w:tcPr>
            <w:tcW w:w="14076" w:type="dxa"/>
            <w:gridSpan w:val="9"/>
            <w:tcBorders>
              <w:top w:val="nil"/>
              <w:left w:val="nil"/>
              <w:bottom w:val="nil"/>
              <w:right w:val="nil"/>
            </w:tcBorders>
            <w:shd w:val="clear" w:color="auto" w:fill="auto"/>
            <w:tcMar>
              <w:top w:w="15" w:type="dxa"/>
              <w:left w:w="15" w:type="dxa"/>
              <w:right w:w="15" w:type="dxa"/>
            </w:tcMar>
            <w:vAlign w:val="center"/>
          </w:tcPr>
          <w:p>
            <w:pPr>
              <w:widowControl/>
              <w:spacing w:line="42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28"/>
                <w:szCs w:val="28"/>
              </w:rPr>
              <w:t>一般公共预算财政拨款基本支出决算表</w:t>
            </w:r>
          </w:p>
        </w:tc>
      </w:tr>
      <w:tr>
        <w:tblPrEx>
          <w:tblCellMar>
            <w:top w:w="0" w:type="dxa"/>
            <w:left w:w="0" w:type="dxa"/>
            <w:bottom w:w="0" w:type="dxa"/>
            <w:right w:w="0" w:type="dxa"/>
          </w:tblCellMar>
        </w:tblPrEx>
        <w:trPr>
          <w:trHeight w:val="66"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rPr>
              <w:t>公开06表</w:t>
            </w:r>
          </w:p>
        </w:tc>
      </w:tr>
      <w:tr>
        <w:tblPrEx>
          <w:tblCellMar>
            <w:top w:w="0" w:type="dxa"/>
            <w:left w:w="0" w:type="dxa"/>
            <w:bottom w:w="0" w:type="dxa"/>
            <w:right w:w="0" w:type="dxa"/>
          </w:tblCellMar>
        </w:tblPrEx>
        <w:trPr>
          <w:trHeight w:val="61" w:hRule="atLeast"/>
          <w:jc w:val="center"/>
        </w:trPr>
        <w:tc>
          <w:tcPr>
            <w:tcW w:w="3728" w:type="dxa"/>
            <w:gridSpan w:val="2"/>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r>
              <w:rPr>
                <w:rFonts w:hint="eastAsia" w:ascii="宋体" w:hAnsi="宋体" w:eastAsia="宋体" w:cs="宋体"/>
                <w:color w:val="000000"/>
                <w:kern w:val="0"/>
                <w:sz w:val="16"/>
                <w:szCs w:val="16"/>
              </w:rPr>
              <w:t>部门：保定市满城区博物馆</w:t>
            </w: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rPr>
              <w:t>金额单位：万元</w:t>
            </w:r>
          </w:p>
        </w:tc>
      </w:tr>
      <w:tr>
        <w:tblPrEx>
          <w:tblCellMar>
            <w:top w:w="0" w:type="dxa"/>
            <w:left w:w="0" w:type="dxa"/>
            <w:bottom w:w="0" w:type="dxa"/>
            <w:right w:w="0" w:type="dxa"/>
          </w:tblCellMar>
        </w:tblPrEx>
        <w:trPr>
          <w:trHeight w:val="242" w:hRule="atLeast"/>
          <w:jc w:val="center"/>
        </w:trPr>
        <w:tc>
          <w:tcPr>
            <w:tcW w:w="50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人员经费</w:t>
            </w:r>
          </w:p>
        </w:tc>
        <w:tc>
          <w:tcPr>
            <w:tcW w:w="9031"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公用经费</w:t>
            </w:r>
          </w:p>
        </w:tc>
      </w:tr>
      <w:tr>
        <w:tblPrEx>
          <w:tblCellMar>
            <w:top w:w="0" w:type="dxa"/>
            <w:left w:w="0" w:type="dxa"/>
            <w:bottom w:w="0" w:type="dxa"/>
            <w:right w:w="0" w:type="dxa"/>
          </w:tblCellMar>
        </w:tblPrEx>
        <w:trPr>
          <w:trHeight w:val="240" w:hRule="atLeast"/>
          <w:jc w:val="center"/>
        </w:trPr>
        <w:tc>
          <w:tcPr>
            <w:tcW w:w="125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科目编码</w:t>
            </w:r>
          </w:p>
        </w:tc>
        <w:tc>
          <w:tcPr>
            <w:tcW w:w="2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科目名称</w:t>
            </w:r>
          </w:p>
        </w:tc>
        <w:tc>
          <w:tcPr>
            <w:tcW w:w="131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决算数</w:t>
            </w:r>
          </w:p>
        </w:tc>
        <w:tc>
          <w:tcPr>
            <w:tcW w:w="91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科目编码</w:t>
            </w:r>
          </w:p>
        </w:tc>
        <w:tc>
          <w:tcPr>
            <w:tcW w:w="24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科目名称</w:t>
            </w:r>
          </w:p>
        </w:tc>
        <w:tc>
          <w:tcPr>
            <w:tcW w:w="96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决算数</w:t>
            </w:r>
          </w:p>
        </w:tc>
        <w:tc>
          <w:tcPr>
            <w:tcW w:w="8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科目编码</w:t>
            </w:r>
          </w:p>
        </w:tc>
        <w:tc>
          <w:tcPr>
            <w:tcW w:w="302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科目名称</w:t>
            </w:r>
          </w:p>
        </w:tc>
        <w:tc>
          <w:tcPr>
            <w:tcW w:w="8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决算数</w:t>
            </w:r>
          </w:p>
        </w:tc>
      </w:tr>
      <w:tr>
        <w:tblPrEx>
          <w:tblCellMar>
            <w:top w:w="0" w:type="dxa"/>
            <w:left w:w="0" w:type="dxa"/>
            <w:bottom w:w="0" w:type="dxa"/>
            <w:right w:w="0" w:type="dxa"/>
          </w:tblCellMar>
        </w:tblPrEx>
        <w:trPr>
          <w:trHeight w:val="312" w:hRule="atLeast"/>
          <w:jc w:val="center"/>
        </w:trPr>
        <w:tc>
          <w:tcPr>
            <w:tcW w:w="125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3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1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6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6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302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11.53</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0.06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债务利息及费用支出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基本工资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5.84</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0.06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国内债务付息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津贴补贴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0.24</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印刷费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国外债务付息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1.12</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咨询费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伙食补助费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手续费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房屋建筑物购建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绩效工资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水费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机关事业单位基本养老保险缴费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1.53</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职业年金缴费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0.99</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邮电费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31005</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基础设施建设</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职工基本医疗保险缴费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0.49</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取暖费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大型修缮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公务员医疗补助缴费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物业管理费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信息网络及软件购置更新</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其他社会保障缴费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差旅费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物资储备</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住房公积金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0.79</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因公出国（境）费用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土地补偿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维修（护）费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安置补助</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0.53</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租赁费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地上附着物和青苗补偿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2.66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会议费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拆迁补偿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离休费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培训费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公务接待费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其他交通工具购置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退职（役）费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专用材料费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文物和陈列品购置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抚恤金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无形资产购置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30305</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生活补助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2.66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救济费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赠与</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助学金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工会经费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国家赔偿费用支出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奖励金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福利费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r>
              <w:rPr>
                <w:rFonts w:hint="eastAsia" w:ascii="宋体" w:hAnsi="宋体" w:eastAsia="宋体" w:cs="宋体"/>
                <w:color w:val="000000"/>
                <w:kern w:val="0"/>
                <w:sz w:val="15"/>
                <w:szCs w:val="15"/>
              </w:rPr>
              <w:t>对民间非营利组织和群众性自治组织补贴</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个人农业生产补贴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公务用车运行维护费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30240</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税金及附加费用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30299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37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人员经费合计</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14.19</w:t>
            </w:r>
          </w:p>
        </w:tc>
        <w:tc>
          <w:tcPr>
            <w:tcW w:w="823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公用经费合计</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r>
              <w:rPr>
                <w:rFonts w:hint="eastAsia" w:ascii="宋体" w:hAnsi="宋体" w:eastAsia="宋体" w:cs="宋体"/>
                <w:color w:val="000000"/>
                <w:sz w:val="16"/>
                <w:szCs w:val="16"/>
              </w:rPr>
              <w:t>0.06</w:t>
            </w:r>
          </w:p>
        </w:tc>
      </w:tr>
    </w:tbl>
    <w:p>
      <w:pPr>
        <w:widowControl/>
        <w:jc w:val="center"/>
        <w:textAlignment w:val="center"/>
        <w:sectPr>
          <w:pgSz w:w="16838" w:h="11906" w:orient="landscape"/>
          <w:pgMar w:top="1531" w:right="2098" w:bottom="1531" w:left="1984" w:header="851" w:footer="992" w:gutter="0"/>
          <w:cols w:space="425" w:num="1"/>
          <w:docGrid w:type="lines" w:linePitch="312" w:charSpace="0"/>
        </w:sectPr>
      </w:pPr>
    </w:p>
    <w:tbl>
      <w:tblPr>
        <w:tblStyle w:val="7"/>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sz w:val="28"/>
                <w:szCs w:val="28"/>
              </w:rPr>
              <w:br w:type="page"/>
            </w:r>
            <w:r>
              <w:rPr>
                <w:rFonts w:hint="eastAsia" w:ascii="黑体" w:hAnsi="宋体" w:eastAsia="黑体" w:cs="黑体"/>
                <w:color w:val="000000"/>
                <w:kern w:val="0"/>
                <w:sz w:val="28"/>
                <w:szCs w:val="28"/>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公开07表</w:t>
            </w:r>
          </w:p>
        </w:tc>
      </w:tr>
      <w:tr>
        <w:tblPrEx>
          <w:tblCellMar>
            <w:top w:w="0" w:type="dxa"/>
            <w:left w:w="0" w:type="dxa"/>
            <w:bottom w:w="0" w:type="dxa"/>
            <w:right w:w="0" w:type="dxa"/>
          </w:tblCellMar>
        </w:tblPrEx>
        <w:trPr>
          <w:trHeight w:val="360" w:hRule="atLeast"/>
          <w:jc w:val="center"/>
        </w:trPr>
        <w:tc>
          <w:tcPr>
            <w:tcW w:w="2953" w:type="dxa"/>
            <w:gridSpan w:val="2"/>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r>
              <w:rPr>
                <w:rFonts w:hint="eastAsia" w:ascii="宋体" w:hAnsi="宋体" w:eastAsia="宋体" w:cs="宋体"/>
                <w:color w:val="000000"/>
                <w:kern w:val="0"/>
                <w:sz w:val="18"/>
                <w:szCs w:val="18"/>
              </w:rPr>
              <w:t>部门：保定市满城区博物馆</w:t>
            </w: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 w:val="20"/>
                <w:szCs w:val="21"/>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pPr>
        <w:widowControl/>
        <w:adjustRightInd w:val="0"/>
        <w:snapToGrid w:val="0"/>
        <w:jc w:val="left"/>
        <w:textAlignment w:val="center"/>
        <w:rPr>
          <w:rFonts w:ascii="宋体" w:hAnsi="Cambria" w:cs="宋体"/>
          <w:color w:val="000000"/>
          <w:kern w:val="0"/>
          <w:sz w:val="24"/>
        </w:rPr>
      </w:pPr>
      <w:r>
        <w:rPr>
          <w:rFonts w:hint="eastAsia" w:ascii="宋体" w:hAnsi="Cambria" w:cs="宋体"/>
          <w:color w:val="000000"/>
          <w:kern w:val="0"/>
          <w:sz w:val="24"/>
        </w:rPr>
        <w:t>注：本部门无“三公”经费支出，按要求空表列示。</w:t>
      </w:r>
    </w:p>
    <w:p>
      <w:r>
        <w:rPr>
          <w:rFonts w:hint="eastAsia" w:ascii="宋体" w:hAnsi="宋体" w:eastAsia="宋体" w:cs="宋体"/>
          <w:sz w:val="20"/>
          <w:szCs w:val="22"/>
        </w:rPr>
        <w:t>注：本表反映部门本年度“三公”经费支出预决算情况。其中：预算数为“三公”经费</w:t>
      </w:r>
      <w:r>
        <w:rPr>
          <w:rFonts w:hint="eastAsia" w:ascii="宋体" w:hAnsi="宋体" w:eastAsia="宋体" w:cs="宋体"/>
          <w:b/>
          <w:sz w:val="20"/>
          <w:szCs w:val="22"/>
        </w:rPr>
        <w:t>全年预算数</w:t>
      </w:r>
      <w:r>
        <w:rPr>
          <w:rFonts w:hint="eastAsia" w:ascii="宋体" w:hAnsi="宋体" w:eastAsia="宋体" w:cs="宋体"/>
          <w:sz w:val="20"/>
          <w:szCs w:val="22"/>
        </w:rPr>
        <w:t>，反映按规定程序调整后的预算数；决算数是包括当年一般公共预算财政拨款和以前年度结转资金安排的实际支出。</w:t>
      </w:r>
      <w:r>
        <w:rPr>
          <w:rFonts w:hint="eastAsia" w:ascii="仿宋_GB2312" w:hAnsi="仿宋_GB2312" w:eastAsia="仿宋_GB2312" w:cs="仿宋_GB2312"/>
          <w:sz w:val="20"/>
          <w:szCs w:val="22"/>
        </w:rPr>
        <w:tab/>
      </w:r>
      <w:r>
        <w:rPr>
          <w:sz w:val="20"/>
          <w:szCs w:val="22"/>
        </w:rPr>
        <w:tab/>
      </w:r>
      <w:r>
        <w:tab/>
      </w:r>
      <w:r>
        <w:tab/>
      </w:r>
      <w:r>
        <w:tab/>
      </w:r>
      <w:r>
        <w:tab/>
      </w:r>
      <w:r>
        <w:tab/>
      </w:r>
      <w:r>
        <w:tab/>
      </w:r>
      <w:r>
        <w:tab/>
      </w:r>
      <w:r>
        <w:tab/>
      </w:r>
      <w:r>
        <w:tab/>
      </w:r>
      <w:r>
        <w:br w:type="page"/>
      </w:r>
    </w:p>
    <w:tbl>
      <w:tblPr>
        <w:tblStyle w:val="7"/>
        <w:tblW w:w="10326" w:type="dxa"/>
        <w:jc w:val="center"/>
        <w:tblLayout w:type="autofit"/>
        <w:tblCellMar>
          <w:top w:w="0" w:type="dxa"/>
          <w:left w:w="0" w:type="dxa"/>
          <w:bottom w:w="0" w:type="dxa"/>
          <w:right w:w="0" w:type="dxa"/>
        </w:tblCellMar>
      </w:tblPr>
      <w:tblGrid>
        <w:gridCol w:w="77"/>
        <w:gridCol w:w="77"/>
        <w:gridCol w:w="76"/>
        <w:gridCol w:w="1554"/>
        <w:gridCol w:w="1428"/>
        <w:gridCol w:w="1428"/>
        <w:gridCol w:w="1428"/>
        <w:gridCol w:w="1428"/>
        <w:gridCol w:w="1428"/>
        <w:gridCol w:w="1431"/>
      </w:tblGrid>
      <w:tr>
        <w:tblPrEx>
          <w:tblCellMar>
            <w:top w:w="0" w:type="dxa"/>
            <w:left w:w="0" w:type="dxa"/>
            <w:bottom w:w="0" w:type="dxa"/>
            <w:right w:w="0" w:type="dxa"/>
          </w:tblCellMar>
        </w:tblPrEx>
        <w:trPr>
          <w:trHeight w:val="780" w:hRule="atLeast"/>
          <w:jc w:val="center"/>
        </w:trPr>
        <w:tc>
          <w:tcPr>
            <w:tcW w:w="10326"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公开08表</w:t>
            </w:r>
          </w:p>
        </w:tc>
      </w:tr>
      <w:tr>
        <w:tblPrEx>
          <w:tblCellMar>
            <w:top w:w="0" w:type="dxa"/>
            <w:left w:w="0" w:type="dxa"/>
            <w:bottom w:w="0" w:type="dxa"/>
            <w:right w:w="0" w:type="dxa"/>
          </w:tblCellMar>
        </w:tblPrEx>
        <w:trPr>
          <w:trHeight w:val="255" w:hRule="atLeast"/>
          <w:jc w:val="center"/>
        </w:trPr>
        <w:tc>
          <w:tcPr>
            <w:tcW w:w="0" w:type="auto"/>
            <w:gridSpan w:val="5"/>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r>
              <w:rPr>
                <w:rFonts w:hint="eastAsia" w:ascii="宋体" w:hAnsi="宋体" w:eastAsia="宋体" w:cs="宋体"/>
                <w:color w:val="000000"/>
                <w:kern w:val="0"/>
                <w:sz w:val="18"/>
                <w:szCs w:val="18"/>
              </w:rPr>
              <w:t>部门：保定市满城区博物馆</w:t>
            </w:r>
          </w:p>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w:t>
            </w:r>
          </w:p>
        </w:tc>
        <w:tc>
          <w:tcPr>
            <w:tcW w:w="129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年初结转和结余</w:t>
            </w:r>
          </w:p>
        </w:tc>
        <w:tc>
          <w:tcPr>
            <w:tcW w:w="129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本年收入</w:t>
            </w:r>
          </w:p>
        </w:tc>
        <w:tc>
          <w:tcPr>
            <w:tcW w:w="3888"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本年支出</w:t>
            </w:r>
          </w:p>
        </w:tc>
        <w:tc>
          <w:tcPr>
            <w:tcW w:w="129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年末结转和结余</w:t>
            </w:r>
          </w:p>
        </w:tc>
      </w:tr>
      <w:tr>
        <w:tblPrEx>
          <w:tblCellMar>
            <w:top w:w="0" w:type="dxa"/>
            <w:left w:w="0" w:type="dxa"/>
            <w:bottom w:w="0" w:type="dxa"/>
            <w:right w:w="0" w:type="dxa"/>
          </w:tblCellMar>
        </w:tblPrEx>
        <w:trPr>
          <w:trHeight w:val="312" w:hRule="atLeast"/>
          <w:jc w:val="center"/>
        </w:trPr>
        <w:tc>
          <w:tcPr>
            <w:tcW w:w="29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科目名称</w:t>
            </w:r>
          </w:p>
        </w:tc>
        <w:tc>
          <w:tcPr>
            <w:tcW w:w="12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29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基本支出</w:t>
            </w:r>
          </w:p>
        </w:tc>
        <w:tc>
          <w:tcPr>
            <w:tcW w:w="129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项目支出</w:t>
            </w:r>
          </w:p>
        </w:tc>
        <w:tc>
          <w:tcPr>
            <w:tcW w:w="12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29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2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29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2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pPr>
        <w:jc w:val="left"/>
        <w:rPr>
          <w:rFonts w:ascii="宋体" w:hAnsi="宋体" w:cs="宋体"/>
          <w:sz w:val="22"/>
        </w:rPr>
      </w:pPr>
      <w:r>
        <w:rPr>
          <w:rFonts w:hint="eastAsia"/>
          <w:sz w:val="22"/>
        </w:rPr>
        <w:t>注：我单位无政府性基金决算，按要求空表列示</w:t>
      </w:r>
    </w:p>
    <w:p>
      <w:pPr>
        <w:rPr>
          <w:b/>
          <w:sz w:val="20"/>
          <w:szCs w:val="22"/>
          <w:highlight w:val="yellow"/>
        </w:rPr>
      </w:pPr>
      <w:r>
        <w:rPr>
          <w:rFonts w:hint="eastAsia" w:ascii="宋体" w:hAnsi="宋体" w:eastAsia="宋体" w:cs="宋体"/>
          <w:sz w:val="20"/>
          <w:szCs w:val="22"/>
        </w:rPr>
        <w:t>注：本表反映部门本年度政府性基金预算财政拨款收入、支出及结转结余情况。</w:t>
      </w:r>
    </w:p>
    <w:tbl>
      <w:tblPr>
        <w:tblStyle w:val="7"/>
        <w:tblW w:w="9064" w:type="dxa"/>
        <w:tblInd w:w="0" w:type="dxa"/>
        <w:tblLayout w:type="autofit"/>
        <w:tblCellMar>
          <w:top w:w="0" w:type="dxa"/>
          <w:left w:w="0" w:type="dxa"/>
          <w:bottom w:w="0" w:type="dxa"/>
          <w:right w:w="0" w:type="dxa"/>
        </w:tblCellMar>
      </w:tblPr>
      <w:tblGrid>
        <w:gridCol w:w="66"/>
        <w:gridCol w:w="1225"/>
        <w:gridCol w:w="263"/>
        <w:gridCol w:w="2950"/>
        <w:gridCol w:w="1193"/>
        <w:gridCol w:w="241"/>
        <w:gridCol w:w="1988"/>
        <w:gridCol w:w="2362"/>
      </w:tblGrid>
      <w:tr>
        <w:tblPrEx>
          <w:tblCellMar>
            <w:top w:w="0" w:type="dxa"/>
            <w:left w:w="0" w:type="dxa"/>
            <w:bottom w:w="0" w:type="dxa"/>
            <w:right w:w="0" w:type="dxa"/>
          </w:tblCellMar>
        </w:tblPrEx>
        <w:trPr>
          <w:trHeight w:val="824" w:hRule="atLeast"/>
        </w:trPr>
        <w:tc>
          <w:tcPr>
            <w:tcW w:w="8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国有资本经营预算财政拨款支出决算表</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3"/>
            <w:vMerge w:val="restart"/>
            <w:tcBorders>
              <w:top w:val="nil"/>
              <w:left w:val="nil"/>
              <w:right w:val="nil"/>
            </w:tcBorders>
            <w:shd w:val="clear" w:color="auto" w:fill="auto"/>
            <w:noWrap/>
            <w:tcMar>
              <w:top w:w="15" w:type="dxa"/>
              <w:left w:w="15" w:type="dxa"/>
              <w:right w:w="15" w:type="dxa"/>
            </w:tcMar>
            <w:vAlign w:val="bottom"/>
          </w:tcPr>
          <w:p>
            <w:pPr>
              <w:widowControl/>
              <w:ind w:firstLine="1800" w:firstLineChars="900"/>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公开09表</w:t>
            </w:r>
          </w:p>
          <w:p>
            <w:pPr>
              <w:ind w:right="400" w:firstLine="1300" w:firstLineChars="650"/>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50" w:hRule="atLeast"/>
        </w:trPr>
        <w:tc>
          <w:tcPr>
            <w:tcW w:w="5386" w:type="dxa"/>
            <w:gridSpan w:val="5"/>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部门：保定市满城区博物馆</w:t>
            </w:r>
          </w:p>
          <w:p>
            <w:pPr>
              <w:rPr>
                <w:rFonts w:ascii="Arial" w:hAnsi="Arial" w:cs="Arial"/>
                <w:color w:val="000000"/>
                <w:sz w:val="20"/>
                <w:szCs w:val="20"/>
              </w:rPr>
            </w:pPr>
          </w:p>
        </w:tc>
        <w:tc>
          <w:tcPr>
            <w:tcW w:w="3678" w:type="dxa"/>
            <w:gridSpan w:val="3"/>
            <w:vMerge w:val="continue"/>
            <w:tcBorders>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p>
        </w:tc>
      </w:tr>
      <w:tr>
        <w:tblPrEx>
          <w:tblCellMar>
            <w:top w:w="0" w:type="dxa"/>
            <w:left w:w="0" w:type="dxa"/>
            <w:bottom w:w="0" w:type="dxa"/>
            <w:right w:w="0" w:type="dxa"/>
          </w:tblCellMar>
        </w:tblPrEx>
        <w:trPr>
          <w:trHeight w:val="302" w:hRule="atLeast"/>
        </w:trPr>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w:t>
            </w:r>
          </w:p>
        </w:tc>
        <w:tc>
          <w:tcPr>
            <w:tcW w:w="4272"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本年支出</w:t>
            </w:r>
          </w:p>
        </w:tc>
      </w:tr>
      <w:tr>
        <w:tblPrEx>
          <w:tblCellMar>
            <w:top w:w="0" w:type="dxa"/>
            <w:left w:w="0" w:type="dxa"/>
            <w:bottom w:w="0" w:type="dxa"/>
            <w:right w:w="0" w:type="dxa"/>
          </w:tblCellMar>
        </w:tblPrEx>
        <w:trPr>
          <w:trHeight w:val="604" w:hRule="atLeast"/>
        </w:trPr>
        <w:tc>
          <w:tcPr>
            <w:tcW w:w="129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功能分类科目编码</w:t>
            </w:r>
          </w:p>
        </w:tc>
        <w:tc>
          <w:tcPr>
            <w:tcW w:w="2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科目名称</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基本支出</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项目支出</w:t>
            </w:r>
          </w:p>
        </w:tc>
      </w:tr>
      <w:tr>
        <w:tblPrEx>
          <w:tblCellMar>
            <w:top w:w="0" w:type="dxa"/>
            <w:left w:w="0" w:type="dxa"/>
            <w:bottom w:w="0" w:type="dxa"/>
            <w:right w:w="0" w:type="dxa"/>
          </w:tblCellMar>
        </w:tblPrEx>
        <w:trPr>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CellMar>
            <w:top w:w="0" w:type="dxa"/>
            <w:left w:w="0" w:type="dxa"/>
            <w:bottom w:w="0" w:type="dxa"/>
            <w:right w:w="0" w:type="dxa"/>
          </w:tblCellMar>
        </w:tblPrEx>
        <w:trPr>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jc w:val="left"/>
        <w:rPr>
          <w:rFonts w:ascii="宋体" w:hAnsi="宋体" w:cs="宋体"/>
          <w:sz w:val="22"/>
        </w:rPr>
      </w:pPr>
      <w:r>
        <w:rPr>
          <w:rFonts w:hint="eastAsia"/>
          <w:sz w:val="22"/>
        </w:rPr>
        <w:t>注：我单位无国有资本经营决算，按要求空表列示</w:t>
      </w:r>
    </w:p>
    <w:p>
      <w:pPr>
        <w:rPr>
          <w:rFonts w:ascii="黑体" w:hAnsi="黑体" w:eastAsia="黑体" w:cs="黑体"/>
          <w:sz w:val="56"/>
          <w:szCs w:val="72"/>
        </w:rPr>
      </w:pPr>
      <w:r>
        <w:rPr>
          <w:rFonts w:hint="eastAsia" w:ascii="宋体" w:hAnsi="宋体" w:eastAsia="宋体" w:cs="宋体"/>
        </w:rPr>
        <w:t>注：本表反映部门本年度国有资本经营预算财政拨款收入、支出及结转结余情况。</w:t>
      </w: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tabs>
          <w:tab w:val="left" w:pos="235"/>
        </w:tabs>
        <w:spacing w:line="600" w:lineRule="exact"/>
        <w:ind w:firstLine="640" w:firstLineChars="200"/>
        <w:jc w:val="left"/>
        <w:rPr>
          <w:rFonts w:ascii="仿宋_GB2312" w:hAnsi="Cambria" w:eastAsia="仿宋_GB2312" w:cs="Arial Black"/>
          <w:kern w:val="0"/>
          <w:sz w:val="32"/>
          <w:szCs w:val="32"/>
        </w:rPr>
        <w:sectPr>
          <w:pgSz w:w="11906" w:h="16838"/>
          <w:pgMar w:top="1984" w:right="1531" w:bottom="2098" w:left="1531" w:header="851" w:footer="992" w:gutter="0"/>
          <w:cols w:space="425" w:num="1"/>
          <w:docGrid w:type="lines" w:linePitch="312" w:charSpace="0"/>
        </w:sectPr>
      </w:pPr>
    </w:p>
    <w:p>
      <w:pPr>
        <w:tabs>
          <w:tab w:val="left" w:pos="235"/>
        </w:tabs>
        <w:spacing w:line="600" w:lineRule="exact"/>
        <w:ind w:firstLine="640" w:firstLineChars="200"/>
        <w:jc w:val="left"/>
        <w:rPr>
          <w:rFonts w:ascii="仿宋_GB2312" w:hAnsi="Cambria" w:eastAsia="仿宋_GB2312" w:cs="Arial Black"/>
          <w:kern w:val="0"/>
          <w:sz w:val="32"/>
          <w:szCs w:val="32"/>
        </w:rPr>
      </w:pPr>
      <w:r>
        <w:rPr>
          <w:sz w:val="32"/>
        </w:rPr>
        <w:pict>
          <v:rect id="_x0000_s1027" o:spid="_x0000_s1027" o:spt="1" style="position:absolute;left:0pt;margin-left:-78.2pt;margin-top:-106.6pt;height:842.2pt;width:601pt;z-index:251663360;v-text-anchor:middle;mso-width-relative:page;mso-height-relative:page;" fillcolor="#BDD7EE" filled="t" stroked="f" coordsize="21600,21600" o:gfxdata="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AaR&#10;7+fcAAAADwEAAA8AAAAAAAAAAQAgAAAAIgAAAGRycy9kb3ducmV2LnhtbFBLAQIUABQAAAAIAIdO&#10;4kBIxKP9kQIAABEFAAAOAAAAAAAAAAEAIAAAACsBAABkcnMvZTJvRG9jLnhtbFBLBQYAAAAABgAG&#10;AFkBAAAuBgAAAAA=&#10;">
            <v:path/>
            <v:fill on="t" focussize="0,0"/>
            <v:stroke on="f" weight="1pt"/>
            <v:imagedata o:title=""/>
            <o:lock v:ext="edit"/>
          </v:rect>
        </w:pic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Mongolian Baiti">
    <w:panose1 w:val="03000500000000000000"/>
    <w:charset w:val="00"/>
    <w:family w:val="script"/>
    <w:pitch w:val="default"/>
    <w:sig w:usb0="80000023" w:usb1="00000000" w:usb2="00020000" w:usb3="00000000" w:csb0="00000001" w:csb1="00000000"/>
  </w:font>
  <w:font w:name="仿宋">
    <w:panose1 w:val="02010609060101010101"/>
    <w:charset w:val="86"/>
    <w:family w:val="modern"/>
    <w:pitch w:val="default"/>
    <w:sig w:usb0="800002BF" w:usb1="38CF7CFA" w:usb2="00000016" w:usb3="00000000" w:csb0="00040001" w:csb1="00000000"/>
  </w:font>
  <w:font w:name="DengXian-Bold">
    <w:altName w:val="宋体"/>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gwMTQ2ODg1MTZkMzVlYWY5ZTQyMTEyMDU1NzJlMTIifQ=="/>
  </w:docVars>
  <w:rsids>
    <w:rsidRoot w:val="34C45458"/>
    <w:rsid w:val="00045E62"/>
    <w:rsid w:val="00061A05"/>
    <w:rsid w:val="0009773B"/>
    <w:rsid w:val="000A6448"/>
    <w:rsid w:val="000C2D8B"/>
    <w:rsid w:val="00155E09"/>
    <w:rsid w:val="0016587C"/>
    <w:rsid w:val="0018668E"/>
    <w:rsid w:val="00190595"/>
    <w:rsid w:val="001B73D2"/>
    <w:rsid w:val="001E62BF"/>
    <w:rsid w:val="00222B12"/>
    <w:rsid w:val="00227CD3"/>
    <w:rsid w:val="00245FC8"/>
    <w:rsid w:val="002741A3"/>
    <w:rsid w:val="00293E7B"/>
    <w:rsid w:val="002B7E7F"/>
    <w:rsid w:val="002D1F4F"/>
    <w:rsid w:val="00334E3D"/>
    <w:rsid w:val="00366D90"/>
    <w:rsid w:val="003C2FEB"/>
    <w:rsid w:val="003D5ACE"/>
    <w:rsid w:val="003D678E"/>
    <w:rsid w:val="004F4A98"/>
    <w:rsid w:val="00530045"/>
    <w:rsid w:val="005D52BA"/>
    <w:rsid w:val="005F3459"/>
    <w:rsid w:val="00616DCC"/>
    <w:rsid w:val="00651804"/>
    <w:rsid w:val="006605EF"/>
    <w:rsid w:val="006755B6"/>
    <w:rsid w:val="00675850"/>
    <w:rsid w:val="006E45F6"/>
    <w:rsid w:val="006F21AB"/>
    <w:rsid w:val="00706997"/>
    <w:rsid w:val="00737D75"/>
    <w:rsid w:val="007A671F"/>
    <w:rsid w:val="00801F66"/>
    <w:rsid w:val="00815581"/>
    <w:rsid w:val="00833172"/>
    <w:rsid w:val="00847524"/>
    <w:rsid w:val="00855691"/>
    <w:rsid w:val="0086510A"/>
    <w:rsid w:val="008868DD"/>
    <w:rsid w:val="008A6805"/>
    <w:rsid w:val="008B5DBB"/>
    <w:rsid w:val="008E2643"/>
    <w:rsid w:val="008E5910"/>
    <w:rsid w:val="008F6807"/>
    <w:rsid w:val="009273C1"/>
    <w:rsid w:val="009334BF"/>
    <w:rsid w:val="009813D3"/>
    <w:rsid w:val="009A611F"/>
    <w:rsid w:val="009E6BD6"/>
    <w:rsid w:val="00A36A22"/>
    <w:rsid w:val="00A43454"/>
    <w:rsid w:val="00A96243"/>
    <w:rsid w:val="00AD4010"/>
    <w:rsid w:val="00B30DFC"/>
    <w:rsid w:val="00B539E7"/>
    <w:rsid w:val="00B945D6"/>
    <w:rsid w:val="00BA5E37"/>
    <w:rsid w:val="00BB3178"/>
    <w:rsid w:val="00BE09D9"/>
    <w:rsid w:val="00C1046A"/>
    <w:rsid w:val="00C529D7"/>
    <w:rsid w:val="00CE4F77"/>
    <w:rsid w:val="00D21E54"/>
    <w:rsid w:val="00D571E8"/>
    <w:rsid w:val="00D766F1"/>
    <w:rsid w:val="00DC425A"/>
    <w:rsid w:val="00E27B32"/>
    <w:rsid w:val="00EA59CD"/>
    <w:rsid w:val="00F30BBA"/>
    <w:rsid w:val="00FB5D9E"/>
    <w:rsid w:val="058B71E0"/>
    <w:rsid w:val="0EA325C9"/>
    <w:rsid w:val="2FB96948"/>
    <w:rsid w:val="33230C2B"/>
    <w:rsid w:val="3327616A"/>
    <w:rsid w:val="34C45458"/>
    <w:rsid w:val="35C83C42"/>
    <w:rsid w:val="4D124E2E"/>
    <w:rsid w:val="5D0C63C4"/>
    <w:rsid w:val="73D82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1"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table" w:styleId="8">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批注框文本 Char"/>
    <w:basedOn w:val="9"/>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GIF"/><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Info spid="_x0000_s1040"/>
    <customShpInfo spid="_x0000_s1039"/>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1713</Words>
  <Characters>9766</Characters>
  <Lines>81</Lines>
  <Paragraphs>22</Paragraphs>
  <TotalTime>546</TotalTime>
  <ScaleCrop>false</ScaleCrop>
  <LinksUpToDate>false</LinksUpToDate>
  <CharactersWithSpaces>11457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2021-07-27T05:10:00Z</dcterms:created>
  <dc:creator>王明新TIAD</dc:creator>
  <cp:lastModifiedBy>lenovo</cp:lastModifiedBy>
  <dcterms:modified xsi:type="dcterms:W3CDTF">2023-11-17T03:22:45Z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65FA352BAB5146309CB066C800874C19</vt:lpwstr>
  </property>
</Properties>
</file>