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pict>
          <v:shape id="图片 7" o:spid="_x0000_s1026" o:spt="75" alt="wc ga" type="#_x0000_t75" style="position:absolute;left:0pt;margin-left:-80.25pt;margin-top:-83.45pt;height:850.15pt;width:596.6pt;z-index:-251657216;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hint="default" w:ascii="黑体" w:hAnsi="宋体" w:eastAsia="黑体"/>
                      <w:color w:val="FDEFBE"/>
                      <w:sz w:val="96"/>
                      <w:szCs w:val="96"/>
                      <w:lang w:val="en-US" w:eastAsia="zh-CN"/>
                    </w:rPr>
                  </w:pPr>
                  <w:r>
                    <w:rPr>
                      <w:rFonts w:hint="eastAsia" w:ascii="黑体" w:hAnsi="宋体" w:eastAsia="黑体"/>
                      <w:color w:val="FDEFBE"/>
                      <w:sz w:val="96"/>
                      <w:szCs w:val="96"/>
                      <w:lang w:val="en-US" w:eastAsia="zh-CN"/>
                    </w:rPr>
                    <w:t>于家庄乡</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spacing w:after="0" w:line="600" w:lineRule="exact"/>
        <w:ind w:firstLine="883" w:firstLineChars="200"/>
        <w:jc w:val="center"/>
        <w:rPr>
          <w:rFonts w:hint="eastAsia" w:ascii="楷体" w:hAnsi="楷体" w:eastAsia="楷体" w:cs="楷体"/>
          <w:b/>
          <w:sz w:val="44"/>
          <w:szCs w:val="44"/>
        </w:rPr>
      </w:pPr>
    </w:p>
    <w:p>
      <w:pPr>
        <w:widowControl/>
        <w:spacing w:after="0" w:line="600" w:lineRule="exact"/>
        <w:ind w:firstLine="883" w:firstLineChars="200"/>
        <w:jc w:val="center"/>
        <w:rPr>
          <w:rFonts w:hint="eastAsia" w:ascii="楷体" w:hAnsi="楷体" w:eastAsia="楷体" w:cs="楷体"/>
          <w:b/>
          <w:sz w:val="44"/>
          <w:szCs w:val="44"/>
        </w:rPr>
      </w:pPr>
      <w:r>
        <w:rPr>
          <w:rFonts w:hint="eastAsia" w:ascii="楷体" w:hAnsi="楷体" w:eastAsia="楷体" w:cs="楷体"/>
          <w:b/>
          <w:sz w:val="44"/>
          <w:szCs w:val="44"/>
        </w:rPr>
        <w:t>2019年11月</w:t>
      </w:r>
    </w:p>
    <w:p>
      <w:pPr>
        <w:widowControl/>
        <w:spacing w:after="0" w:line="600" w:lineRule="exact"/>
        <w:ind w:firstLine="880" w:firstLineChars="200"/>
        <w:jc w:val="left"/>
        <w:rPr>
          <w:rFonts w:ascii="楷体" w:hAnsi="楷体" w:eastAsia="楷体" w:cs="楷体"/>
          <w:sz w:val="32"/>
          <w:szCs w:val="32"/>
          <w:highlight w:val="yellow"/>
        </w:rPr>
      </w:pPr>
      <w:r>
        <w:rPr>
          <w:rFonts w:ascii="黑体" w:hAnsi="黑体" w:eastAsia="黑体" w:cs="黑体"/>
          <w:sz w:val="44"/>
          <w:szCs w:val="44"/>
        </w:rPr>
        <w:br w:type="page"/>
      </w: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部门</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7" o:title=""/>
            <o:lock v:ext="edit" aspectratio="t"/>
          </v:shape>
        </w:pict>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ind w:firstLine="640" w:firstLineChars="200"/>
        <w:rPr>
          <w:rFonts w:hint="eastAsia" w:ascii="楷体" w:hAnsi="楷体" w:eastAsia="楷体" w:cs="楷体"/>
          <w:b/>
          <w:sz w:val="32"/>
          <w:szCs w:val="32"/>
        </w:rPr>
      </w:pPr>
      <w:r>
        <w:rPr>
          <w:rFonts w:hint="eastAsia" w:ascii="楷体" w:hAnsi="楷体" w:eastAsia="楷体" w:cs="楷体"/>
          <w:kern w:val="0"/>
          <w:sz w:val="32"/>
          <w:szCs w:val="32"/>
        </w:rPr>
        <w:t>满城区于家庄乡由行政编制和事业编制组成，满城区于家庄乡主要职责是：</w:t>
      </w:r>
    </w:p>
    <w:p>
      <w:pPr>
        <w:widowControl/>
        <w:snapToGrid w:val="0"/>
        <w:spacing w:line="640" w:lineRule="exact"/>
        <w:ind w:firstLine="640" w:firstLineChars="200"/>
        <w:rPr>
          <w:rFonts w:hint="eastAsia" w:ascii="楷体" w:hAnsi="楷体" w:eastAsia="楷体" w:cs="楷体"/>
          <w:sz w:val="32"/>
          <w:szCs w:val="32"/>
        </w:rPr>
      </w:pPr>
      <w:r>
        <w:rPr>
          <w:rFonts w:hint="eastAsia" w:ascii="楷体" w:hAnsi="楷体" w:eastAsia="楷体" w:cs="楷体"/>
          <w:sz w:val="32"/>
          <w:szCs w:val="32"/>
        </w:rPr>
        <w:t>1、</w:t>
      </w:r>
      <w:r>
        <w:rPr>
          <w:rFonts w:hint="eastAsia" w:ascii="楷体" w:hAnsi="楷体" w:eastAsia="楷体" w:cs="楷体"/>
          <w:color w:val="000000"/>
          <w:kern w:val="0"/>
          <w:sz w:val="32"/>
          <w:szCs w:val="32"/>
        </w:rPr>
        <w:t>执行本级人民代表大会的决议和上级国家行政机关的决定和命令，发布决定和命令;</w:t>
      </w:r>
      <w:r>
        <w:rPr>
          <w:rFonts w:hint="eastAsia" w:ascii="楷体" w:hAnsi="楷体" w:eastAsia="楷体" w:cs="楷体"/>
          <w:sz w:val="32"/>
          <w:szCs w:val="32"/>
        </w:rPr>
        <w:t>对本乡政府组成人员和乡人民法院主要负责人进行目标责任监督，确保依法履行职责，完成目标任务。承担本乡人大换届选举、乡区领导人的选举和常委会人事任免的服务工作；负责对本乡政府组成人员和乡人民法院主要负责人的目标责任书、述职报告的督办工作。</w:t>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2、完成党委、人大、纪检、组织、宣传、统计、妇联等工作，协调各办公室的工作关系，完成政府日常事务和机关后勤工作，完成党委政府交办的其他事项。</w:t>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3、排查、化解影响社会稳定的重大不稳定隐患、群体性事件和突发事件及影响国家安全的事件。认真做好群众来信来访工作，特别是涉及政法各部门的案件，信件，要及时准确的做好解释疏导工作，并转办（交办)政法各部限期办理或督导检查落实情况，维护群众利益诉求。完善矛盾纠纷排查机制，对乡镇内矛盾纠纷随时排查及时化解，做到小事不出村，大事不出乡镇，把矛盾化解在基层、化解在萌芽状态。组织开展好全国两会及其他重要时期公路护路联防工作，维护好公路的安全运行，保障公路运输及过往人员安全.</w:t>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4、负责编制乡财政预算、决算预算，财政工作加强财务会计管理工作，依法按照财经制度管理会计事务。维护财经制度，办理好各项财经事项。</w:t>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5、负责本行政区域内的公用设施建设、安全和应急管理；落实村庄和小城镇建设政策；指导农村住房建设、住房安全和危房改造；改善小城镇和村庄人居环境。</w:t>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6、管理乡镇机关网络建设、运转维护和电子政务；机关标准化建设、保密、档案以及政务接待、公务。办公楼修缮、供水、供电、供暖以及机关环境绿化美化、卫生保洁、安全保卫。离退休干部慰问。党组织活动。处理人民群众来信、来访。</w:t>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7、组织、引导、支持，农民自愿参加新型农村合作医疗，提高农村居民的医疗保障水平；建立大病保险制度；对城乡居民因患大病发生的高额医疗费用给予报销。</w:t>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8、提供各类计划生育技术服务，建立利益导向机制，开展出生人口性别比治理以及流动人口计划生育管理等各项工作。</w:t>
      </w:r>
      <w:r>
        <w:rPr>
          <w:rFonts w:hint="eastAsia" w:ascii="楷体" w:hAnsi="楷体" w:eastAsia="楷体" w:cs="楷体"/>
          <w:kern w:val="0"/>
          <w:sz w:val="32"/>
          <w:szCs w:val="32"/>
        </w:rPr>
        <w:tab/>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9、协助完成国家下达的广播直播卫星户户通工程、农村电影工作、数字影院升级改造、农家书屋建设、全民阅读活动、老放映员生活补助以及应急广播体系建设等任务目标。</w:t>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10、承担全乡安全生产综合监督管理责任，依法行使综合监督管理职权；根据《安全生产法》、《安全生产违法行为行政处罚办法》等法律法规，依法开展执法检查工作，对发现的安全生产违法行为依法进行行政处罚，遏制重特大事故发生，确保全乡安全生产形势稳定好转。</w:t>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11、推进新农村建设</w:t>
      </w:r>
    </w:p>
    <w:p>
      <w:pPr>
        <w:ind w:firstLine="640" w:firstLineChars="200"/>
        <w:rPr>
          <w:rFonts w:hint="eastAsia" w:ascii="楷体" w:hAnsi="楷体" w:eastAsia="楷体" w:cs="楷体"/>
          <w:kern w:val="0"/>
          <w:sz w:val="32"/>
          <w:szCs w:val="32"/>
        </w:rPr>
      </w:pPr>
      <w:r>
        <w:rPr>
          <w:rFonts w:hint="eastAsia" w:ascii="楷体" w:hAnsi="楷体" w:eastAsia="楷体" w:cs="楷体"/>
          <w:kern w:val="0"/>
          <w:sz w:val="32"/>
          <w:szCs w:val="32"/>
        </w:rPr>
        <w:t>通过实施农村面貌改造提升行动和开展新民居中心村示范点建设，加快建设社会主义新农村。改善农村环境面貌，提升农民生产生活条件。</w:t>
      </w:r>
    </w:p>
    <w:p>
      <w:pPr>
        <w:pStyle w:val="32"/>
        <w:numPr>
          <w:ilvl w:val="0"/>
          <w:numId w:val="1"/>
        </w:numPr>
        <w:spacing w:line="520" w:lineRule="exact"/>
        <w:ind w:firstLine="736" w:firstLineChars="230"/>
        <w:rPr>
          <w:rFonts w:hint="eastAsia" w:ascii="楷体" w:hAnsi="楷体" w:eastAsia="楷体" w:cs="楷体"/>
          <w:b/>
          <w:bCs/>
          <w:sz w:val="32"/>
          <w:szCs w:val="32"/>
        </w:rPr>
      </w:pPr>
      <w:r>
        <w:rPr>
          <w:rFonts w:hint="eastAsia" w:ascii="楷体" w:hAnsi="楷体" w:eastAsia="楷体" w:cs="楷体"/>
          <w:sz w:val="32"/>
          <w:szCs w:val="32"/>
        </w:rPr>
        <w:t>民政事务管理，做好对五保户、低保户、贫困户、大病医疗救助、防灾、减灾、救灾工作。做好对五保户、低保户贫困户、大病医疗救助、防灾、减灾、救灾款项的及时发放。</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hint="eastAsia" w:ascii="仿宋_GB2312" w:hAnsi="Cambria" w:eastAsia="仿宋_GB2312" w:cs="ArialUnicodeMS"/>
          <w:kern w:val="0"/>
          <w:sz w:val="32"/>
          <w:szCs w:val="32"/>
          <w:lang w:val="en-US" w:eastAsia="zh-CN"/>
        </w:rPr>
        <w:t>1</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4878"/>
        <w:gridCol w:w="1515"/>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4878"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151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202"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4878" w:type="dxa"/>
          </w:tcPr>
          <w:p>
            <w:pPr>
              <w:spacing w:after="0" w:line="560" w:lineRule="exact"/>
              <w:rPr>
                <w:rFonts w:ascii="仿宋_GB2312" w:hAnsi="Cambria" w:eastAsia="仿宋_GB2312" w:cs="ArialUnicodeMS"/>
                <w:kern w:val="0"/>
                <w:sz w:val="28"/>
                <w:szCs w:val="28"/>
              </w:rPr>
            </w:pPr>
            <w:r>
              <w:rPr>
                <w:rFonts w:hint="eastAsia" w:ascii="楷体" w:hAnsi="楷体" w:eastAsia="楷体" w:cs="楷体"/>
                <w:sz w:val="32"/>
                <w:szCs w:val="32"/>
              </w:rPr>
              <w:t>保定市满城区于家庄乡人民政府</w:t>
            </w:r>
          </w:p>
        </w:tc>
        <w:tc>
          <w:tcPr>
            <w:tcW w:w="1515" w:type="dxa"/>
          </w:tcPr>
          <w:p>
            <w:pPr>
              <w:spacing w:after="0" w:line="560" w:lineRule="exact"/>
              <w:rPr>
                <w:rFonts w:hint="eastAsia" w:ascii="楷体" w:hAnsi="楷体" w:eastAsia="楷体" w:cs="楷体"/>
                <w:sz w:val="32"/>
                <w:szCs w:val="32"/>
              </w:rPr>
            </w:pPr>
            <w:r>
              <w:rPr>
                <w:rFonts w:hint="eastAsia" w:ascii="楷体" w:hAnsi="楷体" w:eastAsia="楷体" w:cs="楷体"/>
                <w:sz w:val="32"/>
                <w:szCs w:val="32"/>
              </w:rPr>
              <w:t>行政单位</w:t>
            </w:r>
          </w:p>
        </w:tc>
        <w:tc>
          <w:tcPr>
            <w:tcW w:w="2202" w:type="dxa"/>
          </w:tcPr>
          <w:p>
            <w:pPr>
              <w:spacing w:after="0" w:line="560" w:lineRule="exact"/>
              <w:rPr>
                <w:rFonts w:hint="eastAsia" w:ascii="楷体" w:hAnsi="楷体" w:eastAsia="楷体" w:cs="楷体"/>
                <w:sz w:val="32"/>
                <w:szCs w:val="32"/>
              </w:rPr>
            </w:pPr>
            <w:r>
              <w:rPr>
                <w:rFonts w:hint="eastAsia" w:ascii="楷体" w:hAnsi="楷体" w:eastAsia="楷体" w:cs="楷体"/>
                <w:sz w:val="32"/>
                <w:szCs w:val="32"/>
              </w:rPr>
              <w:t>财政拨款</w:t>
            </w:r>
          </w:p>
        </w:tc>
      </w:tr>
    </w:tbl>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534"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7030.81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r>
              <w:rPr>
                <w:rFonts w:hint="default" w:ascii="Arial" w:hAnsi="Arial" w:eastAsia="宋体" w:cs="Arial"/>
                <w:i w:val="0"/>
                <w:iCs w:val="0"/>
                <w:color w:val="000000"/>
                <w:kern w:val="0"/>
                <w:sz w:val="20"/>
                <w:szCs w:val="20"/>
                <w:u w:val="none"/>
                <w:lang w:val="en-US" w:eastAsia="zh-CN" w:bidi="ar"/>
              </w:rPr>
              <w:t>631.48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r>
              <w:rPr>
                <w:rFonts w:hint="default" w:ascii="Arial" w:hAnsi="Arial" w:eastAsia="宋体" w:cs="Arial"/>
                <w:i w:val="0"/>
                <w:iCs w:val="0"/>
                <w:color w:val="000000"/>
                <w:kern w:val="0"/>
                <w:sz w:val="20"/>
                <w:szCs w:val="20"/>
                <w:u w:val="none"/>
                <w:lang w:val="en-US" w:eastAsia="zh-CN" w:bidi="ar"/>
              </w:rPr>
              <w:t>13.83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r>
              <w:rPr>
                <w:rFonts w:hint="default" w:ascii="Arial" w:hAnsi="Arial" w:eastAsia="宋体" w:cs="Arial"/>
                <w:i w:val="0"/>
                <w:iCs w:val="0"/>
                <w:color w:val="000000"/>
                <w:kern w:val="0"/>
                <w:sz w:val="20"/>
                <w:szCs w:val="20"/>
                <w:u w:val="none"/>
                <w:lang w:val="en-US" w:eastAsia="zh-CN" w:bidi="ar"/>
              </w:rPr>
              <w:t>126.68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r>
              <w:rPr>
                <w:rFonts w:hint="default" w:ascii="Arial" w:hAnsi="Arial" w:eastAsia="宋体" w:cs="Arial"/>
                <w:i w:val="0"/>
                <w:iCs w:val="0"/>
                <w:color w:val="000000"/>
                <w:kern w:val="0"/>
                <w:sz w:val="20"/>
                <w:szCs w:val="20"/>
                <w:u w:val="none"/>
                <w:lang w:val="en-US" w:eastAsia="zh-CN" w:bidi="ar"/>
              </w:rPr>
              <w:t>6070.25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r>
              <w:rPr>
                <w:rFonts w:hint="default" w:ascii="Arial" w:hAnsi="Arial" w:eastAsia="宋体" w:cs="Arial"/>
                <w:i w:val="0"/>
                <w:iCs w:val="0"/>
                <w:color w:val="000000"/>
                <w:kern w:val="0"/>
                <w:sz w:val="20"/>
                <w:szCs w:val="20"/>
                <w:u w:val="none"/>
                <w:lang w:val="en-US" w:eastAsia="zh-CN" w:bidi="ar"/>
              </w:rPr>
              <w:t>156.02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r>
              <w:rPr>
                <w:rFonts w:hint="default" w:ascii="Arial" w:hAnsi="Arial" w:eastAsia="宋体" w:cs="Arial"/>
                <w:i w:val="0"/>
                <w:iCs w:val="0"/>
                <w:color w:val="000000"/>
                <w:kern w:val="0"/>
                <w:sz w:val="20"/>
                <w:szCs w:val="20"/>
                <w:u w:val="none"/>
                <w:lang w:val="en-US" w:eastAsia="zh-CN" w:bidi="ar"/>
              </w:rPr>
              <w:t>32.55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r>
              <w:rPr>
                <w:rFonts w:hint="default" w:ascii="Arial" w:hAnsi="Arial" w:eastAsia="宋体" w:cs="Arial"/>
                <w:i w:val="0"/>
                <w:iCs w:val="0"/>
                <w:color w:val="000000"/>
                <w:kern w:val="0"/>
                <w:sz w:val="20"/>
                <w:szCs w:val="20"/>
                <w:u w:val="none"/>
                <w:lang w:val="en-US" w:eastAsia="zh-CN" w:bidi="ar"/>
              </w:rPr>
              <w:t>7030.81</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7030.81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7030.81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7030.81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7030.81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297.16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297.16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39.26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39.26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2010350</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8.62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8.62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286.45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286.45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行政事业单位离退休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归口管理的行政单位离退休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6.59</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6.59</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节能环保支出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7.24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7.24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污染防治</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126.68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126.68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大气</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自然生态保护</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城乡社区支出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国有土地使用权出让收入及对应专项债务收入安排的支出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6070.25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6070.25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6070.25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6070.25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城市建设支出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5992.25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5992.25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农村基础设施建设支出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18.00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18.00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林业</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156.02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156.02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2130205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森林培育</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110.86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110.86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住房保障支出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78.46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78.46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住房改革支出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7030.81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928.16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6102.65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297.16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297.16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39.26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39.26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2010350</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8.62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8.62</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286.45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286.45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行政事业单位离退休</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归口管理的行政单位离退休</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6.59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6.59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节能环保支出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7.24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7.24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污染防治</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126.68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126.68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大气</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自然生态保护</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城乡社区支出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国有土地使用权出让收入及对应专项债务收入安排的支出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6070.25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6070.25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6070.25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6070.25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2120803</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城市建设支出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5992.25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5992.25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2120804</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农村基础设施建设支出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60.00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18.00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18.00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林业</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156.02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123.62</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2130205</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森林培育</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110.86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78.46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2130705</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住房保障支出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78.46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78.46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住房改革支出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960.56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631.48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eastAsia="宋体" w:cs="宋体"/>
                <w:color w:val="00000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6070.25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13.83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13.83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126.68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126.68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070.25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6070.25</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156.02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156.02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32.55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32.55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7030.81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7030.81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960.56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6070.25</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7030.81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7030.81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960.56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6070.25</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960.56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928.16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631.48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297.16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297.16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39.26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39.26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8.62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8.62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2010350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286.45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286.45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行政事业单位离退休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13.83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归口管理的行政单位离退休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6.59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6.59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7.24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7.24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节能环保支出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126.68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126.68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污染防治</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大气</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5.00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自然生态保护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121.68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156.02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123.62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林业</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2130205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森林培育</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45.16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110.86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78.46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78.46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78.46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住房保障支出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住房改革支出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r>
              <w:rPr>
                <w:rFonts w:hint="eastAsia" w:ascii="宋体" w:hAnsi="宋体" w:eastAsia="宋体" w:cs="宋体"/>
                <w:b w:val="0"/>
                <w:bCs w:val="0"/>
                <w:i w:val="0"/>
                <w:iCs w:val="0"/>
                <w:color w:val="000000"/>
                <w:kern w:val="0"/>
                <w:sz w:val="22"/>
                <w:szCs w:val="22"/>
                <w:u w:val="none"/>
                <w:lang w:val="en-US" w:eastAsia="zh-CN" w:bidi="ar"/>
              </w:rPr>
              <w:t>32.55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974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546.35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272.56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187.24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24.29</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169.61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5.00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52.04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0.16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24.46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53.53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9.65</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5.60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11.52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18.45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9.00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2.87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8.82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32.55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35.39</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80.21</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109.25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13.83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66.82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38.93</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25.65</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0.44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28.16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5.99</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12.88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6"/>
                <w:szCs w:val="16"/>
              </w:rPr>
            </w:pPr>
            <w:r>
              <w:rPr>
                <w:rFonts w:hint="eastAsia" w:ascii="宋体" w:hAnsi="宋体" w:eastAsia="宋体" w:cs="宋体"/>
                <w:i w:val="0"/>
                <w:iCs w:val="0"/>
                <w:color w:val="000000"/>
                <w:kern w:val="0"/>
                <w:sz w:val="22"/>
                <w:szCs w:val="22"/>
                <w:u w:val="none"/>
                <w:lang w:val="en-US" w:eastAsia="zh-CN" w:bidi="ar"/>
              </w:rPr>
              <w:t>5.08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655.60</w:t>
            </w:r>
          </w:p>
        </w:tc>
        <w:tc>
          <w:tcPr>
            <w:tcW w:w="5328"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right"/>
              <w:textAlignment w:val="bottom"/>
              <w:rPr>
                <w:rFonts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272.5</w:t>
            </w:r>
            <w:r>
              <w:rPr>
                <w:rFonts w:hint="eastAsia" w:ascii="Arial" w:hAnsi="Arial" w:cs="Arial"/>
                <w:i w:val="0"/>
                <w:iCs w:val="0"/>
                <w:color w:val="000000"/>
                <w:kern w:val="0"/>
                <w:sz w:val="20"/>
                <w:szCs w:val="20"/>
                <w:u w:val="none"/>
                <w:lang w:val="en-US" w:eastAsia="zh-CN" w:bidi="ar"/>
              </w:rPr>
              <w:t>6</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hint="default" w:ascii="宋体" w:eastAsia="宋体" w:cs="宋体"/>
                <w:color w:val="000000"/>
                <w:szCs w:val="21"/>
                <w:lang w:val="en-US" w:eastAsia="zh-CN"/>
              </w:rPr>
            </w:pPr>
            <w:r>
              <w:rPr>
                <w:rFonts w:hint="eastAsia" w:ascii="宋体" w:cs="宋体"/>
                <w:color w:val="000000"/>
                <w:szCs w:val="21"/>
                <w:lang w:val="en-US" w:eastAsia="zh-CN"/>
              </w:rPr>
              <w:t>6.00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hint="default" w:ascii="宋体" w:eastAsia="宋体" w:cs="宋体"/>
                <w:color w:val="000000"/>
                <w:szCs w:val="21"/>
                <w:lang w:val="en-US" w:eastAsia="zh-CN"/>
              </w:rPr>
            </w:pPr>
            <w:r>
              <w:rPr>
                <w:rFonts w:hint="eastAsia" w:ascii="宋体" w:cs="宋体"/>
                <w:color w:val="000000"/>
                <w:szCs w:val="21"/>
                <w:lang w:val="en-US" w:eastAsia="zh-CN"/>
              </w:rPr>
              <w:t>5.99</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hint="default" w:ascii="宋体" w:eastAsia="宋体" w:cs="宋体"/>
                <w:color w:val="000000"/>
                <w:szCs w:val="21"/>
                <w:lang w:val="en-US" w:eastAsia="zh-CN"/>
              </w:rPr>
            </w:pPr>
            <w:r>
              <w:rPr>
                <w:rFonts w:hint="eastAsia" w:ascii="宋体" w:cs="宋体"/>
                <w:color w:val="000000"/>
                <w:szCs w:val="21"/>
                <w:lang w:val="en-US" w:eastAsia="zh-CN"/>
              </w:rPr>
              <w:t>5.99</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hint="default" w:ascii="宋体" w:eastAsia="宋体" w:cs="宋体"/>
                <w:color w:val="000000"/>
                <w:szCs w:val="21"/>
                <w:lang w:val="en-US" w:eastAsia="zh-CN"/>
              </w:rPr>
            </w:pPr>
            <w:r>
              <w:rPr>
                <w:rFonts w:hint="eastAsia" w:ascii="宋体" w:cs="宋体"/>
                <w:color w:val="000000"/>
                <w:szCs w:val="21"/>
                <w:lang w:val="en-US" w:eastAsia="zh-CN"/>
              </w:rPr>
              <w:t>5.99</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 w:val="21"/>
                <w:szCs w:val="21"/>
              </w:rPr>
            </w:pPr>
            <w:r>
              <w:rPr>
                <w:rFonts w:hint="eastAsia" w:ascii="宋体" w:hAnsi="宋体" w:cs="宋体"/>
                <w:color w:val="000000"/>
                <w:kern w:val="0"/>
                <w:sz w:val="21"/>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 w:val="21"/>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 w:val="21"/>
                <w:szCs w:val="21"/>
              </w:rPr>
            </w:pPr>
            <w:r>
              <w:rPr>
                <w:rFonts w:hint="eastAsia" w:ascii="宋体" w:hAnsi="宋体" w:eastAsia="宋体" w:cs="宋体"/>
                <w:b w:val="0"/>
                <w:bCs w:val="0"/>
                <w:i w:val="0"/>
                <w:iCs w:val="0"/>
                <w:color w:val="000000"/>
                <w:kern w:val="0"/>
                <w:sz w:val="21"/>
                <w:szCs w:val="21"/>
                <w:u w:val="none"/>
                <w:lang w:val="en-US" w:eastAsia="zh-CN" w:bidi="ar"/>
              </w:rPr>
              <w:t>6070.25</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 w:val="21"/>
                <w:szCs w:val="21"/>
              </w:rPr>
            </w:pPr>
            <w:r>
              <w:rPr>
                <w:rFonts w:hint="eastAsia" w:ascii="宋体" w:hAnsi="宋体" w:eastAsia="宋体" w:cs="宋体"/>
                <w:b w:val="0"/>
                <w:bCs w:val="0"/>
                <w:i w:val="0"/>
                <w:iCs w:val="0"/>
                <w:color w:val="000000"/>
                <w:kern w:val="0"/>
                <w:sz w:val="21"/>
                <w:szCs w:val="21"/>
                <w:u w:val="none"/>
                <w:lang w:val="en-US" w:eastAsia="zh-CN" w:bidi="ar"/>
              </w:rPr>
              <w:t>6070.25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 w:val="21"/>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212</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城乡社区支出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1"/>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 w:val="21"/>
                <w:szCs w:val="21"/>
              </w:rPr>
            </w:pPr>
            <w:r>
              <w:rPr>
                <w:rFonts w:hint="eastAsia" w:ascii="宋体" w:hAnsi="宋体" w:eastAsia="宋体" w:cs="宋体"/>
                <w:b w:val="0"/>
                <w:bCs w:val="0"/>
                <w:i w:val="0"/>
                <w:iCs w:val="0"/>
                <w:color w:val="000000"/>
                <w:kern w:val="0"/>
                <w:sz w:val="21"/>
                <w:szCs w:val="21"/>
                <w:u w:val="none"/>
                <w:lang w:val="en-US" w:eastAsia="zh-CN" w:bidi="ar"/>
              </w:rPr>
              <w:t>6070.25</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 w:val="21"/>
                <w:szCs w:val="21"/>
              </w:rPr>
            </w:pPr>
            <w:r>
              <w:rPr>
                <w:rFonts w:hint="eastAsia" w:ascii="宋体" w:hAnsi="宋体" w:eastAsia="宋体" w:cs="宋体"/>
                <w:b w:val="0"/>
                <w:bCs w:val="0"/>
                <w:i w:val="0"/>
                <w:iCs w:val="0"/>
                <w:color w:val="000000"/>
                <w:kern w:val="0"/>
                <w:sz w:val="21"/>
                <w:szCs w:val="21"/>
                <w:u w:val="none"/>
                <w:lang w:val="en-US" w:eastAsia="zh-CN" w:bidi="ar"/>
              </w:rPr>
              <w:t>6070.25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1"/>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21208</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国有土地使用权出让收入及对应专项债务收入安排的支出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1"/>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 w:val="21"/>
                <w:szCs w:val="21"/>
              </w:rPr>
            </w:pPr>
            <w:r>
              <w:rPr>
                <w:rFonts w:hint="eastAsia" w:ascii="宋体" w:hAnsi="宋体" w:eastAsia="宋体" w:cs="宋体"/>
                <w:b w:val="0"/>
                <w:bCs w:val="0"/>
                <w:i w:val="0"/>
                <w:iCs w:val="0"/>
                <w:color w:val="000000"/>
                <w:kern w:val="0"/>
                <w:sz w:val="21"/>
                <w:szCs w:val="21"/>
                <w:u w:val="none"/>
                <w:lang w:val="en-US" w:eastAsia="zh-CN" w:bidi="ar"/>
              </w:rPr>
              <w:t>6070.25</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 w:val="21"/>
                <w:szCs w:val="21"/>
              </w:rPr>
            </w:pPr>
            <w:r>
              <w:rPr>
                <w:rFonts w:hint="eastAsia" w:ascii="宋体" w:hAnsi="宋体" w:eastAsia="宋体" w:cs="宋体"/>
                <w:b w:val="0"/>
                <w:bCs w:val="0"/>
                <w:i w:val="0"/>
                <w:iCs w:val="0"/>
                <w:color w:val="000000"/>
                <w:kern w:val="0"/>
                <w:sz w:val="21"/>
                <w:szCs w:val="21"/>
                <w:u w:val="none"/>
                <w:lang w:val="en-US" w:eastAsia="zh-CN" w:bidi="ar"/>
              </w:rPr>
              <w:t>6070.25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1"/>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2120801</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征地和拆迁补偿支出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1"/>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 w:val="21"/>
                <w:szCs w:val="21"/>
              </w:rPr>
            </w:pPr>
            <w:r>
              <w:rPr>
                <w:rFonts w:hint="eastAsia" w:ascii="宋体" w:hAnsi="宋体" w:eastAsia="宋体" w:cs="宋体"/>
                <w:b w:val="0"/>
                <w:bCs w:val="0"/>
                <w:i w:val="0"/>
                <w:iCs w:val="0"/>
                <w:color w:val="000000"/>
                <w:kern w:val="0"/>
                <w:sz w:val="21"/>
                <w:szCs w:val="21"/>
                <w:u w:val="none"/>
                <w:lang w:val="en-US" w:eastAsia="zh-CN" w:bidi="ar"/>
              </w:rPr>
              <w:t>5992.25</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 w:val="21"/>
                <w:szCs w:val="21"/>
              </w:rPr>
            </w:pPr>
            <w:r>
              <w:rPr>
                <w:rFonts w:hint="eastAsia" w:ascii="宋体" w:hAnsi="宋体" w:eastAsia="宋体" w:cs="宋体"/>
                <w:b w:val="0"/>
                <w:bCs w:val="0"/>
                <w:i w:val="0"/>
                <w:iCs w:val="0"/>
                <w:color w:val="000000"/>
                <w:kern w:val="0"/>
                <w:sz w:val="21"/>
                <w:szCs w:val="21"/>
                <w:u w:val="none"/>
                <w:lang w:val="en-US" w:eastAsia="zh-CN" w:bidi="ar"/>
              </w:rPr>
              <w:t>5992.25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1"/>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2120803</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城市建设支出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1"/>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 w:val="21"/>
                <w:szCs w:val="21"/>
              </w:rPr>
            </w:pPr>
            <w:r>
              <w:rPr>
                <w:rFonts w:hint="eastAsia" w:ascii="宋体" w:hAnsi="宋体" w:eastAsia="宋体" w:cs="宋体"/>
                <w:b w:val="0"/>
                <w:bCs w:val="0"/>
                <w:i w:val="0"/>
                <w:iCs w:val="0"/>
                <w:color w:val="000000"/>
                <w:kern w:val="0"/>
                <w:sz w:val="21"/>
                <w:szCs w:val="21"/>
                <w:u w:val="none"/>
                <w:lang w:val="en-US" w:eastAsia="zh-CN" w:bidi="ar"/>
              </w:rPr>
              <w:t>60.00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ascii="宋体" w:cs="宋体"/>
                <w:b w:val="0"/>
                <w:bCs w:val="0"/>
                <w:color w:val="000000"/>
                <w:sz w:val="21"/>
                <w:szCs w:val="21"/>
              </w:rPr>
            </w:pPr>
            <w:r>
              <w:rPr>
                <w:rFonts w:hint="eastAsia" w:ascii="宋体" w:hAnsi="宋体" w:eastAsia="宋体" w:cs="宋体"/>
                <w:b w:val="0"/>
                <w:bCs w:val="0"/>
                <w:i w:val="0"/>
                <w:iCs w:val="0"/>
                <w:color w:val="000000"/>
                <w:kern w:val="0"/>
                <w:sz w:val="21"/>
                <w:szCs w:val="21"/>
                <w:u w:val="none"/>
                <w:lang w:val="en-US" w:eastAsia="zh-CN" w:bidi="ar"/>
              </w:rPr>
              <w:t>60.00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1"/>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2120804</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  农村基础设施建设支出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color w:val="000000"/>
                <w:sz w:val="21"/>
                <w:szCs w:val="21"/>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eastAsia="宋体" w:cs="宋体"/>
                <w:b w:val="0"/>
                <w:bCs w:val="0"/>
                <w:color w:val="000000"/>
                <w:sz w:val="21"/>
                <w:szCs w:val="21"/>
                <w:lang w:val="en-US" w:eastAsia="zh-CN"/>
              </w:rPr>
            </w:pPr>
            <w:r>
              <w:rPr>
                <w:rFonts w:hint="eastAsia" w:ascii="宋体" w:cs="宋体"/>
                <w:b w:val="0"/>
                <w:bCs w:val="0"/>
                <w:color w:val="000000"/>
                <w:sz w:val="21"/>
                <w:szCs w:val="21"/>
                <w:lang w:val="en-US" w:eastAsia="zh-CN"/>
              </w:rPr>
              <w:t>18.00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b w:val="0"/>
                <w:bCs w:val="0"/>
                <w:color w:val="000000"/>
                <w:sz w:val="21"/>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cs="宋体"/>
                <w:b w:val="0"/>
                <w:bCs w:val="0"/>
                <w:color w:val="000000"/>
                <w:sz w:val="21"/>
                <w:szCs w:val="21"/>
                <w:lang w:val="en-US"/>
              </w:rPr>
            </w:pPr>
            <w:r>
              <w:rPr>
                <w:rFonts w:hint="eastAsia" w:ascii="宋体" w:cs="宋体"/>
                <w:b w:val="0"/>
                <w:bCs w:val="0"/>
                <w:color w:val="000000"/>
                <w:sz w:val="21"/>
                <w:szCs w:val="21"/>
                <w:lang w:val="en-US" w:eastAsia="zh-CN"/>
              </w:rPr>
              <w:t>18.00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1"/>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center"/>
        <w:rPr>
          <w:rFonts w:hint="default" w:ascii="仿宋_GB2312" w:hAnsi="宋体" w:eastAsia="宋体"/>
          <w:b/>
          <w:sz w:val="28"/>
          <w:szCs w:val="28"/>
          <w:highlight w:val="yellow"/>
          <w:lang w:val="en-US" w:eastAsia="zh-CN"/>
        </w:rPr>
        <w:sectPr>
          <w:pgSz w:w="11906" w:h="16838"/>
          <w:pgMar w:top="2098" w:right="1474" w:bottom="1984" w:left="1588" w:header="851" w:footer="992" w:gutter="0"/>
          <w:cols w:space="0" w:num="1"/>
          <w:docGrid w:type="lines" w:linePitch="312" w:charSpace="0"/>
        </w:sectPr>
      </w:pPr>
      <w:r>
        <w:rPr>
          <w:rFonts w:hint="eastAsia" w:ascii="宋体" w:hAnsi="宋体" w:cs="宋体"/>
          <w:color w:val="000000"/>
          <w:kern w:val="0"/>
          <w:sz w:val="22"/>
          <w:szCs w:val="22"/>
          <w:lang w:val="en-US" w:eastAsia="zh-CN"/>
        </w:rPr>
        <w:t>本部门无</w:t>
      </w:r>
      <w:r>
        <w:rPr>
          <w:rFonts w:hint="eastAsia" w:ascii="宋体" w:hAnsi="宋体" w:cs="宋体"/>
          <w:color w:val="000000"/>
          <w:kern w:val="0"/>
          <w:sz w:val="22"/>
          <w:szCs w:val="22"/>
        </w:rPr>
        <w:t>国有资本经营预算财政拨款</w:t>
      </w:r>
      <w:r>
        <w:rPr>
          <w:rFonts w:hint="eastAsia" w:ascii="宋体" w:hAnsi="宋体" w:cs="宋体"/>
          <w:color w:val="000000"/>
          <w:kern w:val="0"/>
          <w:sz w:val="22"/>
          <w:szCs w:val="22"/>
          <w:lang w:eastAsia="zh-CN"/>
        </w:rPr>
        <w:t>，</w:t>
      </w:r>
      <w:r>
        <w:rPr>
          <w:rFonts w:hint="eastAsia" w:ascii="宋体" w:hAnsi="宋体" w:cs="宋体"/>
          <w:color w:val="000000"/>
          <w:kern w:val="0"/>
          <w:sz w:val="22"/>
          <w:szCs w:val="22"/>
          <w:lang w:val="en-US" w:eastAsia="zh-CN"/>
        </w:rPr>
        <w:t>按要求以空表列示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本部分无政府采购，按要求以空表列示</w:t>
      </w: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91008;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b w:val="0"/>
          <w:bCs w:val="0"/>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仿宋_GB2312" w:hAnsi="仿宋_GB2312" w:eastAsia="仿宋_GB2312" w:cs="仿宋_GB2312"/>
          <w:sz w:val="28"/>
          <w:szCs w:val="28"/>
        </w:rPr>
        <w:t>7030</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81</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w:t>
      </w:r>
      <w:r>
        <w:rPr>
          <w:rFonts w:hint="eastAsia" w:ascii="仿宋_GB2312" w:hAnsi="仿宋_GB2312" w:eastAsia="仿宋_GB2312" w:cs="仿宋_GB2312"/>
          <w:sz w:val="28"/>
          <w:szCs w:val="28"/>
          <w:lang w:val="en-US" w:eastAsia="zh-CN"/>
        </w:rPr>
        <w:t>3277.50</w:t>
      </w:r>
      <w:r>
        <w:rPr>
          <w:rFonts w:hint="eastAsia" w:ascii="仿宋_GB2312" w:hAnsi="仿宋_GB2312" w:eastAsia="仿宋_GB2312" w:cs="仿宋_GB2312"/>
          <w:sz w:val="28"/>
          <w:szCs w:val="28"/>
        </w:rPr>
        <w:t>万元，</w:t>
      </w:r>
      <w:r>
        <w:rPr>
          <w:rFonts w:hint="eastAsia" w:ascii="仿宋_GB2312" w:hAnsi="仿宋_GB2312" w:eastAsia="仿宋_GB2312" w:cs="仿宋_GB2312"/>
          <w:sz w:val="28"/>
          <w:szCs w:val="28"/>
          <w:lang w:val="en-US" w:eastAsia="zh-CN"/>
        </w:rPr>
        <w:t>增长</w:t>
      </w:r>
      <w:r>
        <w:rPr>
          <w:rFonts w:hint="eastAsia" w:ascii="仿宋_GB2312" w:hAnsi="仿宋_GB2312" w:eastAsia="仿宋_GB2312" w:cs="仿宋_GB2312"/>
          <w:sz w:val="28"/>
          <w:szCs w:val="28"/>
        </w:rPr>
        <w:t>了</w:t>
      </w:r>
      <w:r>
        <w:rPr>
          <w:rFonts w:hint="eastAsia" w:ascii="仿宋_GB2312" w:hAnsi="仿宋_GB2312" w:eastAsia="仿宋_GB2312" w:cs="仿宋_GB2312"/>
          <w:sz w:val="28"/>
          <w:szCs w:val="28"/>
          <w:lang w:val="en-US" w:eastAsia="zh-CN"/>
        </w:rPr>
        <w:t>87.32</w:t>
      </w:r>
      <w:r>
        <w:rPr>
          <w:rFonts w:hint="eastAsia" w:ascii="仿宋_GB2312" w:hAnsi="仿宋_GB2312" w:eastAsia="仿宋_GB2312" w:cs="仿宋_GB2312"/>
          <w:sz w:val="28"/>
          <w:szCs w:val="28"/>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lang w:eastAsia="zh-CN"/>
        </w:rPr>
        <w:t>增加了京车造车</w:t>
      </w:r>
      <w:r>
        <w:rPr>
          <w:rFonts w:hint="eastAsia" w:ascii="仿宋_GB2312" w:hAnsi="仿宋_GB2312" w:eastAsia="仿宋_GB2312" w:cs="仿宋_GB2312"/>
          <w:sz w:val="28"/>
          <w:szCs w:val="28"/>
        </w:rPr>
        <w:t>项目</w:t>
      </w:r>
      <w:r>
        <w:rPr>
          <w:rFonts w:hint="eastAsia" w:ascii="仿宋_GB2312" w:hAnsi="仿宋_GB2312" w:eastAsia="仿宋_GB2312" w:cs="仿宋_GB2312"/>
          <w:sz w:val="28"/>
          <w:szCs w:val="28"/>
          <w:lang w:eastAsia="zh-CN"/>
        </w:rPr>
        <w:t>征地补偿和补发工资</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仿宋_GB2312" w:hAnsi="仿宋_GB2312" w:eastAsia="仿宋_GB2312" w:cs="仿宋_GB2312"/>
          <w:sz w:val="28"/>
          <w:szCs w:val="28"/>
        </w:rPr>
        <w:t>7030</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81</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w:t>
      </w:r>
      <w:r>
        <w:rPr>
          <w:rFonts w:hint="eastAsia" w:ascii="仿宋_GB2312" w:eastAsia="仿宋_GB2312" w:cs="DengXian-Regular"/>
          <w:sz w:val="32"/>
          <w:szCs w:val="32"/>
          <w:lang w:val="en-US" w:eastAsia="zh-CN"/>
        </w:rPr>
        <w:t>支出</w:t>
      </w:r>
      <w:r>
        <w:rPr>
          <w:rFonts w:hint="eastAsia" w:ascii="仿宋_GB2312" w:eastAsia="仿宋_GB2312" w:cs="DengXian-Regular"/>
          <w:sz w:val="32"/>
          <w:szCs w:val="32"/>
        </w:rPr>
        <w:t>增加</w:t>
      </w:r>
      <w:r>
        <w:rPr>
          <w:rFonts w:hint="eastAsia" w:ascii="仿宋_GB2312" w:hAnsi="仿宋_GB2312" w:eastAsia="仿宋_GB2312" w:cs="仿宋_GB2312"/>
          <w:sz w:val="28"/>
          <w:szCs w:val="28"/>
          <w:lang w:val="en-US" w:eastAsia="zh-CN"/>
        </w:rPr>
        <w:t>3277.50</w:t>
      </w:r>
      <w:r>
        <w:rPr>
          <w:rFonts w:hint="eastAsia" w:ascii="仿宋_GB2312" w:hAnsi="仿宋_GB2312" w:eastAsia="仿宋_GB2312" w:cs="仿宋_GB2312"/>
          <w:sz w:val="28"/>
          <w:szCs w:val="28"/>
        </w:rPr>
        <w:t>万元，</w:t>
      </w:r>
      <w:r>
        <w:rPr>
          <w:rFonts w:hint="eastAsia" w:ascii="仿宋_GB2312" w:hAnsi="仿宋_GB2312" w:eastAsia="仿宋_GB2312" w:cs="仿宋_GB2312"/>
          <w:sz w:val="28"/>
          <w:szCs w:val="28"/>
          <w:lang w:val="en-US" w:eastAsia="zh-CN"/>
        </w:rPr>
        <w:t>增长</w:t>
      </w:r>
      <w:r>
        <w:rPr>
          <w:rFonts w:hint="eastAsia" w:ascii="仿宋_GB2312" w:hAnsi="仿宋_GB2312" w:eastAsia="仿宋_GB2312" w:cs="仿宋_GB2312"/>
          <w:sz w:val="28"/>
          <w:szCs w:val="28"/>
        </w:rPr>
        <w:t>了</w:t>
      </w:r>
      <w:r>
        <w:rPr>
          <w:rFonts w:hint="eastAsia" w:ascii="仿宋_GB2312" w:hAnsi="仿宋_GB2312" w:eastAsia="仿宋_GB2312" w:cs="仿宋_GB2312"/>
          <w:sz w:val="28"/>
          <w:szCs w:val="28"/>
          <w:lang w:val="en-US" w:eastAsia="zh-CN"/>
        </w:rPr>
        <w:t>87.32</w:t>
      </w:r>
      <w:r>
        <w:rPr>
          <w:rFonts w:hint="eastAsia" w:ascii="仿宋_GB2312" w:hAnsi="仿宋_GB2312" w:eastAsia="仿宋_GB2312" w:cs="仿宋_GB2312"/>
          <w:sz w:val="28"/>
          <w:szCs w:val="28"/>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lang w:eastAsia="zh-CN"/>
        </w:rPr>
        <w:t>增加了京车造车</w:t>
      </w:r>
      <w:r>
        <w:rPr>
          <w:rFonts w:hint="eastAsia" w:ascii="仿宋_GB2312" w:hAnsi="仿宋_GB2312" w:eastAsia="仿宋_GB2312" w:cs="仿宋_GB2312"/>
          <w:sz w:val="28"/>
          <w:szCs w:val="28"/>
        </w:rPr>
        <w:t>项目</w:t>
      </w:r>
      <w:r>
        <w:rPr>
          <w:rFonts w:hint="eastAsia" w:ascii="仿宋_GB2312" w:hAnsi="仿宋_GB2312" w:eastAsia="仿宋_GB2312" w:cs="仿宋_GB2312"/>
          <w:sz w:val="28"/>
          <w:szCs w:val="28"/>
          <w:lang w:eastAsia="zh-CN"/>
        </w:rPr>
        <w:t>征地补偿和补发工资。</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pStyle w:val="3"/>
        <w:spacing w:before="0" w:after="0" w:line="580" w:lineRule="exact"/>
        <w:ind w:firstLine="640" w:firstLineChars="200"/>
        <w:rPr>
          <w:rFonts w:ascii="黑体" w:eastAsia="黑体"/>
          <w:b w:val="0"/>
          <w:bCs w:val="0"/>
        </w:rPr>
      </w:pPr>
      <w:r>
        <w:rPr>
          <w:rFonts w:hint="eastAsia" w:ascii="仿宋_GB2312" w:hAnsi="Times New Roman" w:eastAsia="仿宋_GB2312" w:cs="DengXian-Regular"/>
          <w:b w:val="0"/>
          <w:bCs w:val="0"/>
          <w:kern w:val="2"/>
          <w:sz w:val="32"/>
          <w:szCs w:val="32"/>
          <w:lang w:val="en-US" w:eastAsia="zh-CN" w:bidi="ar-SA"/>
        </w:rPr>
        <w:t>本部门2018年度本年收入合计7030.81万元，全部为财政拨款收入占100%。</w:t>
      </w:r>
      <w:r>
        <w:rPr>
          <w:rFonts w:hint="eastAsia" w:ascii="仿宋_GB2312" w:hAnsi="Times New Roman" w:eastAsia="仿宋_GB2312" w:cs="DengXian-Regular"/>
          <w:b w:val="0"/>
          <w:bCs w:val="0"/>
          <w:sz w:val="32"/>
          <w:szCs w:val="32"/>
        </w:rPr>
        <w:t>事业收入</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万元，占</w:t>
      </w:r>
      <w:r>
        <w:rPr>
          <w:rFonts w:hint="eastAsia" w:ascii="仿宋_GB2312" w:hAnsi="Times New Roman" w:eastAsia="仿宋_GB2312" w:cs="DengXian-Regular"/>
          <w:b w:val="0"/>
          <w:bCs w:val="0"/>
          <w:sz w:val="32"/>
          <w:szCs w:val="32"/>
          <w:lang w:val="en-US" w:eastAsia="zh-CN"/>
        </w:rPr>
        <w:t>0</w:t>
      </w:r>
      <w:r>
        <w:rPr>
          <w:rFonts w:ascii="仿宋_GB2312" w:hAnsi="Times New Roman" w:eastAsia="仿宋_GB2312" w:cs="DengXian-Regular"/>
          <w:b w:val="0"/>
          <w:bCs w:val="0"/>
          <w:sz w:val="32"/>
          <w:szCs w:val="32"/>
        </w:rPr>
        <w:t>%</w:t>
      </w:r>
      <w:r>
        <w:rPr>
          <w:rFonts w:hint="eastAsia" w:ascii="仿宋_GB2312" w:hAnsi="Times New Roman" w:eastAsia="仿宋_GB2312" w:cs="DengXian-Regular"/>
          <w:b w:val="0"/>
          <w:bCs w:val="0"/>
          <w:sz w:val="32"/>
          <w:szCs w:val="32"/>
        </w:rPr>
        <w:t>；经营收入</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万元，占</w:t>
      </w:r>
      <w:r>
        <w:rPr>
          <w:rFonts w:hint="eastAsia" w:ascii="仿宋_GB2312" w:hAnsi="Times New Roman" w:eastAsia="仿宋_GB2312" w:cs="DengXian-Regular"/>
          <w:b w:val="0"/>
          <w:bCs w:val="0"/>
          <w:sz w:val="32"/>
          <w:szCs w:val="32"/>
          <w:lang w:val="en-US" w:eastAsia="zh-CN"/>
        </w:rPr>
        <w:t>0</w:t>
      </w:r>
      <w:r>
        <w:rPr>
          <w:rFonts w:ascii="仿宋_GB2312" w:hAnsi="Times New Roman" w:eastAsia="仿宋_GB2312" w:cs="DengXian-Regular"/>
          <w:b w:val="0"/>
          <w:bCs w:val="0"/>
          <w:sz w:val="32"/>
          <w:szCs w:val="32"/>
        </w:rPr>
        <w:t>%</w:t>
      </w:r>
      <w:r>
        <w:rPr>
          <w:rFonts w:hint="eastAsia" w:ascii="仿宋_GB2312" w:hAnsi="Times New Roman" w:eastAsia="仿宋_GB2312" w:cs="DengXian-Regular"/>
          <w:b w:val="0"/>
          <w:bCs w:val="0"/>
          <w:sz w:val="32"/>
          <w:szCs w:val="32"/>
        </w:rPr>
        <w:t>；其他收入</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万元，占</w:t>
      </w:r>
      <w:r>
        <w:rPr>
          <w:rFonts w:hint="eastAsia" w:ascii="仿宋_GB2312" w:hAnsi="Times New Roman" w:eastAsia="仿宋_GB2312" w:cs="DengXian-Regular"/>
          <w:b w:val="0"/>
          <w:bCs w:val="0"/>
          <w:sz w:val="32"/>
          <w:szCs w:val="32"/>
          <w:lang w:val="en-US" w:eastAsia="zh-CN"/>
        </w:rPr>
        <w:t>0</w:t>
      </w:r>
      <w:r>
        <w:rPr>
          <w:rFonts w:ascii="仿宋_GB2312" w:hAnsi="Times New Roman" w:eastAsia="仿宋_GB2312" w:cs="DengXian-Regular"/>
          <w:b w:val="0"/>
          <w:bCs w:val="0"/>
          <w:sz w:val="32"/>
          <w:szCs w:val="32"/>
        </w:rPr>
        <w:t>%</w:t>
      </w:r>
      <w:r>
        <w:rPr>
          <w:rFonts w:hint="eastAsia" w:ascii="仿宋_GB2312" w:hAnsi="Times New Roman" w:eastAsia="仿宋_GB2312" w:cs="DengXian-Regular"/>
          <w:b w:val="0"/>
          <w:bCs w:val="0"/>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hAnsi="Times New Roman" w:eastAsia="仿宋_GB2312" w:cs="DengXian-Regular"/>
          <w:b w:val="0"/>
          <w:bCs w:val="0"/>
          <w:kern w:val="2"/>
          <w:sz w:val="32"/>
          <w:szCs w:val="32"/>
          <w:lang w:val="en-US" w:eastAsia="zh-CN" w:bidi="ar-SA"/>
        </w:rPr>
        <w:t>7030.81万元</w:t>
      </w:r>
      <w:r>
        <w:rPr>
          <w:rFonts w:hint="eastAsia" w:ascii="仿宋_GB2312" w:eastAsia="仿宋_GB2312" w:cs="DengXian-Regular"/>
          <w:sz w:val="32"/>
          <w:szCs w:val="32"/>
        </w:rPr>
        <w:t>，其中：基本支出</w:t>
      </w:r>
      <w:r>
        <w:rPr>
          <w:rFonts w:hint="eastAsia" w:ascii="仿宋_GB2312" w:eastAsia="仿宋_GB2312" w:cs="DengXian-Regular"/>
          <w:sz w:val="32"/>
          <w:szCs w:val="32"/>
          <w:lang w:val="en-US" w:eastAsia="zh-CN"/>
        </w:rPr>
        <w:t>928.16</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占13.20</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6102.65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86.80</w:t>
      </w:r>
      <w:r>
        <w:rPr>
          <w:rFonts w:ascii="仿宋_GB2312" w:eastAsia="仿宋_GB2312" w:cs="DengXian-Regular"/>
          <w:sz w:val="32"/>
          <w:szCs w:val="32"/>
        </w:rPr>
        <w:t>%</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r>
        <w:rPr>
          <w:rFonts w:hint="eastAsia" w:ascii="仿宋_GB2312" w:hAnsi="Times New Roman" w:eastAsia="仿宋_GB2312" w:cs="DengXian-Regular"/>
          <w:sz w:val="32"/>
          <w:szCs w:val="32"/>
          <w:lang w:eastAsia="zh-CN"/>
        </w:rPr>
        <w:pict>
          <v:shape id="_x0000_s1130" o:spid="_x0000_s1130" o:spt="75" type="#_x0000_t75" style="position:absolute;left:0pt;margin-left:73.3pt;margin-top:25.45pt;height:152.05pt;width:225pt;mso-wrap-distance-bottom:0pt;mso-wrap-distance-left:9pt;mso-wrap-distance-right:9pt;mso-wrap-distance-top:0pt;z-index:251692032;mso-width-relative:page;mso-height-relative:page;" o:ole="t" filled="f" o:preferrelative="t" stroked="f" coordsize="21600,21600">
            <v:path/>
            <v:fill on="f" focussize="0,0"/>
            <v:stroke on="f"/>
            <v:imagedata r:id="rId9" o:title=""/>
            <o:lock v:ext="edit" aspectratio="t"/>
            <w10:wrap type="square"/>
          </v:shape>
          <o:OLEObject Type="Embed" ProgID="Excel.Chart.8" ShapeID="_x0000_s1130" DrawAspect="Content" ObjectID="_1468075725" r:id="rId8">
            <o:LockedField>false</o:LockedField>
          </o:OLEObject>
        </w:pict>
      </w:r>
    </w:p>
    <w:p>
      <w:pPr>
        <w:adjustRightInd w:val="0"/>
        <w:snapToGrid w:val="0"/>
        <w:spacing w:after="0" w:line="580" w:lineRule="exact"/>
        <w:ind w:firstLine="1260" w:firstLineChars="600"/>
        <w:rPr>
          <w:rFonts w:ascii="仿宋_GB2312" w:eastAsia="仿宋_GB2312" w:cs="DengXian-Regular"/>
          <w:sz w:val="32"/>
          <w:szCs w:val="32"/>
        </w:rPr>
      </w:pPr>
      <w:r>
        <w:pict>
          <v:group id="组合 70" o:spid="_x0000_s1082" o:spt="203" style="position:absolute;left:0pt;margin-left:-79.5pt;margin-top:29.3pt;height:43.95pt;width:301.85pt;mso-position-vertical-relative:page;z-index:251684864;mso-width-relative:page;mso-height-relative:page;" coordorigin="4551,52615" coordsize="8546,1398">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p>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hAnsi="仿宋_GB2312" w:eastAsia="仿宋_GB2312" w:cs="仿宋_GB2312"/>
          <w:sz w:val="28"/>
          <w:szCs w:val="28"/>
        </w:rPr>
        <w:t>7030</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81</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w:t>
      </w:r>
      <w:r>
        <w:rPr>
          <w:rFonts w:hint="eastAsia" w:ascii="仿宋_GB2312" w:eastAsia="仿宋_GB2312" w:cs="DengXian-Regular"/>
          <w:sz w:val="32"/>
          <w:szCs w:val="32"/>
          <w:lang w:val="en-US" w:eastAsia="zh-CN"/>
        </w:rPr>
        <w:t>增加</w:t>
      </w:r>
      <w:r>
        <w:rPr>
          <w:rFonts w:hint="eastAsia" w:ascii="仿宋_GB2312" w:hAnsi="仿宋_GB2312" w:eastAsia="仿宋_GB2312" w:cs="仿宋_GB2312"/>
          <w:sz w:val="28"/>
          <w:szCs w:val="28"/>
          <w:lang w:val="en-US" w:eastAsia="zh-CN"/>
        </w:rPr>
        <w:t>3277.50</w:t>
      </w:r>
      <w:r>
        <w:rPr>
          <w:rFonts w:hint="eastAsia" w:ascii="仿宋_GB2312" w:hAnsi="仿宋_GB2312" w:eastAsia="仿宋_GB2312" w:cs="仿宋_GB2312"/>
          <w:sz w:val="28"/>
          <w:szCs w:val="28"/>
        </w:rPr>
        <w:t>万元，</w:t>
      </w:r>
      <w:r>
        <w:rPr>
          <w:rFonts w:hint="eastAsia" w:ascii="仿宋_GB2312" w:hAnsi="仿宋_GB2312" w:eastAsia="仿宋_GB2312" w:cs="仿宋_GB2312"/>
          <w:sz w:val="28"/>
          <w:szCs w:val="28"/>
          <w:lang w:val="en-US" w:eastAsia="zh-CN"/>
        </w:rPr>
        <w:t>增长</w:t>
      </w:r>
      <w:r>
        <w:rPr>
          <w:rFonts w:hint="eastAsia" w:ascii="仿宋_GB2312" w:hAnsi="仿宋_GB2312" w:eastAsia="仿宋_GB2312" w:cs="仿宋_GB2312"/>
          <w:sz w:val="28"/>
          <w:szCs w:val="28"/>
        </w:rPr>
        <w:t>了</w:t>
      </w:r>
      <w:r>
        <w:rPr>
          <w:rFonts w:hint="eastAsia" w:ascii="仿宋_GB2312" w:hAnsi="仿宋_GB2312" w:eastAsia="仿宋_GB2312" w:cs="仿宋_GB2312"/>
          <w:sz w:val="28"/>
          <w:szCs w:val="28"/>
          <w:lang w:val="en-US" w:eastAsia="zh-CN"/>
        </w:rPr>
        <w:t>87.32</w:t>
      </w:r>
      <w:r>
        <w:rPr>
          <w:rFonts w:hint="eastAsia" w:ascii="仿宋_GB2312" w:hAnsi="仿宋_GB2312" w:eastAsia="仿宋_GB2312" w:cs="仿宋_GB2312"/>
          <w:sz w:val="28"/>
          <w:szCs w:val="28"/>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lang w:eastAsia="zh-CN"/>
        </w:rPr>
        <w:t>增加了京车造车</w:t>
      </w:r>
      <w:r>
        <w:rPr>
          <w:rFonts w:hint="eastAsia" w:ascii="仿宋_GB2312" w:hAnsi="仿宋_GB2312" w:eastAsia="仿宋_GB2312" w:cs="仿宋_GB2312"/>
          <w:sz w:val="28"/>
          <w:szCs w:val="28"/>
        </w:rPr>
        <w:t>项目</w:t>
      </w:r>
      <w:r>
        <w:rPr>
          <w:rFonts w:hint="eastAsia" w:ascii="仿宋_GB2312" w:hAnsi="仿宋_GB2312" w:eastAsia="仿宋_GB2312" w:cs="仿宋_GB2312"/>
          <w:sz w:val="28"/>
          <w:szCs w:val="28"/>
          <w:lang w:eastAsia="zh-CN"/>
        </w:rPr>
        <w:t>征地补偿和补发工资</w:t>
      </w:r>
      <w:r>
        <w:rPr>
          <w:rFonts w:hint="eastAsia" w:ascii="仿宋_GB2312" w:eastAsia="仿宋_GB2312" w:cs="DengXian-Regular"/>
          <w:sz w:val="32"/>
          <w:szCs w:val="32"/>
        </w:rPr>
        <w:t>；本年支出</w:t>
      </w:r>
      <w:r>
        <w:rPr>
          <w:rFonts w:hint="eastAsia" w:ascii="仿宋_GB2312" w:hAnsi="仿宋_GB2312" w:eastAsia="仿宋_GB2312" w:cs="仿宋_GB2312"/>
          <w:sz w:val="28"/>
          <w:szCs w:val="28"/>
          <w:lang w:val="en-US" w:eastAsia="zh-CN"/>
        </w:rPr>
        <w:t>3277.50</w:t>
      </w:r>
      <w:r>
        <w:rPr>
          <w:rFonts w:hint="eastAsia" w:ascii="仿宋_GB2312" w:hAnsi="仿宋_GB2312" w:eastAsia="仿宋_GB2312" w:cs="仿宋_GB2312"/>
          <w:sz w:val="28"/>
          <w:szCs w:val="28"/>
        </w:rPr>
        <w:t>万元，</w:t>
      </w:r>
      <w:r>
        <w:rPr>
          <w:rFonts w:hint="eastAsia" w:ascii="仿宋_GB2312" w:hAnsi="仿宋_GB2312" w:eastAsia="仿宋_GB2312" w:cs="仿宋_GB2312"/>
          <w:sz w:val="28"/>
          <w:szCs w:val="28"/>
          <w:lang w:val="en-US" w:eastAsia="zh-CN"/>
        </w:rPr>
        <w:t>增长</w:t>
      </w:r>
      <w:r>
        <w:rPr>
          <w:rFonts w:hint="eastAsia" w:ascii="仿宋_GB2312" w:hAnsi="仿宋_GB2312" w:eastAsia="仿宋_GB2312" w:cs="仿宋_GB2312"/>
          <w:sz w:val="28"/>
          <w:szCs w:val="28"/>
        </w:rPr>
        <w:t>了</w:t>
      </w:r>
      <w:r>
        <w:rPr>
          <w:rFonts w:hint="eastAsia" w:ascii="仿宋_GB2312" w:hAnsi="仿宋_GB2312" w:eastAsia="仿宋_GB2312" w:cs="仿宋_GB2312"/>
          <w:sz w:val="28"/>
          <w:szCs w:val="28"/>
          <w:lang w:val="en-US" w:eastAsia="zh-CN"/>
        </w:rPr>
        <w:t>87.32</w:t>
      </w:r>
      <w:r>
        <w:rPr>
          <w:rFonts w:hint="eastAsia" w:ascii="仿宋_GB2312" w:hAnsi="仿宋_GB2312" w:eastAsia="仿宋_GB2312" w:cs="仿宋_GB2312"/>
          <w:sz w:val="28"/>
          <w:szCs w:val="28"/>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lang w:eastAsia="zh-CN"/>
        </w:rPr>
        <w:t>增加了京车造车</w:t>
      </w:r>
      <w:r>
        <w:rPr>
          <w:rFonts w:hint="eastAsia" w:ascii="仿宋_GB2312" w:hAnsi="仿宋_GB2312" w:eastAsia="仿宋_GB2312" w:cs="仿宋_GB2312"/>
          <w:sz w:val="28"/>
          <w:szCs w:val="28"/>
        </w:rPr>
        <w:t>项目</w:t>
      </w:r>
      <w:r>
        <w:rPr>
          <w:rFonts w:hint="eastAsia" w:ascii="仿宋_GB2312" w:hAnsi="仿宋_GB2312" w:eastAsia="仿宋_GB2312" w:cs="仿宋_GB2312"/>
          <w:sz w:val="28"/>
          <w:szCs w:val="28"/>
          <w:lang w:eastAsia="zh-CN"/>
        </w:rPr>
        <w:t>征地补偿和补发工资</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default" w:ascii="仿宋_GB2312" w:eastAsia="仿宋_GB2312" w:cs="DengXian-Regular"/>
          <w:sz w:val="32"/>
          <w:szCs w:val="32"/>
          <w:lang w:val="en-US"/>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960.56</w:t>
      </w:r>
      <w:r>
        <w:rPr>
          <w:rFonts w:hint="eastAsia" w:ascii="仿宋_GB2312" w:eastAsia="仿宋_GB2312" w:cs="DengXian-Regular"/>
          <w:sz w:val="32"/>
          <w:szCs w:val="32"/>
        </w:rPr>
        <w:t>万元，比上年增加</w:t>
      </w:r>
      <w:r>
        <w:rPr>
          <w:rFonts w:hint="eastAsia" w:ascii="仿宋_GB2312" w:hAnsi="仿宋_GB2312" w:eastAsia="仿宋_GB2312" w:cs="仿宋_GB2312"/>
          <w:sz w:val="28"/>
          <w:szCs w:val="28"/>
        </w:rPr>
        <w:t>了</w:t>
      </w:r>
      <w:r>
        <w:rPr>
          <w:rFonts w:hint="eastAsia" w:ascii="仿宋_GB2312" w:hAnsi="仿宋_GB2312" w:eastAsia="仿宋_GB2312" w:cs="仿宋_GB2312"/>
          <w:sz w:val="28"/>
          <w:szCs w:val="28"/>
          <w:lang w:val="en-US" w:eastAsia="zh-CN"/>
        </w:rPr>
        <w:t>213.92</w:t>
      </w:r>
      <w:r>
        <w:rPr>
          <w:rFonts w:hint="eastAsia" w:ascii="仿宋_GB2312" w:hAnsi="仿宋_GB2312" w:eastAsia="仿宋_GB2312" w:cs="仿宋_GB2312"/>
          <w:sz w:val="28"/>
          <w:szCs w:val="28"/>
        </w:rPr>
        <w:t>万元</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增加节能环保支出、事业运行支出以及人员工资保险</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960.56</w:t>
      </w:r>
      <w:r>
        <w:rPr>
          <w:rFonts w:hint="eastAsia" w:ascii="仿宋_GB2312" w:eastAsia="仿宋_GB2312" w:cs="DengXian-Regular"/>
          <w:sz w:val="32"/>
          <w:szCs w:val="32"/>
        </w:rPr>
        <w:t>万元，比上年增加</w:t>
      </w:r>
      <w:r>
        <w:rPr>
          <w:rFonts w:hint="eastAsia" w:ascii="仿宋_GB2312" w:hAnsi="仿宋_GB2312" w:eastAsia="仿宋_GB2312" w:cs="仿宋_GB2312"/>
          <w:sz w:val="28"/>
          <w:szCs w:val="28"/>
          <w:lang w:eastAsia="zh-CN"/>
        </w:rPr>
        <w:t>增加</w:t>
      </w:r>
      <w:r>
        <w:rPr>
          <w:rFonts w:hint="eastAsia" w:ascii="仿宋_GB2312" w:hAnsi="仿宋_GB2312" w:eastAsia="仿宋_GB2312" w:cs="仿宋_GB2312"/>
          <w:sz w:val="28"/>
          <w:szCs w:val="28"/>
        </w:rPr>
        <w:t>了</w:t>
      </w:r>
      <w:r>
        <w:rPr>
          <w:rFonts w:hint="eastAsia" w:ascii="仿宋_GB2312" w:hAnsi="仿宋_GB2312" w:eastAsia="仿宋_GB2312" w:cs="仿宋_GB2312"/>
          <w:sz w:val="28"/>
          <w:szCs w:val="28"/>
          <w:lang w:val="en-US" w:eastAsia="zh-CN"/>
        </w:rPr>
        <w:t>213.92</w:t>
      </w:r>
      <w:r>
        <w:rPr>
          <w:rFonts w:hint="eastAsia" w:ascii="仿宋_GB2312" w:hAnsi="仿宋_GB2312" w:eastAsia="仿宋_GB2312" w:cs="仿宋_GB2312"/>
          <w:sz w:val="28"/>
          <w:szCs w:val="28"/>
        </w:rPr>
        <w:t>万元</w:t>
      </w:r>
      <w:r>
        <w:rPr>
          <w:rFonts w:hint="eastAsia" w:ascii="仿宋_GB2312" w:eastAsia="仿宋_GB2312" w:cs="DengXian-Regular"/>
          <w:sz w:val="32"/>
          <w:szCs w:val="32"/>
        </w:rPr>
        <w:t>，增长</w:t>
      </w:r>
      <w:r>
        <w:rPr>
          <w:rFonts w:hint="eastAsia" w:ascii="仿宋_GB2312" w:eastAsia="仿宋_GB2312" w:cs="DengXian-Regular"/>
          <w:sz w:val="32"/>
          <w:szCs w:val="32"/>
          <w:lang w:val="en-US" w:eastAsia="zh-CN"/>
        </w:rPr>
        <w:t>28.65</w:t>
      </w:r>
      <w:r>
        <w:rPr>
          <w:rFonts w:ascii="仿宋_GB2312" w:eastAsia="仿宋_GB2312" w:cs="DengXian-Regular"/>
          <w:sz w:val="32"/>
          <w:szCs w:val="32"/>
        </w:rPr>
        <w:t>%</w:t>
      </w:r>
      <w:r>
        <w:rPr>
          <w:rFonts w:hint="eastAsia" w:ascii="仿宋_GB2312" w:eastAsia="仿宋_GB2312" w:cs="DengXian-Regular"/>
          <w:sz w:val="32"/>
          <w:szCs w:val="32"/>
        </w:rPr>
        <w:t>，</w:t>
      </w:r>
      <w:bookmarkStart w:id="0" w:name="_GoBack"/>
      <w:bookmarkEnd w:id="0"/>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增加节能环保支出、事业运行支出以及人员工资保险</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6070.25</w:t>
      </w:r>
      <w:r>
        <w:rPr>
          <w:rFonts w:hint="eastAsia" w:ascii="仿宋_GB2312" w:eastAsia="仿宋_GB2312" w:cs="DengXian-Regular"/>
          <w:sz w:val="32"/>
          <w:szCs w:val="32"/>
        </w:rPr>
        <w:t>万元，比上年</w:t>
      </w:r>
      <w:r>
        <w:rPr>
          <w:rFonts w:hint="eastAsia" w:ascii="仿宋_GB2312" w:hAnsi="仿宋_GB2312" w:eastAsia="仿宋_GB2312" w:cs="仿宋_GB2312"/>
          <w:sz w:val="28"/>
          <w:szCs w:val="28"/>
        </w:rPr>
        <w:t>增加了</w:t>
      </w:r>
      <w:r>
        <w:rPr>
          <w:rFonts w:hint="eastAsia" w:ascii="仿宋_GB2312" w:hAnsi="仿宋_GB2312" w:eastAsia="仿宋_GB2312" w:cs="仿宋_GB2312"/>
          <w:sz w:val="28"/>
          <w:szCs w:val="28"/>
          <w:lang w:val="en-US" w:eastAsia="zh-CN"/>
        </w:rPr>
        <w:t>3063.58</w:t>
      </w:r>
      <w:r>
        <w:rPr>
          <w:rFonts w:hint="eastAsia" w:ascii="仿宋_GB2312" w:hAnsi="仿宋_GB2312" w:eastAsia="仿宋_GB2312" w:cs="仿宋_GB2312"/>
          <w:sz w:val="28"/>
          <w:szCs w:val="28"/>
        </w:rPr>
        <w:t>万元</w:t>
      </w:r>
      <w:r>
        <w:rPr>
          <w:rFonts w:hint="eastAsia" w:ascii="仿宋_GB2312" w:eastAsia="仿宋_GB2312" w:cs="DengXian-Regular"/>
          <w:sz w:val="32"/>
          <w:szCs w:val="32"/>
        </w:rPr>
        <w:t>，增长</w:t>
      </w:r>
      <w:r>
        <w:rPr>
          <w:rFonts w:hint="eastAsia" w:ascii="仿宋_GB2312" w:eastAsia="仿宋_GB2312" w:cs="DengXian-Regular"/>
          <w:sz w:val="32"/>
          <w:szCs w:val="32"/>
          <w:lang w:val="en-US" w:eastAsia="zh-CN"/>
        </w:rPr>
        <w:t>101.89</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18</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eastAsia="zh-CN"/>
        </w:rPr>
        <w:t>增加京车造车项目征地补偿</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6070.25</w:t>
      </w:r>
      <w:r>
        <w:rPr>
          <w:rFonts w:hint="eastAsia" w:ascii="仿宋_GB2312" w:eastAsia="仿宋_GB2312" w:cs="DengXian-Regular"/>
          <w:sz w:val="32"/>
          <w:szCs w:val="32"/>
        </w:rPr>
        <w:t>万元，比上年</w:t>
      </w:r>
      <w:r>
        <w:rPr>
          <w:rFonts w:hint="eastAsia" w:ascii="仿宋_GB2312" w:hAnsi="仿宋_GB2312" w:eastAsia="仿宋_GB2312" w:cs="仿宋_GB2312"/>
          <w:sz w:val="28"/>
          <w:szCs w:val="28"/>
        </w:rPr>
        <w:t>增加了</w:t>
      </w:r>
      <w:r>
        <w:rPr>
          <w:rFonts w:hint="eastAsia" w:ascii="仿宋_GB2312" w:hAnsi="仿宋_GB2312" w:eastAsia="仿宋_GB2312" w:cs="仿宋_GB2312"/>
          <w:sz w:val="28"/>
          <w:szCs w:val="28"/>
          <w:lang w:val="en-US" w:eastAsia="zh-CN"/>
        </w:rPr>
        <w:t>3063.58</w:t>
      </w:r>
      <w:r>
        <w:rPr>
          <w:rFonts w:hint="eastAsia" w:ascii="仿宋_GB2312" w:hAnsi="仿宋_GB2312" w:eastAsia="仿宋_GB2312" w:cs="仿宋_GB2312"/>
          <w:sz w:val="28"/>
          <w:szCs w:val="28"/>
        </w:rPr>
        <w:t>万元</w:t>
      </w:r>
      <w:r>
        <w:rPr>
          <w:rFonts w:hint="eastAsia" w:ascii="仿宋_GB2312" w:eastAsia="仿宋_GB2312" w:cs="DengXian-Regular"/>
          <w:sz w:val="32"/>
          <w:szCs w:val="32"/>
        </w:rPr>
        <w:t>，增长</w:t>
      </w:r>
      <w:r>
        <w:rPr>
          <w:rFonts w:hint="eastAsia" w:ascii="仿宋_GB2312" w:eastAsia="仿宋_GB2312" w:cs="DengXian-Regular"/>
          <w:sz w:val="32"/>
          <w:szCs w:val="32"/>
          <w:lang w:val="en-US" w:eastAsia="zh-CN"/>
        </w:rPr>
        <w:t>101.89</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lang w:val="en-US" w:eastAsia="zh-CN"/>
        </w:rPr>
        <w:t>18</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eastAsia="zh-CN"/>
        </w:rPr>
        <w:t>增加京车造车项目征地补偿。</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pict>
          <v:shape id="_x0000_s1132" o:spid="_x0000_s1132" o:spt="75" type="#_x0000_t75" style="position:absolute;left:0pt;margin-left:88pt;margin-top:9.7pt;height:262.3pt;width:227.65pt;mso-wrap-distance-left:9pt;mso-wrap-distance-right:9pt;z-index:-251623424;mso-width-relative:page;mso-height-relative:page;" o:ole="t" filled="f" o:preferrelative="t" stroked="f" coordsize="21600,21600" wrapcoords="21592 -2 0 0 0 21600 21592 21602 8 21602 21600 21600 21600 0 8 -2 21592 -2">
            <v:path/>
            <v:fill on="f" focussize="0,0"/>
            <v:stroke on="f"/>
            <v:imagedata r:id="rId11" o:title=""/>
            <o:lock v:ext="edit" aspectratio="t"/>
            <w10:wrap type="tight"/>
          </v:shape>
          <o:OLEObject Type="Embed" ProgID="Excel.Chart.8" ShapeID="_x0000_s1132" DrawAspect="Content" ObjectID="_1468075726" r:id="rId10">
            <o:LockedField>false</o:LockedField>
          </o:OLEObject>
        </w:pict>
      </w: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hAnsi="仿宋_GB2312" w:eastAsia="仿宋_GB2312" w:cs="仿宋_GB2312"/>
          <w:sz w:val="28"/>
          <w:szCs w:val="28"/>
        </w:rPr>
        <w:t>7030</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81</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858.95</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6212.28</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val="en-US" w:eastAsia="zh-CN"/>
        </w:rPr>
        <w:t>增加了</w:t>
      </w:r>
      <w:r>
        <w:rPr>
          <w:rFonts w:hint="eastAsia" w:ascii="仿宋_GB2312" w:eastAsia="仿宋_GB2312" w:cs="DengXian-Regular"/>
          <w:sz w:val="32"/>
          <w:szCs w:val="32"/>
        </w:rPr>
        <w:t>征地和拆迁补偿支出</w:t>
      </w:r>
      <w:r>
        <w:rPr>
          <w:rFonts w:hint="eastAsia" w:ascii="仿宋_GB2312" w:eastAsia="仿宋_GB2312" w:cs="DengXian-Regular"/>
          <w:sz w:val="32"/>
          <w:szCs w:val="32"/>
          <w:lang w:eastAsia="zh-CN"/>
        </w:rPr>
        <w:t>、</w:t>
      </w:r>
      <w:r>
        <w:rPr>
          <w:rFonts w:hint="eastAsia" w:ascii="仿宋_GB2312" w:eastAsia="仿宋_GB2312" w:cs="DengXian-Regular"/>
          <w:sz w:val="32"/>
          <w:szCs w:val="32"/>
        </w:rPr>
        <w:t>城市建设支出</w:t>
      </w:r>
      <w:r>
        <w:rPr>
          <w:rFonts w:hint="eastAsia" w:ascii="仿宋_GB2312" w:eastAsia="仿宋_GB2312" w:cs="DengXian-Regular"/>
          <w:sz w:val="32"/>
          <w:szCs w:val="32"/>
          <w:lang w:eastAsia="zh-CN"/>
        </w:rPr>
        <w:t>、</w:t>
      </w:r>
      <w:r>
        <w:rPr>
          <w:rFonts w:hint="eastAsia" w:ascii="仿宋_GB2312" w:eastAsia="仿宋_GB2312" w:cs="DengXian-Regular"/>
          <w:sz w:val="32"/>
          <w:szCs w:val="32"/>
        </w:rPr>
        <w:t xml:space="preserve">  农村基础设施建设支出；本年支出</w:t>
      </w:r>
      <w:r>
        <w:rPr>
          <w:rFonts w:hint="eastAsia" w:ascii="仿宋_GB2312" w:hAnsi="仿宋_GB2312" w:eastAsia="仿宋_GB2312" w:cs="仿宋_GB2312"/>
          <w:sz w:val="28"/>
          <w:szCs w:val="28"/>
        </w:rPr>
        <w:t>7030</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81</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858.95</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6212.28</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val="en-US" w:eastAsia="zh-CN"/>
        </w:rPr>
        <w:t>增加了</w:t>
      </w:r>
      <w:r>
        <w:rPr>
          <w:rFonts w:hint="eastAsia" w:ascii="仿宋_GB2312" w:eastAsia="仿宋_GB2312" w:cs="DengXian-Regular"/>
          <w:sz w:val="32"/>
          <w:szCs w:val="32"/>
        </w:rPr>
        <w:t>征地和拆迁补偿支出</w:t>
      </w:r>
      <w:r>
        <w:rPr>
          <w:rFonts w:hint="eastAsia" w:ascii="仿宋_GB2312" w:eastAsia="仿宋_GB2312" w:cs="DengXian-Regular"/>
          <w:sz w:val="32"/>
          <w:szCs w:val="32"/>
          <w:lang w:eastAsia="zh-CN"/>
        </w:rPr>
        <w:t>、</w:t>
      </w:r>
      <w:r>
        <w:rPr>
          <w:rFonts w:hint="eastAsia" w:ascii="仿宋_GB2312" w:eastAsia="仿宋_GB2312" w:cs="DengXian-Regular"/>
          <w:sz w:val="32"/>
          <w:szCs w:val="32"/>
        </w:rPr>
        <w:t>城市建设支出</w:t>
      </w:r>
      <w:r>
        <w:rPr>
          <w:rFonts w:hint="eastAsia" w:ascii="仿宋_GB2312" w:eastAsia="仿宋_GB2312" w:cs="DengXian-Regular"/>
          <w:sz w:val="32"/>
          <w:szCs w:val="32"/>
          <w:lang w:eastAsia="zh-CN"/>
        </w:rPr>
        <w:t>、</w:t>
      </w:r>
      <w:r>
        <w:rPr>
          <w:rFonts w:hint="eastAsia" w:ascii="仿宋_GB2312" w:eastAsia="仿宋_GB2312" w:cs="DengXian-Regular"/>
          <w:sz w:val="32"/>
          <w:szCs w:val="32"/>
        </w:rPr>
        <w:t xml:space="preserve">  农村基础设施建设支出</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117.35</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142.03</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增加农村综合改革支出</w:t>
      </w:r>
      <w:r>
        <w:rPr>
          <w:rFonts w:hint="eastAsia" w:ascii="仿宋_GB2312" w:eastAsia="仿宋_GB2312" w:cs="DengXian-Regular"/>
          <w:sz w:val="32"/>
          <w:szCs w:val="32"/>
        </w:rPr>
        <w:t>；支出完成年初预算完成年初预算</w:t>
      </w:r>
      <w:r>
        <w:rPr>
          <w:rFonts w:hint="eastAsia" w:ascii="仿宋_GB2312" w:eastAsia="仿宋_GB2312" w:cs="DengXian-Regular"/>
          <w:sz w:val="32"/>
          <w:szCs w:val="32"/>
          <w:lang w:val="en-US" w:eastAsia="zh-CN"/>
        </w:rPr>
        <w:t>117.35</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142.03</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增加农村综合改革支出</w:t>
      </w:r>
      <w:r>
        <w:rPr>
          <w:rFonts w:hint="eastAsia" w:ascii="仿宋_GB2312" w:eastAsia="仿宋_GB2312" w:cs="DengXian-Regular"/>
          <w:sz w:val="32"/>
          <w:szCs w:val="32"/>
        </w:rPr>
        <w:t>。政府性基金预算财政拨款本年收入比年初预算增加</w:t>
      </w:r>
      <w:r>
        <w:rPr>
          <w:rFonts w:hint="eastAsia" w:ascii="仿宋_GB2312" w:eastAsia="仿宋_GB2312" w:cs="DengXian-Regular"/>
          <w:sz w:val="32"/>
          <w:szCs w:val="32"/>
          <w:lang w:val="en-US" w:eastAsia="zh-CN"/>
        </w:rPr>
        <w:t>6070.25</w:t>
      </w:r>
      <w:r>
        <w:rPr>
          <w:rFonts w:hint="eastAsia" w:ascii="仿宋_GB2312" w:eastAsia="仿宋_GB2312" w:cs="DengXian-Regular"/>
          <w:sz w:val="32"/>
          <w:szCs w:val="32"/>
        </w:rPr>
        <w:t>万元，主要是</w:t>
      </w:r>
      <w:r>
        <w:rPr>
          <w:rFonts w:hint="eastAsia" w:ascii="仿宋_GB2312" w:hAnsi="仿宋_GB2312" w:eastAsia="仿宋_GB2312" w:cs="仿宋_GB2312"/>
          <w:sz w:val="28"/>
          <w:szCs w:val="28"/>
          <w:lang w:eastAsia="zh-CN"/>
        </w:rPr>
        <w:t>增加京车造车项目征地补偿。</w:t>
      </w:r>
      <w:r>
        <w:rPr>
          <w:rFonts w:hint="eastAsia" w:ascii="仿宋_GB2312" w:eastAsia="仿宋_GB2312" w:cs="DengXian-Regular"/>
          <w:sz w:val="32"/>
          <w:szCs w:val="32"/>
        </w:rPr>
        <w:t>支出比年初预算比年初预算增加</w:t>
      </w:r>
      <w:r>
        <w:rPr>
          <w:rFonts w:hint="eastAsia" w:ascii="仿宋_GB2312" w:eastAsia="仿宋_GB2312" w:cs="DengXian-Regular"/>
          <w:sz w:val="32"/>
          <w:szCs w:val="32"/>
          <w:lang w:val="en-US" w:eastAsia="zh-CN"/>
        </w:rPr>
        <w:t>6070.25</w:t>
      </w:r>
      <w:r>
        <w:rPr>
          <w:rFonts w:hint="eastAsia" w:ascii="仿宋_GB2312" w:eastAsia="仿宋_GB2312" w:cs="DengXian-Regular"/>
          <w:sz w:val="32"/>
          <w:szCs w:val="32"/>
        </w:rPr>
        <w:t>万元，主要是</w:t>
      </w:r>
      <w:r>
        <w:rPr>
          <w:rFonts w:hint="eastAsia" w:ascii="仿宋_GB2312" w:hAnsi="仿宋_GB2312" w:eastAsia="仿宋_GB2312" w:cs="仿宋_GB2312"/>
          <w:sz w:val="28"/>
          <w:szCs w:val="28"/>
          <w:lang w:eastAsia="zh-CN"/>
        </w:rPr>
        <w:t>增加京车造车项目征地补偿。</w:t>
      </w: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r>
        <w:rPr>
          <w:rFonts w:hint="eastAsia" w:ascii="仿宋_GB2312" w:eastAsia="仿宋_GB2312" w:cs="DengXian-Regular"/>
          <w:sz w:val="32"/>
          <w:szCs w:val="32"/>
          <w:highlight w:val="yellow"/>
          <w:lang w:eastAsia="zh-CN"/>
        </w:rPr>
        <w:pict>
          <v:shape id="_x0000_s1133" o:spid="_x0000_s1133" o:spt="75" type="#_x0000_t75" style="position:absolute;left:0pt;margin-left:54.45pt;margin-top:24.75pt;height:222.75pt;width:366.75pt;mso-wrap-distance-bottom:0pt;mso-wrap-distance-left:9pt;mso-wrap-distance-right:9pt;mso-wrap-distance-top:0pt;z-index:251694080;mso-width-relative:page;mso-height-relative:page;" o:ole="t" filled="f" o:preferrelative="t" stroked="f" coordsize="21600,21600">
            <v:path/>
            <v:fill on="f" focussize="0,0"/>
            <v:stroke on="f"/>
            <v:imagedata r:id="rId13" o:title=""/>
            <o:lock v:ext="edit" aspectratio="t"/>
            <w10:wrap type="square"/>
          </v:shape>
          <o:OLEObject Type="Embed" ProgID="Excel.Chart.8" ShapeID="_x0000_s1133" DrawAspect="Content" ObjectID="_1468075727" r:id="rId12">
            <o:LockedField>false</o:LockedField>
          </o:OLEObject>
        </w:pic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7030.81</w:t>
      </w:r>
      <w:r>
        <w:rPr>
          <w:rFonts w:hint="eastAsia" w:ascii="仿宋_GB2312" w:eastAsia="仿宋_GB2312" w:cs="DengXian-Regular"/>
          <w:sz w:val="32"/>
          <w:szCs w:val="32"/>
        </w:rPr>
        <w:t>万元，主要用于以下方面一般公共服务（类）支出</w:t>
      </w:r>
      <w:r>
        <w:rPr>
          <w:rFonts w:hint="eastAsia" w:ascii="仿宋_GB2312" w:eastAsia="仿宋_GB2312" w:cs="DengXian-Regular"/>
          <w:sz w:val="32"/>
          <w:szCs w:val="32"/>
          <w:lang w:val="en-US" w:eastAsia="zh-CN"/>
        </w:rPr>
        <w:t>631.48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8.98</w:t>
      </w:r>
      <w:r>
        <w:rPr>
          <w:rFonts w:ascii="仿宋_GB2312" w:eastAsia="仿宋_GB2312" w:cs="DengXian-Regular"/>
          <w:sz w:val="32"/>
          <w:szCs w:val="32"/>
        </w:rPr>
        <w:t>%</w:t>
      </w:r>
      <w:r>
        <w:rPr>
          <w:rFonts w:hint="eastAsia" w:ascii="仿宋_GB2312" w:eastAsia="仿宋_GB2312" w:cs="DengXian-Regular"/>
          <w:sz w:val="32"/>
          <w:szCs w:val="32"/>
        </w:rPr>
        <w:t>；社会保障和就业（类）支出</w:t>
      </w:r>
      <w:r>
        <w:rPr>
          <w:rFonts w:hint="eastAsia" w:ascii="仿宋_GB2312" w:eastAsia="仿宋_GB2312" w:cs="DengXian-Regular"/>
          <w:sz w:val="32"/>
          <w:szCs w:val="32"/>
          <w:lang w:val="en-US" w:eastAsia="zh-CN"/>
        </w:rPr>
        <w:t>13.83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0.20</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城乡社区支出6070.25万元，占86.34%，农林水支出156.01万元，占2.22%，</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32.55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2.26</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ind w:firstLine="420" w:firstLine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5888;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928.16</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655.60</w:t>
      </w:r>
      <w:r>
        <w:rPr>
          <w:rFonts w:hint="eastAsia" w:ascii="仿宋_GB2312" w:eastAsia="仿宋_GB2312" w:cs="DengXian-Regular"/>
          <w:sz w:val="32"/>
          <w:szCs w:val="32"/>
        </w:rPr>
        <w:t>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272.56</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5.99</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0.01</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0.17</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w:t>
      </w:r>
      <w:r>
        <w:rPr>
          <w:rFonts w:hint="eastAsia" w:ascii="仿宋_GB2312" w:eastAsia="仿宋_GB2312" w:cs="DengXian-Regular"/>
          <w:sz w:val="32"/>
          <w:szCs w:val="32"/>
        </w:rPr>
        <w:t>具体情况如下：</w:t>
      </w:r>
    </w:p>
    <w:p>
      <w:pPr>
        <w:numPr>
          <w:ilvl w:val="0"/>
          <w:numId w:val="0"/>
        </w:numPr>
        <w:adjustRightInd w:val="0"/>
        <w:snapToGrid w:val="0"/>
        <w:spacing w:line="580" w:lineRule="exact"/>
        <w:ind w:firstLine="643" w:firstLineChars="200"/>
        <w:rPr>
          <w:rFonts w:hint="default" w:ascii="仿宋_GB2312" w:hAnsi="Times New Roman" w:eastAsia="仿宋_GB2312" w:cs="DengXian-Regular"/>
          <w:sz w:val="32"/>
          <w:szCs w:val="32"/>
          <w:lang w:val="en-US"/>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86912;mso-width-relative:page;mso-height-relative:page;" coordorigin="4551,52615" coordsize="8546,1398">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val="en-US" w:eastAsia="zh-CN"/>
        </w:rPr>
        <w:t>未发生</w:t>
      </w:r>
      <w:r>
        <w:rPr>
          <w:rFonts w:hint="eastAsia" w:ascii="仿宋_GB2312" w:hAnsi="Times New Roman" w:eastAsia="仿宋_GB2312" w:cs="DengXian-Regular"/>
          <w:sz w:val="32"/>
          <w:szCs w:val="32"/>
        </w:rPr>
        <w:t>因公出国（境）团组</w:t>
      </w:r>
      <w:r>
        <w:rPr>
          <w:rFonts w:hint="eastAsia" w:ascii="仿宋_GB2312" w:hAnsi="Times New Roman" w:eastAsia="仿宋_GB2312" w:cs="DengXian-Regular"/>
          <w:sz w:val="32"/>
          <w:szCs w:val="32"/>
          <w:lang w:eastAsia="zh-CN"/>
        </w:rPr>
        <w:t>。</w:t>
      </w:r>
      <w:r>
        <w:rPr>
          <w:rFonts w:hint="eastAsia" w:ascii="仿宋_GB2312" w:eastAsia="仿宋_GB2312" w:cs="DengXian-Regular"/>
          <w:sz w:val="32"/>
          <w:szCs w:val="32"/>
          <w:lang w:val="en-US" w:eastAsia="zh-CN"/>
        </w:rPr>
        <w:t>0组次0人次。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5.99</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0.01</w:t>
      </w:r>
      <w:r>
        <w:rPr>
          <w:rFonts w:hint="eastAsia" w:ascii="仿宋_GB2312" w:eastAsia="仿宋_GB2312" w:cs="DengXian-Regular"/>
          <w:sz w:val="32"/>
          <w:szCs w:val="32"/>
        </w:rPr>
        <w:t>万元，</w:t>
      </w:r>
      <w:r>
        <w:rPr>
          <w:rFonts w:hint="eastAsia" w:ascii="仿宋_GB2312" w:eastAsia="仿宋_GB2312" w:cs="DengXian-Regular"/>
          <w:b w:val="0"/>
          <w:bCs w:val="0"/>
          <w:sz w:val="32"/>
          <w:szCs w:val="32"/>
          <w:lang w:val="en-US" w:eastAsia="zh-CN"/>
        </w:rPr>
        <w:t>降低0.17%，</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color w:val="000000"/>
          <w:sz w:val="32"/>
          <w:szCs w:val="32"/>
          <w:lang w:eastAsia="zh-CN"/>
        </w:rPr>
      </w:pPr>
      <w:r>
        <w:rPr>
          <w:rFonts w:hint="eastAsia" w:ascii="仿宋_GB2312" w:eastAsia="仿宋_GB2312" w:cs="DengXian-Regular"/>
          <w:b/>
          <w:sz w:val="32"/>
          <w:szCs w:val="32"/>
        </w:rPr>
        <w:t>公务用车购置费</w:t>
      </w:r>
      <w:r>
        <w:rPr>
          <w:rFonts w:hint="eastAsia" w:ascii="仿宋_GB2312" w:eastAsia="仿宋_GB2312" w:cs="DengXian-Regular"/>
          <w:b/>
          <w:sz w:val="32"/>
          <w:szCs w:val="32"/>
          <w:lang w:val="en-US" w:eastAsia="zh-CN"/>
        </w:rPr>
        <w:t>0元</w:t>
      </w:r>
      <w:r>
        <w:rPr>
          <w:rFonts w:hint="eastAsia" w:ascii="仿宋_GB2312" w:eastAsia="仿宋_GB2312" w:cs="DengXian-Regular"/>
          <w:b/>
          <w:sz w:val="32"/>
          <w:szCs w:val="32"/>
          <w:lang w:eastAsia="zh-CN"/>
        </w:rPr>
        <w:t>：</w:t>
      </w:r>
      <w:r>
        <w:rPr>
          <w:rFonts w:hint="eastAsia" w:ascii="仿宋_GB2312" w:eastAsia="仿宋_GB2312" w:cs="DengXian-Regular"/>
          <w:b w:val="0"/>
          <w:bCs/>
          <w:sz w:val="32"/>
          <w:szCs w:val="32"/>
          <w:lang w:val="en-US" w:eastAsia="zh-CN"/>
        </w:rPr>
        <w:t>本年度</w:t>
      </w:r>
      <w:r>
        <w:rPr>
          <w:rFonts w:hint="eastAsia" w:ascii="仿宋_GB2312" w:eastAsia="仿宋_GB2312" w:cs="DengXian-Regular"/>
          <w:sz w:val="32"/>
          <w:szCs w:val="32"/>
        </w:rPr>
        <w:t>未发生‘公务用车购置’经费</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与年初预算持平</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0.01</w:t>
      </w:r>
      <w:r>
        <w:rPr>
          <w:rFonts w:hint="eastAsia" w:ascii="仿宋_GB2312" w:eastAsia="仿宋_GB2312" w:cs="DengXian-Regular"/>
          <w:sz w:val="32"/>
          <w:szCs w:val="32"/>
        </w:rPr>
        <w:t>万元，</w:t>
      </w:r>
      <w:r>
        <w:rPr>
          <w:rFonts w:hint="eastAsia" w:ascii="仿宋_GB2312" w:eastAsia="仿宋_GB2312" w:cs="DengXian-Regular"/>
          <w:b w:val="0"/>
          <w:bCs w:val="0"/>
          <w:sz w:val="32"/>
          <w:szCs w:val="32"/>
        </w:rPr>
        <w:t>降低</w:t>
      </w:r>
      <w:r>
        <w:rPr>
          <w:rFonts w:hint="eastAsia" w:ascii="仿宋_GB2312" w:eastAsia="仿宋_GB2312" w:cs="DengXian-Regular"/>
          <w:b w:val="0"/>
          <w:bCs w:val="0"/>
          <w:sz w:val="32"/>
          <w:szCs w:val="32"/>
          <w:lang w:val="en-US" w:eastAsia="zh-CN"/>
        </w:rPr>
        <w:t>0.17</w:t>
      </w:r>
      <w:r>
        <w:rPr>
          <w:rFonts w:ascii="仿宋_GB2312" w:eastAsia="仿宋_GB2312" w:cs="DengXian-Regular"/>
          <w:b w:val="0"/>
          <w:bCs w:val="0"/>
          <w:sz w:val="32"/>
          <w:szCs w:val="32"/>
        </w:rPr>
        <w:t>%</w:t>
      </w:r>
      <w:r>
        <w:rPr>
          <w:rFonts w:hint="eastAsia" w:ascii="仿宋_GB2312" w:eastAsia="仿宋_GB2312" w:cs="DengXian-Regular"/>
          <w:b w:val="0"/>
          <w:bCs w:val="0"/>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w:t>
      </w:r>
    </w:p>
    <w:p>
      <w:pPr>
        <w:numPr>
          <w:ilvl w:val="0"/>
          <w:numId w:val="2"/>
        </w:numPr>
        <w:adjustRightInd w:val="0"/>
        <w:snapToGrid w:val="0"/>
        <w:spacing w:after="0" w:line="580" w:lineRule="exact"/>
        <w:ind w:left="420" w:leftChars="200" w:firstLine="0" w:firstLineChars="0"/>
        <w:rPr>
          <w:rFonts w:hint="eastAsia" w:ascii="仿宋_GB2312" w:eastAsia="仿宋_GB2312" w:cs="DengXian-Regular"/>
          <w:sz w:val="32"/>
          <w:szCs w:val="32"/>
          <w:lang w:val="en-US" w:eastAsia="zh-CN"/>
        </w:rPr>
      </w:pPr>
      <w:r>
        <w:rPr>
          <w:rFonts w:hint="eastAsia" w:ascii="楷体_GB2312" w:eastAsia="楷体_GB2312" w:cs="DengXian-Bold"/>
          <w:b/>
          <w:bCs/>
          <w:sz w:val="32"/>
          <w:szCs w:val="32"/>
        </w:rPr>
        <w:t>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default" w:ascii="仿宋_GB2312" w:eastAsia="仿宋_GB2312" w:cs="DengXian-Regular"/>
          <w:sz w:val="32"/>
          <w:szCs w:val="32"/>
          <w:lang w:val="en-US"/>
        </w:rPr>
        <w:pict>
          <v:group id="_x0000_s1109" o:spid="_x0000_s1109" o:spt="203" style="position:absolute;left:0pt;margin-left:-79.5pt;margin-top:29.3pt;height:43.95pt;width:301.85pt;mso-position-vertical-relative:page;z-index:251687936;mso-width-relative:page;mso-height-relative:page;" coordorigin="4551,52615" coordsize="8546,1398">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lang w:val="en-US" w:eastAsia="zh-CN"/>
        </w:rPr>
        <w:t>未发生公务接待。0批次0人次。</w:t>
      </w:r>
    </w:p>
    <w:p>
      <w:pPr>
        <w:numPr>
          <w:ilvl w:val="0"/>
          <w:numId w:val="0"/>
        </w:numPr>
        <w:adjustRightInd w:val="0"/>
        <w:snapToGrid w:val="0"/>
        <w:spacing w:after="0" w:line="580" w:lineRule="exact"/>
        <w:ind w:leftChars="200"/>
        <w:rPr>
          <w:rFonts w:hint="default" w:ascii="仿宋_GB2312" w:eastAsia="仿宋_GB2312" w:cs="DengXian-Regular"/>
          <w:sz w:val="32"/>
          <w:szCs w:val="32"/>
          <w:lang w:val="en-US" w:eastAsia="zh-CN"/>
        </w:rPr>
      </w:pP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ind w:firstLine="640" w:firstLineChars="200"/>
        <w:rPr>
          <w:rFonts w:ascii="仿宋_GB2312" w:hAnsi="仿宋_GB2312" w:eastAsia="仿宋_GB2312" w:cs="仿宋_GB2312"/>
          <w:sz w:val="32"/>
          <w:szCs w:val="32"/>
        </w:rPr>
      </w:pPr>
      <w:r>
        <w:rPr>
          <w:rFonts w:hint="eastAsia" w:ascii="仿宋_GB2312" w:eastAsia="仿宋_GB2312" w:cs="DengXian-Regular"/>
          <w:sz w:val="32"/>
          <w:szCs w:val="32"/>
        </w:rPr>
        <w:t>（一）预算绩效管理工作开展情况。</w:t>
      </w:r>
      <w:r>
        <w:rPr>
          <w:rFonts w:hint="eastAsia" w:ascii="仿宋_GB2312" w:hAnsi="仿宋_GB2312" w:eastAsia="仿宋_GB2312" w:cs="仿宋_GB2312"/>
          <w:sz w:val="32"/>
          <w:szCs w:val="32"/>
        </w:rPr>
        <w:t>绩效目标实现程度达到100%以上的项目有</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个。绩效目标实现程度达到100%以</w:t>
      </w:r>
      <w:r>
        <w:rPr>
          <w:rFonts w:hint="eastAsia" w:ascii="仿宋_GB2312" w:hAnsi="仿宋_GB2312" w:eastAsia="仿宋_GB2312" w:cs="仿宋_GB2312"/>
          <w:sz w:val="32"/>
          <w:szCs w:val="32"/>
          <w:lang w:val="en-US" w:eastAsia="zh-CN"/>
        </w:rPr>
        <w:t>下</w:t>
      </w:r>
      <w:r>
        <w:rPr>
          <w:rFonts w:hint="eastAsia" w:ascii="仿宋_GB2312" w:hAnsi="仿宋_GB2312" w:eastAsia="仿宋_GB2312" w:cs="仿宋_GB2312"/>
          <w:sz w:val="32"/>
          <w:szCs w:val="32"/>
        </w:rPr>
        <w:t>的项目有</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w:t>
      </w:r>
    </w:p>
    <w:p>
      <w:pPr>
        <w:ind w:firstLine="640" w:firstLineChars="200"/>
        <w:rPr>
          <w:rFonts w:hint="eastAsia" w:ascii="仿宋_GB2312" w:hAnsi="仿宋_GB2312" w:eastAsia="仿宋_GB2312" w:cs="仿宋_GB2312"/>
          <w:sz w:val="32"/>
          <w:szCs w:val="32"/>
        </w:rPr>
      </w:pPr>
      <w:r>
        <w:rPr>
          <w:rFonts w:hint="eastAsia" w:ascii="仿宋_GB2312" w:eastAsia="仿宋_GB2312" w:cs="DengXian-Regular"/>
          <w:sz w:val="32"/>
          <w:szCs w:val="32"/>
        </w:rPr>
        <w:t>（二）项目绩效自评结果。</w:t>
      </w:r>
      <w:r>
        <w:rPr>
          <w:rFonts w:hint="eastAsia" w:ascii="仿宋_GB2312" w:hAnsi="仿宋_GB2312" w:eastAsia="仿宋_GB2312" w:cs="仿宋_GB2312"/>
          <w:sz w:val="32"/>
          <w:szCs w:val="32"/>
        </w:rPr>
        <w:t>年底实现绩效目标的项目有</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个，涉及资金</w:t>
      </w:r>
      <w:r>
        <w:rPr>
          <w:rFonts w:hint="eastAsia" w:ascii="仿宋_GB2312" w:hAnsi="仿宋_GB2312" w:eastAsia="仿宋_GB2312" w:cs="仿宋_GB2312"/>
          <w:sz w:val="32"/>
          <w:szCs w:val="32"/>
          <w:lang w:val="en-US" w:eastAsia="zh-CN"/>
        </w:rPr>
        <w:t>6102.65</w:t>
      </w:r>
      <w:r>
        <w:rPr>
          <w:rFonts w:hint="eastAsia" w:ascii="仿宋_GB2312" w:hAnsi="仿宋_GB2312" w:eastAsia="仿宋_GB2312" w:cs="仿宋_GB2312"/>
          <w:sz w:val="32"/>
          <w:szCs w:val="32"/>
        </w:rPr>
        <w:t>万元具体统计表如下：</w:t>
      </w:r>
    </w:p>
    <w:tbl>
      <w:tblPr>
        <w:tblStyle w:val="12"/>
        <w:tblpPr w:leftFromText="180" w:rightFromText="180" w:vertAnchor="text" w:horzAnchor="page" w:tblpX="1738" w:tblpY="847"/>
        <w:tblOverlap w:val="never"/>
        <w:tblW w:w="9460" w:type="dxa"/>
        <w:tblInd w:w="0" w:type="dxa"/>
        <w:tblLayout w:type="fixed"/>
        <w:tblCellMar>
          <w:top w:w="0" w:type="dxa"/>
          <w:left w:w="108" w:type="dxa"/>
          <w:bottom w:w="0" w:type="dxa"/>
          <w:right w:w="108" w:type="dxa"/>
        </w:tblCellMar>
      </w:tblPr>
      <w:tblGrid>
        <w:gridCol w:w="1360"/>
        <w:gridCol w:w="1774"/>
        <w:gridCol w:w="1246"/>
        <w:gridCol w:w="1240"/>
        <w:gridCol w:w="1060"/>
        <w:gridCol w:w="1500"/>
        <w:gridCol w:w="1280"/>
      </w:tblGrid>
      <w:tr>
        <w:tblPrEx>
          <w:tblCellMar>
            <w:top w:w="0" w:type="dxa"/>
            <w:left w:w="108" w:type="dxa"/>
            <w:bottom w:w="0" w:type="dxa"/>
            <w:right w:w="108" w:type="dxa"/>
          </w:tblCellMar>
        </w:tblPrEx>
        <w:trPr>
          <w:trHeight w:val="645" w:hRule="atLeast"/>
        </w:trPr>
        <w:tc>
          <w:tcPr>
            <w:tcW w:w="136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部门名称</w:t>
            </w:r>
          </w:p>
        </w:tc>
        <w:tc>
          <w:tcPr>
            <w:tcW w:w="177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项目名称</w:t>
            </w:r>
          </w:p>
        </w:tc>
        <w:tc>
          <w:tcPr>
            <w:tcW w:w="124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资金数额（万元）</w:t>
            </w:r>
          </w:p>
        </w:tc>
        <w:tc>
          <w:tcPr>
            <w:tcW w:w="124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12月底绩效目标实现程度（%）</w:t>
            </w:r>
          </w:p>
        </w:tc>
        <w:tc>
          <w:tcPr>
            <w:tcW w:w="3840"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预计年底绩效目标实现情况</w:t>
            </w:r>
          </w:p>
        </w:tc>
      </w:tr>
      <w:tr>
        <w:tblPrEx>
          <w:tblCellMar>
            <w:top w:w="0" w:type="dxa"/>
            <w:left w:w="108" w:type="dxa"/>
            <w:bottom w:w="0" w:type="dxa"/>
            <w:right w:w="108" w:type="dxa"/>
          </w:tblCellMar>
        </w:tblPrEx>
        <w:trPr>
          <w:trHeight w:val="645" w:hRule="atLeast"/>
        </w:trPr>
        <w:tc>
          <w:tcPr>
            <w:tcW w:w="13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77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4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4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06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能实现</w:t>
            </w:r>
          </w:p>
        </w:tc>
        <w:tc>
          <w:tcPr>
            <w:tcW w:w="150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不能完全实现</w:t>
            </w:r>
          </w:p>
        </w:tc>
        <w:tc>
          <w:tcPr>
            <w:tcW w:w="128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差距较大</w:t>
            </w:r>
          </w:p>
        </w:tc>
      </w:tr>
      <w:tr>
        <w:tblPrEx>
          <w:tblCellMar>
            <w:top w:w="0" w:type="dxa"/>
            <w:left w:w="108" w:type="dxa"/>
            <w:bottom w:w="0" w:type="dxa"/>
            <w:right w:w="108" w:type="dxa"/>
          </w:tblCellMar>
        </w:tblPrEx>
        <w:trPr>
          <w:trHeight w:val="495" w:hRule="atLeast"/>
        </w:trPr>
        <w:tc>
          <w:tcPr>
            <w:tcW w:w="136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2018年春季植树费用</w:t>
            </w:r>
          </w:p>
        </w:tc>
        <w:tc>
          <w:tcPr>
            <w:tcW w:w="124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4</w:t>
            </w:r>
          </w:p>
        </w:tc>
        <w:tc>
          <w:tcPr>
            <w:tcW w:w="124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　</w:t>
            </w:r>
          </w:p>
        </w:tc>
        <w:tc>
          <w:tcPr>
            <w:tcW w:w="1280"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　</w:t>
            </w:r>
          </w:p>
        </w:tc>
      </w:tr>
      <w:tr>
        <w:tblPrEx>
          <w:tblCellMar>
            <w:top w:w="0" w:type="dxa"/>
            <w:left w:w="108" w:type="dxa"/>
            <w:bottom w:w="0" w:type="dxa"/>
            <w:right w:w="108" w:type="dxa"/>
          </w:tblCellMar>
        </w:tblPrEx>
        <w:trPr>
          <w:trHeight w:val="495" w:hRule="atLeast"/>
        </w:trPr>
        <w:tc>
          <w:tcPr>
            <w:tcW w:w="136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保阜高速保定市西下道口合围耕地流转经费</w:t>
            </w:r>
          </w:p>
        </w:tc>
        <w:tc>
          <w:tcPr>
            <w:tcW w:w="124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w:t>
            </w:r>
          </w:p>
        </w:tc>
        <w:tc>
          <w:tcPr>
            <w:tcW w:w="124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FF0000"/>
                <w:kern w:val="0"/>
                <w:sz w:val="18"/>
                <w:szCs w:val="18"/>
              </w:rPr>
            </w:pPr>
            <w:r>
              <w:rPr>
                <w:rFonts w:hint="eastAsia" w:ascii="仿宋_GB2312" w:hAnsi="仿宋_GB2312" w:eastAsia="仿宋_GB2312" w:cs="仿宋_GB2312"/>
                <w:color w:val="FF0000"/>
                <w:kern w:val="0"/>
                <w:sz w:val="18"/>
                <w:szCs w:val="18"/>
              </w:rPr>
              <w:t>　</w:t>
            </w:r>
          </w:p>
        </w:tc>
        <w:tc>
          <w:tcPr>
            <w:tcW w:w="1280"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FF0000"/>
                <w:kern w:val="0"/>
                <w:sz w:val="18"/>
                <w:szCs w:val="18"/>
              </w:rPr>
            </w:pPr>
            <w:r>
              <w:rPr>
                <w:rFonts w:hint="eastAsia" w:ascii="仿宋_GB2312" w:hAnsi="仿宋_GB2312" w:eastAsia="仿宋_GB2312" w:cs="仿宋_GB2312"/>
                <w:color w:val="FF0000"/>
                <w:kern w:val="0"/>
                <w:sz w:val="18"/>
                <w:szCs w:val="18"/>
              </w:rPr>
              <w:t>　</w:t>
            </w:r>
          </w:p>
        </w:tc>
      </w:tr>
      <w:tr>
        <w:tblPrEx>
          <w:tblCellMar>
            <w:top w:w="0" w:type="dxa"/>
            <w:left w:w="108" w:type="dxa"/>
            <w:bottom w:w="0" w:type="dxa"/>
            <w:right w:w="108" w:type="dxa"/>
          </w:tblCellMar>
        </w:tblPrEx>
        <w:trPr>
          <w:trHeight w:val="495" w:hRule="atLeast"/>
        </w:trPr>
        <w:tc>
          <w:tcPr>
            <w:tcW w:w="136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保沧保阜高速占地补偿款（郭村 郎村）</w:t>
            </w:r>
          </w:p>
        </w:tc>
        <w:tc>
          <w:tcPr>
            <w:tcW w:w="1246"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31.16</w:t>
            </w:r>
          </w:p>
        </w:tc>
        <w:tc>
          <w:tcPr>
            <w:tcW w:w="124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nil"/>
              <w:left w:val="nil"/>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　</w:t>
            </w:r>
          </w:p>
        </w:tc>
        <w:tc>
          <w:tcPr>
            <w:tcW w:w="1280" w:type="dxa"/>
            <w:tcBorders>
              <w:top w:val="nil"/>
              <w:left w:val="nil"/>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　</w:t>
            </w: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修缮办公楼经费</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FF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FF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河北京车造车基地项目、新兴产业园污水处理厂一期工程征迁占如期完成事项经费经费奖励</w:t>
            </w: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河北京车造车基地项目征地经费</w:t>
            </w: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3.9</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基层组织运转和党建提升经费</w:t>
            </w: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45.476</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信访维稳工作经费</w:t>
            </w: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6.62</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107国道两侧路灯电费</w:t>
            </w: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5.394</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99.28</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河北京车造车基地项目征地经费</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30</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FF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FF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(综）乡镇环保所专项建设资金</w:t>
            </w: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5</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(综）京车造车旭田商贸有限公司搬迁土地补偿款</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3015</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（综）京车项目110kv电力线路塔基占地补偿款</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FF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FF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(综)京车造车基地项目征地剩余资金</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173.43</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FF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(综）107国道两侧牌匾制作安装费</w:t>
            </w:r>
          </w:p>
          <w:p>
            <w:pPr>
              <w:widowControl/>
              <w:jc w:val="center"/>
              <w:rPr>
                <w:rFonts w:hint="eastAsia" w:ascii="仿宋_GB2312" w:hAnsi="仿宋_GB2312" w:eastAsia="仿宋_GB2312" w:cs="仿宋_GB2312"/>
                <w:color w:val="FF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60</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FF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（综）107国道综合整治提升经费</w:t>
            </w:r>
          </w:p>
          <w:p>
            <w:pPr>
              <w:widowControl/>
              <w:jc w:val="center"/>
              <w:rPr>
                <w:rFonts w:hint="eastAsia" w:ascii="仿宋_GB2312" w:hAnsi="仿宋_GB2312" w:eastAsia="仿宋_GB2312" w:cs="仿宋_GB2312"/>
                <w:color w:val="FF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18</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FF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2017年度正常离任村书记、村主任离任生活补贴</w:t>
            </w:r>
          </w:p>
          <w:p>
            <w:pPr>
              <w:widowControl/>
              <w:jc w:val="center"/>
              <w:rPr>
                <w:rFonts w:hint="eastAsia" w:ascii="仿宋_GB2312" w:hAnsi="仿宋_GB2312" w:eastAsia="仿宋_GB2312" w:cs="仿宋_GB2312"/>
                <w:color w:val="FF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0.62</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FF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“散乱污”企业治理资金</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4.8</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FF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107国道两侧路灯电费</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3</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99.87</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FF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涉军人员维稳经费</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2</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农村、河道垃圾清理补助</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90</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2017年农村保洁员补贴</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31.68</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495" w:hRule="atLeast"/>
        </w:trPr>
        <w:tc>
          <w:tcPr>
            <w:tcW w:w="13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于家庄乡人民政府</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（综）京车造车拨付旭田贸易有限公司搬迁补偿款</w:t>
            </w:r>
          </w:p>
          <w:p>
            <w:pPr>
              <w:widowControl/>
              <w:jc w:val="center"/>
              <w:rPr>
                <w:rFonts w:hint="eastAsia" w:ascii="仿宋_GB2312" w:hAnsi="仿宋_GB2312" w:eastAsia="仿宋_GB2312" w:cs="仿宋_GB2312"/>
                <w:color w:val="000000"/>
                <w:kern w:val="0"/>
                <w:sz w:val="18"/>
                <w:szCs w:val="18"/>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2793.83</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100</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仿宋_GB2312" w:eastAsia="仿宋_GB2312" w:cs="仿宋_GB2312"/>
                <w:color w:val="000000"/>
                <w:kern w:val="0"/>
                <w:sz w:val="18"/>
                <w:szCs w:val="18"/>
              </w:rPr>
            </w:pPr>
            <w:r>
              <w:rPr>
                <w:rFonts w:hint="eastAsia" w:ascii="仿宋_GB2312" w:hAnsi="仿宋_GB2312" w:eastAsia="仿宋_GB2312" w:cs="仿宋_GB2312"/>
                <w:color w:val="000000"/>
                <w:kern w:val="0"/>
                <w:sz w:val="18"/>
                <w:szCs w:val="18"/>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hAnsi="仿宋_GB2312" w:eastAsia="仿宋_GB2312" w:cs="仿宋_GB2312"/>
                <w:color w:val="000000"/>
                <w:kern w:val="0"/>
                <w:sz w:val="18"/>
                <w:szCs w:val="18"/>
              </w:rPr>
            </w:pPr>
          </w:p>
        </w:tc>
      </w:tr>
    </w:tbl>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偏差原因分析：存在项目执行绩效与绩效目标发生偏离情况原因：年初预算数据较大，实际执行数据较小。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监控过程中采取的整改措施及整改结果。</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整改措施：未完成的项目资金退回财政，下年年初预算项目录入数据以实际情况为依据，力求数据准确。</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整改结果：无。</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下一步监控工作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是主动加强日常自行监控工作。按照预算绩效管理有关规定，对照项目绩效目标，对所负责项目的执行过程以及资金使用和管理情况进行跟踪监控，及时掌握项目绩效目标的完成情况、项目实施进程和资金支出进度，对于绩效目标执行正常项目，提出下一步保障目标实现的具体措施；对于执行出现偏差的项目，结合原因分析，提出整改措施；对于预计年底无法实现的项目，提出调整意见；对于执行中出现重大问题的，提出绩效问责处理意见。</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是积极配合上级财政部门的重点监控工作。对上级财政部门进行的绩效跟踪管理，进行数据收集、整理工作，撰写监控报告，按要求上报，及时反应监控中的有关问题，加强与上级财政部门的沟通、协调和联系，密切配合，共同促进该项工作规范、有序、顺利开展。</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（三）重点项目绩效评价结果。</w:t>
      </w:r>
    </w:p>
    <w:p>
      <w:pPr>
        <w:rPr>
          <w:rFonts w:eastAsia="仿宋_GB2312"/>
        </w:rPr>
      </w:pPr>
      <w:r>
        <w:rPr>
          <w:rFonts w:hint="eastAsia" w:ascii="仿宋_GB2312" w:eastAsia="仿宋_GB2312" w:cs="DengXian-Regular"/>
          <w:sz w:val="32"/>
          <w:szCs w:val="32"/>
        </w:rPr>
        <w:t xml:space="preserve">     </w:t>
      </w:r>
      <w:r>
        <w:rPr>
          <w:rFonts w:hint="eastAsia" w:ascii="仿宋_GB2312" w:eastAsia="仿宋_GB2312" w:cs="DengXian-Regular"/>
          <w:sz w:val="32"/>
          <w:szCs w:val="32"/>
          <w:lang w:val="en-US" w:eastAsia="zh-CN"/>
        </w:rPr>
        <w:t xml:space="preserve">   </w:t>
      </w:r>
      <w:r>
        <w:rPr>
          <w:rFonts w:hint="eastAsia" w:ascii="仿宋_GB2312" w:eastAsia="仿宋_GB2312" w:cs="DengXian-Regular"/>
          <w:sz w:val="32"/>
          <w:szCs w:val="32"/>
        </w:rPr>
        <w:t xml:space="preserve"> 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272.56</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226.08</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486.40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京车造车项目增加办公费用，由于节能环保、农林水支出产生的租赁以及劳务费用等</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hAnsi="仿宋_GB2312" w:eastAsia="仿宋_GB2312" w:cs="仿宋_GB2312"/>
          <w:b w:val="0"/>
          <w:bCs w:val="0"/>
          <w:color w:val="000000"/>
          <w:kern w:val="0"/>
          <w:sz w:val="32"/>
          <w:szCs w:val="32"/>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w:t>
      </w:r>
      <w:r>
        <w:rPr>
          <w:rFonts w:hint="eastAsia" w:ascii="仿宋_GB2312" w:eastAsia="仿宋_GB2312" w:cs="DengXian-Regular"/>
          <w:b w:val="0"/>
          <w:bCs w:val="0"/>
          <w:sz w:val="32"/>
          <w:szCs w:val="32"/>
          <w:lang w:val="en-US" w:eastAsia="zh-CN"/>
        </w:rPr>
        <w:t>8</w:t>
      </w:r>
      <w:r>
        <w:rPr>
          <w:rFonts w:hint="eastAsia" w:ascii="仿宋_GB2312" w:hAnsi="Times New Roman" w:eastAsia="仿宋_GB2312" w:cs="DengXian-Regular"/>
          <w:b w:val="0"/>
          <w:bCs w:val="0"/>
          <w:sz w:val="32"/>
          <w:szCs w:val="32"/>
        </w:rPr>
        <w:t>年度政府采购支出总额</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hAnsi="Times New Roman" w:eastAsia="仿宋_GB2312" w:cs="DengXian-Regular"/>
          <w:sz w:val="32"/>
          <w:szCs w:val="32"/>
        </w:rPr>
        <w:t>截至</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w:t>
      </w:r>
      <w:r>
        <w:rPr>
          <w:rFonts w:ascii="仿宋_GB2312" w:hAnsi="Times New Roman" w:eastAsia="仿宋_GB2312" w:cs="DengXian-Regular"/>
          <w:sz w:val="32"/>
          <w:szCs w:val="32"/>
        </w:rPr>
        <w:t>12</w:t>
      </w:r>
      <w:r>
        <w:rPr>
          <w:rFonts w:hint="eastAsia" w:ascii="仿宋_GB2312" w:hAnsi="Times New Roman" w:eastAsia="仿宋_GB2312" w:cs="DengXian-Regular"/>
          <w:sz w:val="32"/>
          <w:szCs w:val="32"/>
        </w:rPr>
        <w:t>月</w:t>
      </w:r>
      <w:r>
        <w:rPr>
          <w:rFonts w:ascii="仿宋_GB2312" w:hAnsi="Times New Roman" w:eastAsia="仿宋_GB2312" w:cs="DengXian-Regular"/>
          <w:sz w:val="32"/>
          <w:szCs w:val="32"/>
        </w:rPr>
        <w:t>31</w:t>
      </w:r>
      <w:r>
        <w:rPr>
          <w:rFonts w:hint="eastAsia" w:ascii="仿宋_GB2312" w:hAnsi="Times New Roman" w:eastAsia="仿宋_GB2312" w:cs="DengXian-Regular"/>
          <w:sz w:val="32"/>
          <w:szCs w:val="32"/>
        </w:rPr>
        <w:t>日，本部门共有车辆</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val="en-US" w:eastAsia="zh-CN"/>
        </w:rPr>
        <w:t>与上年持平。</w:t>
      </w:r>
      <w:r>
        <w:rPr>
          <w:rFonts w:hint="eastAsia" w:ascii="仿宋_GB2312" w:hAnsi="Times New Roman" w:eastAsia="仿宋_GB2312" w:cs="DengXian-Regular"/>
          <w:sz w:val="32"/>
          <w:szCs w:val="32"/>
        </w:rPr>
        <w:t>其中，主要领导干部用车</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hAnsi="Times New Roman" w:eastAsia="仿宋_GB2312" w:cs="DengXian-Regular"/>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1.本部门201</w:t>
      </w:r>
      <w:r>
        <w:rPr>
          <w:rFonts w:hint="eastAsia" w:ascii="仿宋" w:hAnsi="仿宋" w:eastAsia="仿宋" w:cs="DengXian-Regular"/>
          <w:sz w:val="32"/>
          <w:szCs w:val="32"/>
          <w:lang w:val="en-US" w:eastAsia="zh-CN"/>
        </w:rPr>
        <w:t>8</w:t>
      </w:r>
      <w:r>
        <w:rPr>
          <w:rFonts w:hint="eastAsia" w:ascii="仿宋" w:hAnsi="仿宋" w:eastAsia="仿宋" w:cs="DengXian-Regular"/>
          <w:sz w:val="32"/>
          <w:szCs w:val="32"/>
        </w:rPr>
        <w:t>年度国有资本经营预算财政拨款无收支及结转结余情况，故国有资本经营预算财政拨款支出决算表以空表列示。</w:t>
      </w:r>
    </w:p>
    <w:p>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2.由于决算公开表格中金额数值应当保留两位小数，公开数据为四舍五入计算结果，个别数据合计项与分项之和存在小数点后差额，特此说明。</w:t>
      </w:r>
    </w:p>
    <w:p>
      <w:pPr>
        <w:widowControl/>
        <w:spacing w:line="580" w:lineRule="exact"/>
        <w:ind w:firstLine="640" w:firstLineChars="200"/>
        <w:jc w:val="left"/>
        <w:rPr>
          <w:rFonts w:ascii="仿宋" w:hAnsi="仿宋" w:eastAsia="仿宋" w:cs="DengXian-Regular"/>
          <w:sz w:val="32"/>
          <w:szCs w:val="32"/>
        </w:rPr>
        <w:sectPr>
          <w:pgSz w:w="11906" w:h="16838"/>
          <w:pgMar w:top="2098" w:right="1474" w:bottom="1984" w:left="1588" w:header="851" w:footer="992" w:gutter="0"/>
          <w:pgNumType w:fmt="numberInDash"/>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8960;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89984;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29"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14"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ED9F901-2076-4696-B4DA-CD7D44D5239F}"/>
  </w:font>
  <w:font w:name="Arial">
    <w:panose1 w:val="020B0604020202020204"/>
    <w:charset w:val="01"/>
    <w:family w:val="swiss"/>
    <w:pitch w:val="default"/>
    <w:sig w:usb0="E0002EFF" w:usb1="C000785B" w:usb2="00000009" w:usb3="00000000" w:csb0="400001FF" w:csb1="FFFF0000"/>
    <w:embedRegular r:id="rId2" w:fontKey="{754EE4B3-8008-4AB3-8A64-DF6974E64199}"/>
  </w:font>
  <w:font w:name="黑体">
    <w:panose1 w:val="02010609060101010101"/>
    <w:charset w:val="86"/>
    <w:family w:val="auto"/>
    <w:pitch w:val="default"/>
    <w:sig w:usb0="800002BF" w:usb1="38CF7CFA" w:usb2="00000016" w:usb3="00000000" w:csb0="00040001" w:csb1="00000000"/>
    <w:embedRegular r:id="rId3" w:fontKey="{F77E9E7D-8BA1-4F8A-8D4E-A0BD1286AE73}"/>
  </w:font>
  <w:font w:name="Courier New">
    <w:panose1 w:val="02070309020205020404"/>
    <w:charset w:val="01"/>
    <w:family w:val="modern"/>
    <w:pitch w:val="default"/>
    <w:sig w:usb0="E0002EFF" w:usb1="C0007843" w:usb2="00000009" w:usb3="00000000" w:csb0="400001FF" w:csb1="FFFF0000"/>
    <w:embedRegular r:id="rId4" w:fontKey="{C3A6C472-6906-4D14-9A2E-1781001C0698}"/>
  </w:font>
  <w:font w:name="Symbol">
    <w:panose1 w:val="05050102010706020507"/>
    <w:charset w:val="02"/>
    <w:family w:val="roman"/>
    <w:pitch w:val="default"/>
    <w:sig w:usb0="00000000" w:usb1="00000000" w:usb2="00000000" w:usb3="00000000" w:csb0="80000000" w:csb1="00000000"/>
    <w:embedRegular r:id="rId5" w:fontKey="{6D4DCB16-82AA-4A02-BB19-E8D5D7F808DF}"/>
  </w:font>
  <w:font w:name="Calibri">
    <w:panose1 w:val="020F0502020204030204"/>
    <w:charset w:val="00"/>
    <w:family w:val="swiss"/>
    <w:pitch w:val="default"/>
    <w:sig w:usb0="E4002EFF" w:usb1="C000247B" w:usb2="00000009" w:usb3="00000000" w:csb0="200001FF" w:csb1="00000000"/>
    <w:embedRegular r:id="rId6" w:fontKey="{67863993-8706-4A93-AB44-03995567A73A}"/>
  </w:font>
  <w:font w:name="Cambria">
    <w:panose1 w:val="02040503050406030204"/>
    <w:charset w:val="00"/>
    <w:family w:val="roman"/>
    <w:pitch w:val="default"/>
    <w:sig w:usb0="E00006FF" w:usb1="420024FF" w:usb2="02000000" w:usb3="00000000" w:csb0="2000019F" w:csb1="00000000"/>
    <w:embedRegular r:id="rId7" w:fontKey="{71145460-121E-419A-8EC5-AEE79EC43C05}"/>
  </w:font>
  <w:font w:name="楷体">
    <w:panose1 w:val="02010609060101010101"/>
    <w:charset w:val="86"/>
    <w:family w:val="modern"/>
    <w:pitch w:val="default"/>
    <w:sig w:usb0="800002BF" w:usb1="38CF7CFA" w:usb2="00000016" w:usb3="00000000" w:csb0="00040001" w:csb1="00000000"/>
    <w:embedRegular r:id="rId8" w:fontKey="{F02D6AA5-F695-4CF5-9393-A25F63AAF88F}"/>
  </w:font>
  <w:font w:name="MS Gothic">
    <w:panose1 w:val="020B0609070205080204"/>
    <w:charset w:val="80"/>
    <w:family w:val="modern"/>
    <w:pitch w:val="default"/>
    <w:sig w:usb0="E00002FF" w:usb1="6AC7FDFB" w:usb2="08000012" w:usb3="00000000" w:csb0="4002009F" w:csb1="DFD70000"/>
    <w:embedRegular r:id="rId9" w:fontKey="{05F91B13-4A6A-4469-8EA7-84AE80FD079F}"/>
  </w:font>
  <w:font w:name="仿宋_GB2312">
    <w:panose1 w:val="02010609030101010101"/>
    <w:charset w:val="86"/>
    <w:family w:val="modern"/>
    <w:pitch w:val="default"/>
    <w:sig w:usb0="00000001" w:usb1="080E0000" w:usb2="00000000" w:usb3="00000000" w:csb0="00040000" w:csb1="00000000"/>
    <w:embedRegular r:id="rId10" w:fontKey="{12D9853D-467B-49BA-839C-E8A28928E0B3}"/>
  </w:font>
  <w:font w:name="ArialUnicodeMS">
    <w:altName w:val="Malgun Gothic"/>
    <w:panose1 w:val="00000000000000000000"/>
    <w:charset w:val="81"/>
    <w:family w:val="auto"/>
    <w:pitch w:val="default"/>
    <w:sig w:usb0="00000000" w:usb1="00000000" w:usb2="00000010" w:usb3="00000000" w:csb0="00080000" w:csb1="00000000"/>
    <w:embedRegular r:id="rId11" w:fontKey="{9B74FD1A-A122-47BE-85F5-6DB5C73A8A49}"/>
  </w:font>
  <w:font w:name="MS-UIGothic,Bold">
    <w:altName w:val="Malgun Gothic"/>
    <w:panose1 w:val="00000000000000000000"/>
    <w:charset w:val="81"/>
    <w:family w:val="auto"/>
    <w:pitch w:val="default"/>
    <w:sig w:usb0="00000000" w:usb1="00000000" w:usb2="00000010" w:usb3="00000000" w:csb0="00080000" w:csb1="00000000"/>
    <w:embedRegular r:id="rId12" w:fontKey="{3CE2ADA7-6E3C-48AE-815F-8E0FF6360756}"/>
  </w:font>
  <w:font w:name="DengXian-Regular">
    <w:altName w:val="宋体"/>
    <w:panose1 w:val="00000000000000000000"/>
    <w:charset w:val="86"/>
    <w:family w:val="auto"/>
    <w:pitch w:val="default"/>
    <w:sig w:usb0="00000000" w:usb1="00000000" w:usb2="00000010" w:usb3="00000000" w:csb0="00040000" w:csb1="00000000"/>
    <w:embedRegular r:id="rId13" w:fontKey="{A352E14D-9D73-48A4-8B91-56036421E566}"/>
  </w:font>
  <w:font w:name="楷体_GB2312">
    <w:panose1 w:val="02010609030101010101"/>
    <w:charset w:val="86"/>
    <w:family w:val="modern"/>
    <w:pitch w:val="default"/>
    <w:sig w:usb0="00000001" w:usb1="080E0000" w:usb2="00000000" w:usb3="00000000" w:csb0="00040000" w:csb1="00000000"/>
    <w:embedRegular r:id="rId14" w:fontKey="{D6C270C4-1F7D-4EE4-AED6-8904F9E32C85}"/>
  </w:font>
  <w:font w:name="DengXian-Bold">
    <w:altName w:val="宋体"/>
    <w:panose1 w:val="00000000000000000000"/>
    <w:charset w:val="86"/>
    <w:family w:val="auto"/>
    <w:pitch w:val="default"/>
    <w:sig w:usb0="00000000" w:usb1="00000000" w:usb2="00000010" w:usb3="00000000" w:csb0="00040000" w:csb1="00000000"/>
    <w:embedRegular r:id="rId15" w:fontKey="{AA5DA4BC-D157-483E-926C-CE7381AF7BA8}"/>
  </w:font>
  <w:font w:name="TimesNewRomanPSMT">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embedRegular r:id="rId16" w:fontKey="{ECC2A3CA-8F6A-4174-8F35-81B68112E594}"/>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AC4702D"/>
    <w:multiLevelType w:val="singleLevel"/>
    <w:tmpl w:val="5AC4702D"/>
    <w:lvl w:ilvl="0" w:tentative="0">
      <w:start w:val="1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gwMTQ2ODg1MTZkMzVlYWY5ZTQyMTEyMDU1NzJlMTI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39C75F1"/>
    <w:rsid w:val="04073F84"/>
    <w:rsid w:val="042968AE"/>
    <w:rsid w:val="06C367AA"/>
    <w:rsid w:val="09E732AE"/>
    <w:rsid w:val="0A7013FB"/>
    <w:rsid w:val="0B39788F"/>
    <w:rsid w:val="0B60750A"/>
    <w:rsid w:val="0CDE6871"/>
    <w:rsid w:val="0F4B7BB0"/>
    <w:rsid w:val="10686488"/>
    <w:rsid w:val="10DF728A"/>
    <w:rsid w:val="11C05175"/>
    <w:rsid w:val="1264200E"/>
    <w:rsid w:val="13AE32BE"/>
    <w:rsid w:val="141C5B77"/>
    <w:rsid w:val="15B4059B"/>
    <w:rsid w:val="17776F6D"/>
    <w:rsid w:val="18D8339D"/>
    <w:rsid w:val="1A21388F"/>
    <w:rsid w:val="1A570D2F"/>
    <w:rsid w:val="2325351F"/>
    <w:rsid w:val="28FB0B8D"/>
    <w:rsid w:val="2D2B7942"/>
    <w:rsid w:val="2D46481D"/>
    <w:rsid w:val="2E733B28"/>
    <w:rsid w:val="31852B5A"/>
    <w:rsid w:val="328C37B7"/>
    <w:rsid w:val="32D01238"/>
    <w:rsid w:val="332A01F5"/>
    <w:rsid w:val="37A86CC5"/>
    <w:rsid w:val="381C3D6D"/>
    <w:rsid w:val="39155E80"/>
    <w:rsid w:val="3DFC59A8"/>
    <w:rsid w:val="3ECF245E"/>
    <w:rsid w:val="3FB02365"/>
    <w:rsid w:val="3FB96314"/>
    <w:rsid w:val="41BB1F6B"/>
    <w:rsid w:val="492B72BF"/>
    <w:rsid w:val="53A44FAF"/>
    <w:rsid w:val="594329EC"/>
    <w:rsid w:val="5BEE1540"/>
    <w:rsid w:val="5DE61A5D"/>
    <w:rsid w:val="60D464BE"/>
    <w:rsid w:val="63C04243"/>
    <w:rsid w:val="649C01C7"/>
    <w:rsid w:val="699A3F60"/>
    <w:rsid w:val="6ECF4C3C"/>
    <w:rsid w:val="72902E62"/>
    <w:rsid w:val="73C61104"/>
    <w:rsid w:val="7530520F"/>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emf"/><Relationship Id="rId12" Type="http://schemas.openxmlformats.org/officeDocument/2006/relationships/oleObject" Target="embeddings/oleObject3.bin"/><Relationship Id="rId11" Type="http://schemas.openxmlformats.org/officeDocument/2006/relationships/image" Target="media/image4.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130"/>
    <customShpInfo spid="_x0000_s1083"/>
    <customShpInfo spid="_x0000_s1084"/>
    <customShpInfo spid="_x0000_s1082"/>
    <customShpInfo spid="_x0000_s1132"/>
    <customShpInfo spid="_x0000_s1133"/>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6</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2019-08-02T01:01:00Z</cp:lastPrinted>
  <dcterms:modified xsi:type="dcterms:W3CDTF">2023-11-17T03:37:45Z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B1353AFD60A04E38BA906217BD2DABEF</vt:lpwstr>
  </property>
</Properties>
</file>