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pacing w:val="-8"/>
          <w:sz w:val="44"/>
          <w:szCs w:val="44"/>
        </w:rPr>
      </w:pPr>
      <w:r>
        <w:rPr>
          <w:rFonts w:hint="eastAsia" w:ascii="方正小标宋简体" w:hAnsi="方正小标宋简体" w:eastAsia="方正小标宋简体" w:cs="方正小标宋简体"/>
          <w:b w:val="0"/>
          <w:bCs w:val="0"/>
          <w:spacing w:val="-17"/>
          <w:kern w:val="0"/>
          <w:sz w:val="44"/>
          <w:szCs w:val="44"/>
        </w:rPr>
        <w:t>2022年度</w:t>
      </w:r>
      <w:r>
        <w:rPr>
          <w:rFonts w:hint="eastAsia" w:ascii="方正小标宋简体" w:hAnsi="方正小标宋简体" w:eastAsia="方正小标宋简体" w:cs="方正小标宋简体"/>
          <w:b w:val="0"/>
          <w:bCs w:val="0"/>
          <w:spacing w:val="-17"/>
          <w:kern w:val="0"/>
          <w:sz w:val="44"/>
          <w:szCs w:val="44"/>
          <w:lang w:eastAsia="zh-CN"/>
        </w:rPr>
        <w:t>中国人民政治协商会议保定市满城区</w:t>
      </w:r>
      <w:r>
        <w:rPr>
          <w:rFonts w:hint="eastAsia" w:ascii="方正小标宋简体" w:hAnsi="方正小标宋简体" w:eastAsia="方正小标宋简体" w:cs="方正小标宋简体"/>
          <w:b w:val="0"/>
          <w:bCs w:val="0"/>
          <w:spacing w:val="-8"/>
          <w:kern w:val="0"/>
          <w:sz w:val="44"/>
          <w:szCs w:val="44"/>
          <w:lang w:eastAsia="zh-CN"/>
        </w:rPr>
        <w:t>委员会</w:t>
      </w:r>
      <w:r>
        <w:rPr>
          <w:rFonts w:hint="eastAsia" w:ascii="方正小标宋简体" w:hAnsi="方正小标宋简体" w:eastAsia="方正小标宋简体" w:cs="方正小标宋简体"/>
          <w:b w:val="0"/>
          <w:bCs w:val="0"/>
          <w:spacing w:val="-8"/>
          <w:kern w:val="0"/>
          <w:sz w:val="44"/>
          <w:szCs w:val="44"/>
        </w:rPr>
        <w:t>整体</w:t>
      </w:r>
      <w:r>
        <w:rPr>
          <w:rFonts w:hint="eastAsia" w:ascii="方正小标宋简体" w:hAnsi="方正小标宋简体" w:eastAsia="方正小标宋简体" w:cs="方正小标宋简体"/>
          <w:b w:val="0"/>
          <w:bCs w:val="0"/>
          <w:spacing w:val="-8"/>
          <w:sz w:val="44"/>
          <w:szCs w:val="44"/>
        </w:rPr>
        <w:t>绩效自评工作报告</w:t>
      </w:r>
    </w:p>
    <w:p>
      <w:pPr>
        <w:keepNext w:val="0"/>
        <w:keepLines w:val="0"/>
        <w:pageBreakBefore w:val="0"/>
        <w:kinsoku/>
        <w:wordWrap/>
        <w:overflowPunct/>
        <w:topLinePunct w:val="0"/>
        <w:autoSpaceDE/>
        <w:autoSpaceDN/>
        <w:bidi w:val="0"/>
        <w:adjustRightInd/>
        <w:snapToGrid w:val="0"/>
        <w:spacing w:line="600" w:lineRule="exact"/>
        <w:ind w:firstLine="611" w:firstLineChars="200"/>
        <w:textAlignment w:val="auto"/>
        <w:rPr>
          <w:rFonts w:ascii="仿宋_GB2312" w:hAnsi="宋体" w:eastAsia="仿宋_GB2312"/>
          <w:b/>
          <w:spacing w:val="-8"/>
          <w:sz w:val="32"/>
          <w:szCs w:val="32"/>
        </w:rPr>
      </w:pP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黑体" w:hAnsi="黑体" w:eastAsia="黑体" w:cs="黑体"/>
          <w:spacing w:val="-8"/>
          <w:sz w:val="32"/>
          <w:szCs w:val="32"/>
        </w:rPr>
      </w:pPr>
      <w:r>
        <w:rPr>
          <w:rFonts w:hint="eastAsia" w:ascii="黑体" w:hAnsi="黑体" w:eastAsia="黑体" w:cs="黑体"/>
          <w:spacing w:val="-8"/>
          <w:sz w:val="32"/>
          <w:szCs w:val="32"/>
        </w:rPr>
        <w:t>一、绩效自评工作组织开展情况</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1.组织情况、实施过程：中国人民政治协商会议保定市满城区委员会2022年预算项目共6个，分别是满城区三届一次会议费用、三届二次会议费用、委员培训视察费用、委员之家活动费用、房屋整修及办公家具购置及党报党刊征订费。会议费用按照会议账单明细进行核实并安排支出，委员</w:t>
      </w:r>
      <w:bookmarkStart w:id="0" w:name="_GoBack"/>
      <w:bookmarkEnd w:id="0"/>
      <w:r>
        <w:rPr>
          <w:rFonts w:hint="eastAsia" w:ascii="仿宋_GB2312" w:hAnsi="仿宋_GB2312" w:eastAsia="仿宋_GB2312" w:cs="仿宋_GB2312"/>
          <w:spacing w:val="-8"/>
          <w:sz w:val="32"/>
          <w:szCs w:val="32"/>
          <w:lang w:val="en-US" w:eastAsia="zh-CN"/>
        </w:rPr>
        <w:t>培训视察和委员之家活动费用根据每次培训视察和活动的安排进行支出，房屋整修及办公家具购置根据实际的需求安排支出，党报党刊征订费用按照数量和质量完成征订任务。</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部门预算安排及资金分配拨付</w:t>
      </w:r>
      <w:r>
        <w:rPr>
          <w:rFonts w:hint="eastAsia" w:ascii="仿宋_GB2312" w:hAnsi="仿宋_GB2312" w:eastAsia="仿宋_GB2312" w:cs="仿宋_GB2312"/>
          <w:spacing w:val="-8"/>
          <w:sz w:val="32"/>
          <w:szCs w:val="32"/>
          <w:lang w:eastAsia="zh-CN"/>
        </w:rPr>
        <w:t>：根据项目实际需要进行年初预算上报，</w:t>
      </w:r>
      <w:r>
        <w:rPr>
          <w:rFonts w:hint="eastAsia" w:ascii="仿宋_GB2312" w:hAnsi="仿宋_GB2312" w:eastAsia="仿宋_GB2312" w:cs="仿宋_GB2312"/>
          <w:spacing w:val="-8"/>
          <w:sz w:val="32"/>
          <w:szCs w:val="32"/>
          <w:lang w:val="en-US" w:eastAsia="zh-CN"/>
        </w:rPr>
        <w:t>2022年度区政协预算项目共6个，预算上报资金共66.19万元，财政资金按照需求拨付66.19万元，根据实际支出65.68万元。</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pacing w:val="-8"/>
          <w:sz w:val="32"/>
          <w:szCs w:val="32"/>
        </w:rPr>
        <w:t>部门日常财务管理、专项监督检查</w:t>
      </w:r>
      <w:r>
        <w:rPr>
          <w:rFonts w:hint="eastAsia" w:ascii="仿宋_GB2312" w:hAnsi="仿宋_GB2312" w:eastAsia="仿宋_GB2312" w:cs="仿宋_GB2312"/>
          <w:spacing w:val="-8"/>
          <w:sz w:val="32"/>
          <w:szCs w:val="32"/>
          <w:lang w:eastAsia="zh-CN"/>
        </w:rPr>
        <w:t>情况</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lang w:eastAsia="zh-CN"/>
        </w:rPr>
        <w:t>财务部门</w:t>
      </w:r>
      <w:r>
        <w:rPr>
          <w:rFonts w:hint="eastAsia" w:ascii="仿宋_GB2312" w:hAnsi="仿宋_GB2312" w:eastAsia="仿宋_GB2312" w:cs="仿宋_GB2312"/>
          <w:spacing w:val="-8"/>
          <w:sz w:val="32"/>
          <w:szCs w:val="32"/>
        </w:rPr>
        <w:t>对202</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年的</w:t>
      </w:r>
      <w:r>
        <w:rPr>
          <w:rFonts w:hint="eastAsia" w:ascii="仿宋_GB2312" w:hAnsi="仿宋_GB2312" w:eastAsia="仿宋_GB2312" w:cs="仿宋_GB2312"/>
          <w:spacing w:val="-8"/>
          <w:sz w:val="32"/>
          <w:szCs w:val="32"/>
          <w:lang w:val="en-US" w:eastAsia="zh-CN"/>
        </w:rPr>
        <w:t>6</w:t>
      </w:r>
      <w:r>
        <w:rPr>
          <w:rFonts w:hint="eastAsia" w:ascii="仿宋_GB2312" w:hAnsi="仿宋_GB2312" w:eastAsia="仿宋_GB2312" w:cs="仿宋_GB2312"/>
          <w:spacing w:val="-8"/>
          <w:sz w:val="32"/>
          <w:szCs w:val="32"/>
        </w:rPr>
        <w:t>个预算项目进行了绩效运行监控，对发生的每一笔业务都进行认真核实，使资金效率最大化，防止资金浪费现象的发生。</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黑体" w:hAnsi="黑体" w:eastAsia="黑体" w:cs="黑体"/>
          <w:spacing w:val="-8"/>
          <w:sz w:val="32"/>
          <w:szCs w:val="32"/>
        </w:rPr>
      </w:pPr>
      <w:r>
        <w:rPr>
          <w:rFonts w:hint="eastAsia" w:ascii="黑体" w:hAnsi="黑体" w:eastAsia="黑体" w:cs="黑体"/>
          <w:spacing w:val="-8"/>
          <w:sz w:val="32"/>
          <w:szCs w:val="32"/>
        </w:rPr>
        <w:t>二、绩效目标实现情况</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2022年，满城区政协项目预算资金为66.19万元，实际执行资金为65.68万元，预算执行率为99.23%。</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lang w:val="en-US" w:eastAsia="zh-CN"/>
        </w:rPr>
      </w:pPr>
    </w:p>
    <w:tbl>
      <w:tblPr>
        <w:tblStyle w:val="4"/>
        <w:tblW w:w="8618" w:type="dxa"/>
        <w:tblInd w:w="93" w:type="dxa"/>
        <w:tblLayout w:type="fixed"/>
        <w:tblCellMar>
          <w:top w:w="0" w:type="dxa"/>
          <w:left w:w="108" w:type="dxa"/>
          <w:bottom w:w="0" w:type="dxa"/>
          <w:right w:w="108" w:type="dxa"/>
        </w:tblCellMar>
      </w:tblPr>
      <w:tblGrid>
        <w:gridCol w:w="1808"/>
        <w:gridCol w:w="1272"/>
        <w:gridCol w:w="1308"/>
        <w:gridCol w:w="1297"/>
        <w:gridCol w:w="983"/>
        <w:gridCol w:w="990"/>
        <w:gridCol w:w="960"/>
      </w:tblGrid>
      <w:tr>
        <w:tblPrEx>
          <w:tblCellMar>
            <w:top w:w="0" w:type="dxa"/>
            <w:left w:w="108" w:type="dxa"/>
            <w:bottom w:w="0" w:type="dxa"/>
            <w:right w:w="108" w:type="dxa"/>
          </w:tblCellMar>
        </w:tblPrEx>
        <w:trPr>
          <w:trHeight w:val="645" w:hRule="atLeast"/>
        </w:trPr>
        <w:tc>
          <w:tcPr>
            <w:tcW w:w="18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项目名称</w:t>
            </w:r>
          </w:p>
        </w:tc>
        <w:tc>
          <w:tcPr>
            <w:tcW w:w="12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eastAsia="zh-CN"/>
              </w:rPr>
            </w:pPr>
            <w:r>
              <w:rPr>
                <w:rFonts w:hint="eastAsia" w:asciiTheme="minorEastAsia" w:hAnsiTheme="minorEastAsia" w:eastAsiaTheme="minorEastAsia" w:cstheme="minorEastAsia"/>
                <w:color w:val="000000"/>
                <w:spacing w:val="-8"/>
                <w:kern w:val="0"/>
                <w:sz w:val="24"/>
                <w:szCs w:val="24"/>
                <w:lang w:eastAsia="zh-CN"/>
              </w:rPr>
              <w:t>预算安排资金数额（万元）</w:t>
            </w:r>
          </w:p>
        </w:tc>
        <w:tc>
          <w:tcPr>
            <w:tcW w:w="13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资金执行</w:t>
            </w:r>
            <w:r>
              <w:rPr>
                <w:rFonts w:hint="eastAsia" w:asciiTheme="minorEastAsia" w:hAnsiTheme="minorEastAsia" w:eastAsiaTheme="minorEastAsia" w:cstheme="minorEastAsia"/>
                <w:color w:val="000000"/>
                <w:spacing w:val="-8"/>
                <w:kern w:val="0"/>
                <w:sz w:val="24"/>
                <w:szCs w:val="24"/>
              </w:rPr>
              <w:t>数额</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（万元）</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12月底绩效目标实现程度（%）</w:t>
            </w:r>
          </w:p>
        </w:tc>
        <w:tc>
          <w:tcPr>
            <w:tcW w:w="29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年底绩效目标实现情况</w:t>
            </w:r>
          </w:p>
        </w:tc>
      </w:tr>
      <w:tr>
        <w:tblPrEx>
          <w:tblCellMar>
            <w:top w:w="0" w:type="dxa"/>
            <w:left w:w="108" w:type="dxa"/>
            <w:bottom w:w="0" w:type="dxa"/>
            <w:right w:w="108" w:type="dxa"/>
          </w:tblCellMar>
        </w:tblPrEx>
        <w:trPr>
          <w:trHeight w:val="554" w:hRule="atLeast"/>
        </w:trPr>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both"/>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能实现</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不能完全实现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差距较大</w:t>
            </w: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满城区政协三届一次全会费用</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36.75</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36.24</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98.61</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lang w:eastAsia="zh-CN"/>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满城区政协三届</w:t>
            </w:r>
            <w:r>
              <w:rPr>
                <w:rFonts w:hint="eastAsia" w:asciiTheme="minorEastAsia" w:hAnsiTheme="minorEastAsia" w:eastAsiaTheme="minorEastAsia" w:cstheme="minorEastAsia"/>
                <w:color w:val="000000"/>
                <w:spacing w:val="-8"/>
                <w:kern w:val="0"/>
                <w:sz w:val="24"/>
                <w:szCs w:val="24"/>
                <w:lang w:eastAsia="zh-CN"/>
              </w:rPr>
              <w:t>二</w:t>
            </w:r>
            <w:r>
              <w:rPr>
                <w:rFonts w:hint="eastAsia" w:asciiTheme="minorEastAsia" w:hAnsiTheme="minorEastAsia" w:eastAsiaTheme="minorEastAsia" w:cstheme="minorEastAsia"/>
                <w:color w:val="000000"/>
                <w:spacing w:val="-8"/>
                <w:kern w:val="0"/>
                <w:sz w:val="24"/>
                <w:szCs w:val="24"/>
              </w:rPr>
              <w:t>次全会费用</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10</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10</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100</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政协202</w:t>
            </w:r>
            <w:r>
              <w:rPr>
                <w:rFonts w:hint="eastAsia" w:asciiTheme="minorEastAsia" w:hAnsiTheme="minorEastAsia" w:eastAsiaTheme="minorEastAsia" w:cstheme="minorEastAsia"/>
                <w:color w:val="000000"/>
                <w:spacing w:val="-8"/>
                <w:kern w:val="0"/>
                <w:sz w:val="24"/>
                <w:szCs w:val="24"/>
                <w:lang w:val="en-US" w:eastAsia="zh-CN"/>
              </w:rPr>
              <w:t>2</w:t>
            </w:r>
            <w:r>
              <w:rPr>
                <w:rFonts w:hint="eastAsia" w:asciiTheme="minorEastAsia" w:hAnsiTheme="minorEastAsia" w:eastAsiaTheme="minorEastAsia" w:cstheme="minorEastAsia"/>
                <w:color w:val="000000"/>
                <w:spacing w:val="-8"/>
                <w:kern w:val="0"/>
                <w:sz w:val="24"/>
                <w:szCs w:val="24"/>
              </w:rPr>
              <w:t>年党报党刊征订费</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2.5</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rPr>
              <w:t>2</w:t>
            </w:r>
            <w:r>
              <w:rPr>
                <w:rFonts w:hint="eastAsia" w:asciiTheme="minorEastAsia" w:hAnsiTheme="minorEastAsia" w:eastAsiaTheme="minorEastAsia" w:cstheme="minorEastAsia"/>
                <w:color w:val="000000"/>
                <w:spacing w:val="-8"/>
                <w:kern w:val="0"/>
                <w:sz w:val="24"/>
                <w:szCs w:val="24"/>
                <w:lang w:val="en-US" w:eastAsia="zh-CN"/>
              </w:rPr>
              <w:t>.4986</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99.87</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　</w:t>
            </w: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rPr>
              <w:t>满城政协房屋整修及办公家具购置</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6.9366</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Theme="minorEastAsia" w:hAnsiTheme="minorEastAsia" w:eastAsiaTheme="minorEastAsia" w:cstheme="minorEastAsia"/>
                <w:color w:val="000000"/>
                <w:spacing w:val="-8"/>
                <w:kern w:val="0"/>
                <w:sz w:val="24"/>
                <w:szCs w:val="24"/>
                <w:lang w:val="en-US" w:eastAsia="zh-CN" w:bidi="ar-SA"/>
              </w:rPr>
            </w:pPr>
            <w:r>
              <w:rPr>
                <w:rFonts w:hint="eastAsia" w:asciiTheme="minorEastAsia" w:hAnsiTheme="minorEastAsia" w:eastAsiaTheme="minorEastAsia" w:cstheme="minorEastAsia"/>
                <w:color w:val="000000"/>
                <w:spacing w:val="-8"/>
                <w:kern w:val="0"/>
                <w:sz w:val="24"/>
                <w:szCs w:val="24"/>
                <w:lang w:val="en-US" w:eastAsia="zh-CN" w:bidi="ar-SA"/>
              </w:rPr>
              <w:t>6.9366</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100</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lang w:eastAsia="zh-CN"/>
              </w:rPr>
            </w:pPr>
            <w:r>
              <w:rPr>
                <w:rFonts w:hint="eastAsia" w:asciiTheme="minorEastAsia" w:hAnsiTheme="minorEastAsia" w:eastAsiaTheme="minorEastAsia" w:cstheme="minorEastAsia"/>
                <w:color w:val="000000"/>
                <w:spacing w:val="-8"/>
                <w:kern w:val="0"/>
                <w:sz w:val="24"/>
                <w:szCs w:val="24"/>
                <w:lang w:eastAsia="zh-CN"/>
              </w:rPr>
              <w:t>委员培训视察费</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5</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bidi="ar-SA"/>
              </w:rPr>
            </w:pPr>
            <w:r>
              <w:rPr>
                <w:rFonts w:hint="eastAsia" w:asciiTheme="minorEastAsia" w:hAnsiTheme="minorEastAsia" w:eastAsiaTheme="minorEastAsia" w:cstheme="minorEastAsia"/>
                <w:color w:val="000000"/>
                <w:spacing w:val="-8"/>
                <w:kern w:val="0"/>
                <w:sz w:val="24"/>
                <w:szCs w:val="24"/>
                <w:lang w:val="en-US" w:eastAsia="zh-CN"/>
              </w:rPr>
              <w:t>5</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100</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r>
      <w:tr>
        <w:tblPrEx>
          <w:tblCellMar>
            <w:top w:w="0" w:type="dxa"/>
            <w:left w:w="108" w:type="dxa"/>
            <w:bottom w:w="0" w:type="dxa"/>
            <w:right w:w="108" w:type="dxa"/>
          </w:tblCellMar>
        </w:tblPrEx>
        <w:trPr>
          <w:trHeight w:val="495" w:hRule="atLeast"/>
        </w:trPr>
        <w:tc>
          <w:tcPr>
            <w:tcW w:w="18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lang w:eastAsia="zh-CN"/>
              </w:rPr>
            </w:pPr>
            <w:r>
              <w:rPr>
                <w:rFonts w:hint="eastAsia" w:asciiTheme="minorEastAsia" w:hAnsiTheme="minorEastAsia" w:eastAsiaTheme="minorEastAsia" w:cstheme="minorEastAsia"/>
                <w:color w:val="000000"/>
                <w:spacing w:val="-8"/>
                <w:kern w:val="0"/>
                <w:sz w:val="24"/>
                <w:szCs w:val="24"/>
                <w:lang w:eastAsia="zh-CN"/>
              </w:rPr>
              <w:t>委员之家活动费</w:t>
            </w:r>
          </w:p>
        </w:tc>
        <w:tc>
          <w:tcPr>
            <w:tcW w:w="12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5</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bidi="ar-SA"/>
              </w:rPr>
            </w:pPr>
            <w:r>
              <w:rPr>
                <w:rFonts w:hint="eastAsia" w:asciiTheme="minorEastAsia" w:hAnsiTheme="minorEastAsia" w:eastAsiaTheme="minorEastAsia" w:cstheme="minorEastAsia"/>
                <w:color w:val="000000"/>
                <w:spacing w:val="-8"/>
                <w:kern w:val="0"/>
                <w:sz w:val="24"/>
                <w:szCs w:val="24"/>
                <w:lang w:val="en-US" w:eastAsia="zh-CN"/>
              </w:rPr>
              <w:t>5</w:t>
            </w:r>
          </w:p>
        </w:tc>
        <w:tc>
          <w:tcPr>
            <w:tcW w:w="12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Theme="minorEastAsia" w:hAnsiTheme="minorEastAsia" w:eastAsiaTheme="minorEastAsia" w:cstheme="minorEastAsia"/>
                <w:color w:val="000000"/>
                <w:spacing w:val="-8"/>
                <w:kern w:val="0"/>
                <w:sz w:val="24"/>
                <w:szCs w:val="24"/>
                <w:lang w:val="en-US" w:eastAsia="zh-CN"/>
              </w:rPr>
            </w:pPr>
            <w:r>
              <w:rPr>
                <w:rFonts w:hint="eastAsia" w:asciiTheme="minorEastAsia" w:hAnsiTheme="minorEastAsia" w:eastAsiaTheme="minorEastAsia" w:cstheme="minorEastAsia"/>
                <w:color w:val="000000"/>
                <w:spacing w:val="-8"/>
                <w:kern w:val="0"/>
                <w:sz w:val="24"/>
                <w:szCs w:val="24"/>
                <w:lang w:val="en-US" w:eastAsia="zh-CN"/>
              </w:rPr>
              <w:t>100</w:t>
            </w: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r>
              <w:rPr>
                <w:rFonts w:hint="eastAsia" w:asciiTheme="minorEastAsia" w:hAnsiTheme="minorEastAsia" w:eastAsiaTheme="minorEastAsia" w:cstheme="minorEastAsia"/>
                <w:color w:val="000000"/>
                <w:spacing w:val="-8"/>
                <w:kern w:val="0"/>
                <w:sz w:val="24"/>
                <w:szCs w:val="24"/>
                <w:lang w:eastAsia="zh-CN"/>
              </w:rPr>
              <w:t>已实现</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Theme="minorEastAsia" w:hAnsiTheme="minorEastAsia" w:eastAsiaTheme="minorEastAsia" w:cstheme="minorEastAsia"/>
                <w:color w:val="000000"/>
                <w:spacing w:val="-8"/>
                <w:kern w:val="0"/>
                <w:sz w:val="24"/>
                <w:szCs w:val="24"/>
              </w:rPr>
            </w:pPr>
          </w:p>
        </w:tc>
      </w:tr>
    </w:tbl>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黑体" w:hAnsi="黑体" w:eastAsia="黑体" w:cs="黑体"/>
          <w:spacing w:val="-8"/>
          <w:sz w:val="32"/>
          <w:szCs w:val="32"/>
        </w:rPr>
      </w:pPr>
      <w:r>
        <w:rPr>
          <w:rFonts w:hint="eastAsia" w:ascii="黑体" w:hAnsi="黑体" w:eastAsia="黑体" w:cs="黑体"/>
          <w:spacing w:val="-8"/>
          <w:sz w:val="32"/>
          <w:szCs w:val="32"/>
        </w:rPr>
        <w:t>三、绩效目标设定质量情况</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本次</w:t>
      </w:r>
      <w:r>
        <w:rPr>
          <w:rFonts w:hint="eastAsia" w:ascii="仿宋_GB2312" w:hAnsi="仿宋_GB2312" w:eastAsia="仿宋_GB2312" w:cs="仿宋_GB2312"/>
          <w:spacing w:val="-8"/>
          <w:sz w:val="32"/>
          <w:szCs w:val="32"/>
        </w:rPr>
        <w:t>项目</w:t>
      </w:r>
      <w:r>
        <w:rPr>
          <w:rFonts w:hint="eastAsia" w:ascii="仿宋_GB2312" w:hAnsi="仿宋_GB2312" w:eastAsia="仿宋_GB2312" w:cs="仿宋_GB2312"/>
          <w:spacing w:val="-8"/>
          <w:sz w:val="32"/>
          <w:szCs w:val="32"/>
          <w:lang w:eastAsia="zh-CN"/>
        </w:rPr>
        <w:t>绩效自评结果均已完成年初设定的绩效目标，绩效目标设定清晰准确，绩效指标全面完整、科学合理，绩效标准恰当适宜、易于评价。</w:t>
      </w:r>
      <w:r>
        <w:rPr>
          <w:rFonts w:hint="eastAsia" w:ascii="仿宋_GB2312" w:hAnsi="仿宋_GB2312" w:eastAsia="仿宋_GB2312" w:cs="仿宋_GB2312"/>
          <w:spacing w:val="-8"/>
          <w:sz w:val="32"/>
          <w:szCs w:val="32"/>
        </w:rPr>
        <w:t>所有开支均按照财务管理制度执行，资金的使用严格把关，整个项目的运行完全按照内部管理制度、</w:t>
      </w:r>
      <w:r>
        <w:rPr>
          <w:rFonts w:hint="eastAsia" w:ascii="仿宋_GB2312" w:hAnsi="仿宋_GB2312" w:eastAsia="仿宋_GB2312" w:cs="仿宋_GB2312"/>
          <w:spacing w:val="-8"/>
          <w:sz w:val="32"/>
          <w:szCs w:val="32"/>
          <w:lang w:eastAsia="zh-CN"/>
        </w:rPr>
        <w:t>区</w:t>
      </w:r>
      <w:r>
        <w:rPr>
          <w:rFonts w:hint="eastAsia" w:ascii="仿宋_GB2312" w:hAnsi="仿宋_GB2312" w:eastAsia="仿宋_GB2312" w:cs="仿宋_GB2312"/>
          <w:spacing w:val="-8"/>
          <w:sz w:val="32"/>
          <w:szCs w:val="32"/>
        </w:rPr>
        <w:t>委、</w:t>
      </w:r>
      <w:r>
        <w:rPr>
          <w:rFonts w:hint="eastAsia" w:ascii="仿宋_GB2312" w:hAnsi="仿宋_GB2312" w:eastAsia="仿宋_GB2312" w:cs="仿宋_GB2312"/>
          <w:spacing w:val="-8"/>
          <w:sz w:val="32"/>
          <w:szCs w:val="32"/>
          <w:lang w:eastAsia="zh-CN"/>
        </w:rPr>
        <w:t>区</w:t>
      </w:r>
      <w:r>
        <w:rPr>
          <w:rFonts w:hint="eastAsia" w:ascii="仿宋_GB2312" w:hAnsi="仿宋_GB2312" w:eastAsia="仿宋_GB2312" w:cs="仿宋_GB2312"/>
          <w:spacing w:val="-8"/>
          <w:sz w:val="32"/>
          <w:szCs w:val="32"/>
        </w:rPr>
        <w:t>政府及财政的有关规定执行，</w:t>
      </w:r>
      <w:r>
        <w:rPr>
          <w:rFonts w:hint="eastAsia" w:ascii="仿宋_GB2312" w:hAnsi="仿宋_GB2312" w:eastAsia="仿宋_GB2312" w:cs="仿宋_GB2312"/>
          <w:spacing w:val="-8"/>
          <w:sz w:val="32"/>
          <w:szCs w:val="32"/>
          <w:lang w:eastAsia="zh-CN"/>
        </w:rPr>
        <w:t>单位内部</w:t>
      </w:r>
      <w:r>
        <w:rPr>
          <w:rFonts w:hint="eastAsia" w:ascii="仿宋_GB2312" w:hAnsi="仿宋_GB2312" w:eastAsia="仿宋_GB2312" w:cs="仿宋_GB2312"/>
          <w:spacing w:val="-8"/>
          <w:sz w:val="32"/>
          <w:szCs w:val="32"/>
        </w:rPr>
        <w:t>不定期进行抽查，严格人员作风、不存在违规违法的问题，各个项目资金使用与具体项目实施内容相符</w:t>
      </w:r>
      <w:r>
        <w:rPr>
          <w:rFonts w:hint="eastAsia" w:ascii="仿宋_GB2312" w:hAnsi="仿宋_GB2312" w:eastAsia="仿宋_GB2312" w:cs="仿宋_GB2312"/>
          <w:spacing w:val="-8"/>
          <w:sz w:val="32"/>
          <w:szCs w:val="32"/>
          <w:lang w:eastAsia="zh-CN"/>
        </w:rPr>
        <w:t>。预算项目无偏差。</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黑体" w:hAnsi="黑体" w:eastAsia="黑体" w:cs="黑体"/>
          <w:spacing w:val="-8"/>
          <w:sz w:val="32"/>
          <w:szCs w:val="32"/>
        </w:rPr>
      </w:pPr>
      <w:r>
        <w:rPr>
          <w:rFonts w:hint="eastAsia" w:ascii="黑体" w:hAnsi="黑体" w:eastAsia="黑体" w:cs="黑体"/>
          <w:spacing w:val="-8"/>
          <w:sz w:val="32"/>
          <w:szCs w:val="32"/>
        </w:rPr>
        <w:t>四、整改措施及结果应用</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对会议费重点做了监控，对发生的每一笔业务都进行了认真核实，确保用最少的资金完成最多的工作，使每一笔资金都用到刀刃上。监控过程中对资金支出不明细的业务进行了细化，确保了资金效率最大化。</w:t>
      </w: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rPr>
      </w:pP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rPr>
      </w:pPr>
    </w:p>
    <w:p>
      <w:pPr>
        <w:keepNext w:val="0"/>
        <w:keepLines w:val="0"/>
        <w:pageBreakBefore w:val="0"/>
        <w:kinsoku/>
        <w:wordWrap/>
        <w:overflowPunct/>
        <w:topLinePunct w:val="0"/>
        <w:autoSpaceDE/>
        <w:autoSpaceDN/>
        <w:bidi w:val="0"/>
        <w:adjustRightInd/>
        <w:snapToGrid w:val="0"/>
        <w:spacing w:line="600" w:lineRule="exact"/>
        <w:ind w:firstLine="608" w:firstLineChars="200"/>
        <w:textAlignment w:val="auto"/>
        <w:rPr>
          <w:rFonts w:hint="eastAsia" w:ascii="仿宋_GB2312" w:hAnsi="仿宋_GB2312" w:eastAsia="仿宋_GB2312" w:cs="仿宋_GB2312"/>
          <w:spacing w:val="-8"/>
          <w:sz w:val="32"/>
          <w:szCs w:val="32"/>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ind w:firstLine="608" w:firstLineChars="200"/>
        <w:jc w:val="right"/>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中国人民政治协商会议保定市满城区委员会</w:t>
      </w:r>
    </w:p>
    <w:p>
      <w:pPr>
        <w:keepNext w:val="0"/>
        <w:keepLines w:val="0"/>
        <w:pageBreakBefore w:val="0"/>
        <w:kinsoku/>
        <w:wordWrap/>
        <w:overflowPunct/>
        <w:topLinePunct w:val="0"/>
        <w:autoSpaceDE/>
        <w:autoSpaceDN/>
        <w:bidi w:val="0"/>
        <w:adjustRightInd/>
        <w:snapToGrid w:val="0"/>
        <w:spacing w:line="600" w:lineRule="exact"/>
        <w:ind w:firstLine="608" w:firstLineChars="200"/>
        <w:jc w:val="center"/>
        <w:textAlignment w:val="auto"/>
        <w:rPr>
          <w:rFonts w:hint="default"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lang w:val="en-US" w:eastAsia="zh-CN"/>
        </w:rPr>
        <w:t xml:space="preserve">                2023年5月15日</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ZTFjODFlMmE5OTU1ZjUxN2NhODU1YzdhZGIyMTYifQ=="/>
  </w:docVars>
  <w:rsids>
    <w:rsidRoot w:val="00EF16A3"/>
    <w:rsid w:val="0003266D"/>
    <w:rsid w:val="000B5213"/>
    <w:rsid w:val="001627CF"/>
    <w:rsid w:val="00172022"/>
    <w:rsid w:val="00176210"/>
    <w:rsid w:val="001D2D4C"/>
    <w:rsid w:val="001E3017"/>
    <w:rsid w:val="002B509A"/>
    <w:rsid w:val="002C647A"/>
    <w:rsid w:val="003444DB"/>
    <w:rsid w:val="00383AC5"/>
    <w:rsid w:val="003A03E0"/>
    <w:rsid w:val="003B412A"/>
    <w:rsid w:val="00432709"/>
    <w:rsid w:val="0047487F"/>
    <w:rsid w:val="00491FCD"/>
    <w:rsid w:val="004E6C05"/>
    <w:rsid w:val="004F6F9F"/>
    <w:rsid w:val="00546BCB"/>
    <w:rsid w:val="005C236C"/>
    <w:rsid w:val="005C5417"/>
    <w:rsid w:val="005E6EC9"/>
    <w:rsid w:val="00665896"/>
    <w:rsid w:val="00693A60"/>
    <w:rsid w:val="006E7D57"/>
    <w:rsid w:val="006F2F74"/>
    <w:rsid w:val="0071336C"/>
    <w:rsid w:val="0071475B"/>
    <w:rsid w:val="00793214"/>
    <w:rsid w:val="007D43DA"/>
    <w:rsid w:val="007E50DB"/>
    <w:rsid w:val="007E661D"/>
    <w:rsid w:val="007F4797"/>
    <w:rsid w:val="007F5EE6"/>
    <w:rsid w:val="0081530B"/>
    <w:rsid w:val="008C31C3"/>
    <w:rsid w:val="008E0E58"/>
    <w:rsid w:val="00941865"/>
    <w:rsid w:val="00986803"/>
    <w:rsid w:val="0099577A"/>
    <w:rsid w:val="009F1522"/>
    <w:rsid w:val="00A06D88"/>
    <w:rsid w:val="00A1508B"/>
    <w:rsid w:val="00A909F6"/>
    <w:rsid w:val="00AB70A8"/>
    <w:rsid w:val="00AF5C06"/>
    <w:rsid w:val="00B0713E"/>
    <w:rsid w:val="00B20499"/>
    <w:rsid w:val="00B27489"/>
    <w:rsid w:val="00B8177D"/>
    <w:rsid w:val="00B86365"/>
    <w:rsid w:val="00BA723B"/>
    <w:rsid w:val="00BE032C"/>
    <w:rsid w:val="00BE07DC"/>
    <w:rsid w:val="00C15B5D"/>
    <w:rsid w:val="00C242EC"/>
    <w:rsid w:val="00CE156F"/>
    <w:rsid w:val="00D23678"/>
    <w:rsid w:val="00D43ED6"/>
    <w:rsid w:val="00DA1AC7"/>
    <w:rsid w:val="00DC2768"/>
    <w:rsid w:val="00DE50A2"/>
    <w:rsid w:val="00DF6FF4"/>
    <w:rsid w:val="00E57322"/>
    <w:rsid w:val="00E841B7"/>
    <w:rsid w:val="00E963F0"/>
    <w:rsid w:val="00ED5E84"/>
    <w:rsid w:val="00EE0B52"/>
    <w:rsid w:val="00EF16A3"/>
    <w:rsid w:val="00F57E52"/>
    <w:rsid w:val="00FC43F5"/>
    <w:rsid w:val="0A0C1573"/>
    <w:rsid w:val="24936B0E"/>
    <w:rsid w:val="46E20030"/>
    <w:rsid w:val="6D1F2616"/>
    <w:rsid w:val="704537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945</Words>
  <Characters>1039</Characters>
  <Lines>3</Lines>
  <Paragraphs>1</Paragraphs>
  <TotalTime>28</TotalTime>
  <ScaleCrop>false</ScaleCrop>
  <LinksUpToDate>false</LinksUpToDate>
  <CharactersWithSpaces>1061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2019-11-14T00:58:00Z</dcterms:created>
  <dc:creator>user</dc:creator>
  <cp:lastModifiedBy>雨</cp:lastModifiedBy>
  <cp:lastPrinted>2023-08-07T03:12:17Z</cp:lastPrinted>
  <dcterms:modified xsi:type="dcterms:W3CDTF">2023-08-07T03:12:24Z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07FD5F09FD16499B8CE378F9904D8A2D_13</vt:lpwstr>
  </property>
</Properties>
</file>