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19050" t="0" r="5080" b="0"/>
            <wp:wrapNone/>
            <wp:docPr id="2"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wc ga"/>
                    <pic:cNvPicPr>
                      <a:picLocks noChangeAspect="1" noChangeArrowheads="1"/>
                    </pic:cNvPicPr>
                  </pic:nvPicPr>
                  <pic:blipFill>
                    <a:blip r:embed="rId6"/>
                    <a:srcRect/>
                    <a:stretch>
                      <a:fillRect/>
                    </a:stretch>
                  </pic:blipFill>
                  <pic:spPr>
                    <a:xfrm>
                      <a:off x="0" y="0"/>
                      <a:ext cx="7576820" cy="10796905"/>
                    </a:xfrm>
                    <a:prstGeom prst="rect">
                      <a:avLst/>
                    </a:prstGeom>
                    <a:noFill/>
                  </pic:spPr>
                </pic:pic>
              </a:graphicData>
            </a:graphic>
          </wp:anchor>
        </w:drawing>
      </w:r>
    </w:p>
    <w:p>
      <w:pPr>
        <w:widowControl/>
        <w:jc w:val="center"/>
        <w:rPr>
          <w:rFonts w:ascii="黑体" w:hAnsi="宋体" w:eastAsia="黑体"/>
          <w:color w:val="002060"/>
          <w:sz w:val="72"/>
          <w:szCs w:val="72"/>
        </w:rPr>
      </w:pPr>
      <w:r>
        <w:pict>
          <v:shape id="文本框 8" o:spid="_x0000_s1027" o:spt="202" type="#_x0000_t202" style="position:absolute;left:0pt;margin-left:-83.1pt;margin-top:43.25pt;height:166.25pt;width:596.2pt;z-index:25166028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团区委</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二〇一九十一月</w:t>
      </w:r>
    </w:p>
    <w:p>
      <w:pPr>
        <w:spacing w:beforeLines="200" w:after="0" w:line="1000" w:lineRule="exact"/>
        <w:jc w:val="center"/>
        <w:rPr>
          <w:rFonts w:ascii="黑体" w:eastAsia="黑体"/>
          <w:sz w:val="48"/>
          <w:szCs w:val="48"/>
        </w:rPr>
      </w:pPr>
      <w:r>
        <w:pict>
          <v:group id="组合 179" o:spid="_x0000_s1028" o:spt="203" style="position:absolute;left:0pt;margin-left:-80.8pt;margin-top:39.95pt;height:46.7pt;width:250.05pt;mso-position-vertical-relative:page;z-index:251673600;mso-width-relative:page;mso-height-relative:page;" coordorigin="4551,52615" coordsize="8546,1398203" o:allowoverlap="f">
            <o:lock v:ext="edit"/>
            <v:rect id="矩形 13" o:spid="_x0000_s1029" o:spt="1" style="position:absolute;left:4551;top:52615;height:1175;width:8546;v-text-anchor:middle;" fillcolor="#96DA9D" filled="t" stroked="f" coordsize="21600,21600">
              <v:path/>
              <v:fill on="t" focussize="0,0"/>
              <v:stroke on="f" weight="2pt"/>
              <v:imagedata o:title=""/>
              <o:lock v:ext="edit"/>
            </v:rect>
            <v:rect id="矩形 14" o:spid="_x0000_s103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目录</w:t>
                    </w:r>
                  </w:p>
                  <w:p>
                    <w:pPr>
                      <w:jc w:val="center"/>
                    </w:pPr>
                  </w:p>
                </w:txbxContent>
              </v:textbox>
            </v:rect>
            <w10:anchorlock/>
          </v:group>
        </w:pict>
      </w:r>
      <w:r>
        <w:rPr>
          <w:rFonts w:hint="eastAsia" w:ascii="黑体" w:eastAsia="黑体"/>
          <w:sz w:val="48"/>
          <w:szCs w:val="48"/>
        </w:rPr>
        <w:t>目录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第一部分部门概况</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第三部分团区委部门</w:t>
      </w:r>
      <w:r>
        <w:rPr>
          <w:rFonts w:eastAsia="黑体"/>
          <w:sz w:val="32"/>
          <w:szCs w:val="32"/>
        </w:rPr>
        <w:t>2018</w:t>
      </w:r>
      <w:r>
        <w:rPr>
          <w:rFonts w:hint="eastAsia" w:eastAsia="黑体"/>
          <w:sz w:val="32"/>
          <w:szCs w:val="32"/>
        </w:rPr>
        <w:t>年部门决算情况说明</w:t>
      </w:r>
      <w:r>
        <w:pict>
          <v:group id="组合 176" o:spid="_x0000_s1031" o:spt="203" style="position:absolute;left:0pt;margin-left:-80.8pt;margin-top:38.95pt;height:46.7pt;width:222.8pt;mso-position-vertical-relative:page;z-index:251672576;mso-width-relative:page;mso-height-relative:page;" coordorigin="4551,52615" coordsize="8546,1398203">
            <o:lock v:ext="edit"/>
            <v:rect id="矩形 13" o:spid="_x0000_s1032" o:spt="1" style="position:absolute;left:4551;top:52615;height:1175;width:8546;v-text-anchor:middle;" fillcolor="#96DA9D" filled="t" stroked="f" coordsize="21600,21600">
              <v:path/>
              <v:fill on="t" focussize="0,0"/>
              <v:stroke on="f" weight="2pt"/>
              <v:imagedata o:title=""/>
              <o:lock v:ext="edit"/>
            </v:rect>
            <v:rect id="矩形 14" o:spid="_x0000_s103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19050" t="0" r="0" b="0"/>
            <wp:wrapNone/>
            <wp:docPr id="10"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2"/>
                    <pic:cNvPicPr>
                      <a:picLocks noChangeAspect="1" noChangeArrowheads="1"/>
                    </pic:cNvPicPr>
                  </pic:nvPicPr>
                  <pic:blipFill>
                    <a:blip r:embed="rId7"/>
                    <a:srcRect/>
                    <a:stretch>
                      <a:fillRect/>
                    </a:stretch>
                  </pic:blipFill>
                  <pic:spPr>
                    <a:xfrm>
                      <a:off x="0" y="0"/>
                      <a:ext cx="7585710" cy="10727055"/>
                    </a:xfrm>
                    <a:prstGeom prst="rect">
                      <a:avLst/>
                    </a:prstGeom>
                    <a:noFill/>
                  </pic:spPr>
                </pic:pic>
              </a:graphicData>
            </a:graphic>
          </wp:anchor>
        </w:drawing>
      </w:r>
      <w:r>
        <w:pict>
          <v:shape id="文本框 118" o:spid="_x0000_s1035" o:spt="202" type="#_x0000_t202" style="position:absolute;left:0pt;margin-left:-97.3pt;margin-top:259.1pt;height:81.7pt;width:613.65pt;z-index:251670528;mso-width-relative:page;mso-height-relative:page;" filled="f" stroked="f" coordsize="21600,2160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第一部分部门概况</w:t>
                  </w:r>
                </w:p>
              </w:txbxContent>
            </v:textbox>
          </v:shape>
        </w:pict>
      </w:r>
    </w:p>
    <w:p/>
    <w:p/>
    <w:p/>
    <w:p/>
    <w:p/>
    <w:p/>
    <w:p/>
    <w:p/>
    <w:p/>
    <w:p/>
    <w:p/>
    <w:p/>
    <w:p/>
    <w:p/>
    <w:p/>
    <w:p>
      <w:pPr>
        <w:pStyle w:val="2"/>
        <w:spacing w:before="0" w:after="0" w:line="600" w:lineRule="exact"/>
        <w:jc w:val="left"/>
        <w:rPr>
          <w:rFonts w:ascii="黑体" w:hAnsi="Cambria" w:eastAsia="黑体" w:cs="黑体"/>
          <w:b w:val="0"/>
          <w:bCs w:val="0"/>
          <w:kern w:val="0"/>
          <w:sz w:val="32"/>
          <w:szCs w:val="32"/>
        </w:rPr>
      </w:pPr>
      <w:r>
        <w:pict>
          <v:group id="组合 15" o:spid="_x0000_s1036" o:spt="203" style="position:absolute;left:0pt;margin-left:-80.8pt;margin-top:39.5pt;height:46.7pt;width:245.25pt;mso-position-vertical-relative:page;z-index:251662336;mso-width-relative:page;mso-height-relative:page;" coordorigin="4551,52615" coordsize="8546,1398203">
            <o:lock v:ext="edit"/>
            <v:rect id="_x0000_s1037" o:spid="_x0000_s1037" o:spt="1" style="position:absolute;left:4551;top:52615;height:1175;width:8546;v-text-anchor:middle;" fillcolor="#96DA9D" filled="t" stroked="f" coordsize="21600,21600">
              <v:path/>
              <v:fill on="t" focussize="0,0"/>
              <v:stroke on="f" weight="2pt"/>
              <v:imagedata o:title=""/>
              <o:lock v:ext="edit"/>
            </v:rect>
            <v:rect id="_x0000_s1038" o:spid="_x0000_s103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pStyle w:val="33"/>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（一）基本情况</w:t>
      </w:r>
    </w:p>
    <w:p>
      <w:pPr>
        <w:ind w:firstLine="64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主要职能：</w:t>
      </w:r>
    </w:p>
    <w:p>
      <w:pPr>
        <w:pStyle w:val="34"/>
        <w:widowControl/>
        <w:spacing w:line="520" w:lineRule="exact"/>
        <w:ind w:firstLine="640" w:firstLineChars="200"/>
        <w:jc w:val="both"/>
        <w:rPr>
          <w:rFonts w:ascii="仿宋_GB2312" w:hAnsi="仿宋" w:eastAsia="仿宋_GB2312" w:cs="仿宋_GB2312"/>
          <w:color w:val="000000"/>
          <w:sz w:val="32"/>
          <w:szCs w:val="32"/>
        </w:rPr>
      </w:pPr>
      <w:r>
        <w:rPr>
          <w:rFonts w:hint="eastAsia" w:ascii="仿宋_GB2312" w:hAnsi="仿宋" w:eastAsia="仿宋_GB2312" w:cs="仿宋_GB2312"/>
          <w:color w:val="000000"/>
          <w:sz w:val="32"/>
          <w:szCs w:val="32"/>
        </w:rPr>
        <w:t>根据中共保定市委、保定市人民政府《关于区乡机构改革的实施意见》（保发[2001]17号），共青团满城区委机关职能配置和人员编制确定如下：</w:t>
      </w:r>
    </w:p>
    <w:p>
      <w:pPr>
        <w:pStyle w:val="34"/>
        <w:widowControl/>
        <w:numPr>
          <w:ilvl w:val="0"/>
          <w:numId w:val="1"/>
        </w:numPr>
        <w:spacing w:line="520" w:lineRule="exact"/>
        <w:ind w:firstLine="640" w:firstLineChars="200"/>
        <w:jc w:val="both"/>
        <w:rPr>
          <w:rFonts w:ascii="仿宋_GB2312" w:hAnsi="仿宋" w:eastAsia="仿宋_GB2312" w:cs="仿宋_GB2312"/>
          <w:color w:val="000000"/>
          <w:sz w:val="32"/>
          <w:szCs w:val="32"/>
        </w:rPr>
      </w:pPr>
      <w:r>
        <w:rPr>
          <w:rFonts w:hint="eastAsia" w:ascii="仿宋_GB2312" w:hAnsi="仿宋" w:eastAsia="仿宋_GB2312" w:cs="仿宋_GB2312"/>
          <w:color w:val="000000"/>
          <w:sz w:val="32"/>
          <w:szCs w:val="32"/>
        </w:rPr>
        <w:t>行使共青团满城区委赋予的领导全区共青团工作，指导全区青联、学联和少先队工作的职权，对全区性青年的社团组织进行指导和管理。</w:t>
      </w:r>
    </w:p>
    <w:p>
      <w:pPr>
        <w:pStyle w:val="34"/>
        <w:widowControl/>
        <w:numPr>
          <w:ilvl w:val="0"/>
          <w:numId w:val="1"/>
        </w:numPr>
        <w:spacing w:line="520" w:lineRule="exact"/>
        <w:ind w:firstLine="640" w:firstLineChars="200"/>
        <w:jc w:val="both"/>
        <w:rPr>
          <w:rFonts w:ascii="仿宋_GB2312" w:hAnsi="仿宋" w:eastAsia="仿宋_GB2312" w:cs="Times New Roman"/>
          <w:color w:val="000000"/>
          <w:sz w:val="32"/>
          <w:szCs w:val="32"/>
        </w:rPr>
      </w:pPr>
      <w:r>
        <w:rPr>
          <w:rFonts w:hint="eastAsia" w:ascii="仿宋_GB2312" w:hAnsi="仿宋" w:eastAsia="仿宋_GB2312" w:cs="仿宋_GB2312"/>
          <w:color w:val="000000"/>
          <w:sz w:val="32"/>
          <w:szCs w:val="32"/>
        </w:rPr>
        <w:t>参与制定本区的青少年事业发展规划，对青少年组织和服务机构的建设等事务进行规划和管理。</w:t>
      </w:r>
    </w:p>
    <w:p>
      <w:pPr>
        <w:pStyle w:val="34"/>
        <w:widowControl/>
        <w:spacing w:line="520" w:lineRule="exact"/>
        <w:ind w:firstLine="640" w:firstLineChars="200"/>
        <w:jc w:val="both"/>
        <w:rPr>
          <w:rFonts w:ascii="仿宋_GB2312" w:hAnsi="仿宋" w:eastAsia="仿宋_GB2312" w:cs="Times New Roman"/>
          <w:color w:val="000000"/>
          <w:sz w:val="32"/>
          <w:szCs w:val="32"/>
        </w:rPr>
      </w:pPr>
      <w:r>
        <w:rPr>
          <w:rFonts w:hint="eastAsia" w:ascii="仿宋_GB2312" w:hAnsi="仿宋" w:eastAsia="仿宋_GB2312" w:cs="仿宋_GB2312"/>
          <w:color w:val="000000"/>
          <w:sz w:val="32"/>
          <w:szCs w:val="32"/>
        </w:rPr>
        <w:t>（三）参与本区有关青少年事务的地方性法规的制定和实施，协助区委、区政府处理、协调与青少年利益相关的事务。</w:t>
      </w:r>
    </w:p>
    <w:p>
      <w:pPr>
        <w:pStyle w:val="34"/>
        <w:widowControl/>
        <w:spacing w:line="520" w:lineRule="exact"/>
        <w:ind w:firstLine="640" w:firstLineChars="200"/>
        <w:jc w:val="both"/>
        <w:rPr>
          <w:rFonts w:ascii="仿宋_GB2312" w:hAnsi="仿宋" w:eastAsia="仿宋_GB2312" w:cs="仿宋_GB2312"/>
          <w:color w:val="000000"/>
          <w:sz w:val="32"/>
          <w:szCs w:val="32"/>
        </w:rPr>
      </w:pPr>
      <w:r>
        <w:rPr>
          <w:rFonts w:hint="eastAsia" w:ascii="仿宋_GB2312" w:hAnsi="仿宋" w:eastAsia="仿宋_GB2312" w:cs="仿宋_GB2312"/>
          <w:color w:val="000000"/>
          <w:sz w:val="32"/>
          <w:szCs w:val="32"/>
        </w:rPr>
        <w:t>（四）调查青年思想动态和青年工作状况，研究青少年运动，青少年工作理论和思想教育问题，提出相应对策，开展各种活动。</w:t>
      </w:r>
    </w:p>
    <w:p>
      <w:pPr>
        <w:pStyle w:val="34"/>
        <w:widowControl/>
        <w:spacing w:line="520" w:lineRule="exact"/>
        <w:ind w:firstLine="640" w:firstLineChars="200"/>
        <w:jc w:val="both"/>
        <w:rPr>
          <w:rFonts w:ascii="仿宋_GB2312" w:hAnsi="仿宋" w:eastAsia="仿宋_GB2312" w:cs="Times New Roman"/>
          <w:color w:val="000000"/>
          <w:sz w:val="32"/>
          <w:szCs w:val="32"/>
        </w:rPr>
      </w:pPr>
      <w:r>
        <w:rPr>
          <w:rFonts w:hint="eastAsia" w:ascii="仿宋_GB2312" w:hAnsi="仿宋" w:eastAsia="仿宋_GB2312" w:cs="仿宋_GB2312"/>
          <w:color w:val="000000"/>
          <w:sz w:val="32"/>
          <w:szCs w:val="32"/>
        </w:rPr>
        <w:t>（五）协助区政府教育部门做好大、中、小学生的教育管理工作，利用青少年宫、团校等阵地，加强对青少年的思想道德和素质教育，维护学校稳定和社会安定团结。</w:t>
      </w:r>
    </w:p>
    <w:p>
      <w:pPr>
        <w:pStyle w:val="34"/>
        <w:widowControl/>
        <w:spacing w:line="520" w:lineRule="exact"/>
        <w:ind w:firstLine="640" w:firstLineChars="200"/>
        <w:jc w:val="both"/>
        <w:rPr>
          <w:rFonts w:ascii="仿宋_GB2312" w:hAnsi="仿宋" w:eastAsia="仿宋_GB2312" w:cs="Times New Roman"/>
          <w:color w:val="000000"/>
          <w:sz w:val="32"/>
          <w:szCs w:val="32"/>
        </w:rPr>
      </w:pPr>
      <w:r>
        <w:rPr>
          <w:rFonts w:hint="eastAsia" w:ascii="仿宋_GB2312" w:hAnsi="仿宋" w:eastAsia="仿宋_GB2312" w:cs="仿宋_GB2312"/>
          <w:color w:val="000000"/>
          <w:sz w:val="32"/>
          <w:szCs w:val="32"/>
        </w:rPr>
        <w:t>（六）以争创青年文明号、青年文明社区为载体，开展各种形式的精神文明创建活动。</w:t>
      </w:r>
    </w:p>
    <w:p>
      <w:pPr>
        <w:pStyle w:val="34"/>
        <w:widowControl/>
        <w:spacing w:line="520" w:lineRule="exact"/>
        <w:ind w:firstLine="640" w:firstLineChars="200"/>
        <w:jc w:val="both"/>
        <w:rPr>
          <w:rFonts w:ascii="仿宋_GB2312" w:hAnsi="仿宋" w:eastAsia="仿宋_GB2312" w:cs="仿宋_GB2312"/>
          <w:color w:val="000000"/>
          <w:sz w:val="32"/>
          <w:szCs w:val="32"/>
        </w:rPr>
      </w:pPr>
      <w:r>
        <w:rPr>
          <w:rFonts w:hint="eastAsia" w:ascii="仿宋_GB2312" w:hAnsi="仿宋" w:eastAsia="仿宋_GB2312" w:cs="仿宋_GB2312"/>
          <w:color w:val="000000"/>
          <w:sz w:val="32"/>
          <w:szCs w:val="32"/>
        </w:rPr>
        <w:t>（七）组织、带领广大农村青年在农业生产中增效增收、成长成才。</w:t>
      </w:r>
    </w:p>
    <w:p>
      <w:pPr>
        <w:pStyle w:val="34"/>
        <w:widowControl/>
        <w:spacing w:line="520" w:lineRule="exact"/>
        <w:ind w:firstLine="640" w:firstLineChars="200"/>
        <w:jc w:val="both"/>
        <w:rPr>
          <w:rFonts w:ascii="仿宋_GB2312" w:hAnsi="仿宋" w:eastAsia="仿宋_GB2312" w:cs="仿宋_GB2312"/>
          <w:color w:val="000000"/>
          <w:sz w:val="32"/>
          <w:szCs w:val="32"/>
        </w:rPr>
      </w:pPr>
      <w:r>
        <w:rPr>
          <w:rFonts w:hint="eastAsia" w:ascii="仿宋_GB2312" w:hAnsi="仿宋" w:eastAsia="仿宋_GB2312" w:cs="仿宋_GB2312"/>
          <w:color w:val="000000"/>
          <w:sz w:val="32"/>
          <w:szCs w:val="32"/>
        </w:rPr>
        <w:t>（八）实施希望工程，筹集资金，救助贫困学生，改善办学条件。</w:t>
      </w:r>
    </w:p>
    <w:p>
      <w:pPr>
        <w:pStyle w:val="34"/>
        <w:widowControl/>
        <w:spacing w:line="520" w:lineRule="exact"/>
        <w:ind w:firstLine="640" w:firstLineChars="200"/>
        <w:jc w:val="both"/>
        <w:rPr>
          <w:rFonts w:ascii="仿宋_GB2312" w:hAnsi="仿宋" w:eastAsia="仿宋_GB2312" w:cs="仿宋_GB2312"/>
          <w:color w:val="000000"/>
          <w:sz w:val="32"/>
          <w:szCs w:val="32"/>
        </w:rPr>
      </w:pPr>
      <w:r>
        <w:rPr>
          <w:rFonts w:hint="eastAsia" w:ascii="仿宋_GB2312" w:hAnsi="仿宋" w:eastAsia="仿宋_GB2312" w:cs="仿宋_GB2312"/>
          <w:color w:val="000000"/>
          <w:sz w:val="32"/>
          <w:szCs w:val="32"/>
        </w:rPr>
        <w:t>（九）在国家经济建设中，组织和带领青年发挥生力军和突击队作用。</w:t>
      </w:r>
    </w:p>
    <w:p>
      <w:pPr>
        <w:pStyle w:val="34"/>
        <w:widowControl/>
        <w:spacing w:line="520" w:lineRule="exact"/>
        <w:ind w:firstLine="640" w:firstLineChars="200"/>
        <w:jc w:val="both"/>
        <w:rPr>
          <w:rFonts w:ascii="仿宋_GB2312" w:hAnsi="仿宋" w:eastAsia="仿宋_GB2312" w:cs="仿宋_GB2312"/>
          <w:color w:val="000000"/>
          <w:sz w:val="32"/>
          <w:szCs w:val="32"/>
        </w:rPr>
      </w:pPr>
      <w:r>
        <w:rPr>
          <w:rFonts w:hint="eastAsia" w:ascii="仿宋_GB2312" w:hAnsi="仿宋" w:eastAsia="仿宋_GB2312" w:cs="仿宋_GB2312"/>
          <w:color w:val="000000"/>
          <w:sz w:val="32"/>
          <w:szCs w:val="32"/>
        </w:rPr>
        <w:t>（十）参与制定有关本区青年统战工作的办法，做好青年统战对象的团结教育工作，维护和促进祖国统一和民族团结。</w:t>
      </w:r>
    </w:p>
    <w:p>
      <w:pPr>
        <w:rPr>
          <w:rFonts w:ascii="仿宋_GB2312" w:hAnsi="仿宋" w:eastAsia="仿宋_GB2312" w:cs="仿宋_GB2312"/>
          <w:color w:val="000000"/>
          <w:sz w:val="32"/>
          <w:szCs w:val="32"/>
        </w:rPr>
      </w:pPr>
      <w:r>
        <w:rPr>
          <w:rFonts w:hint="eastAsia" w:ascii="仿宋_GB2312" w:hAnsi="仿宋" w:eastAsia="仿宋_GB2312" w:cs="仿宋_GB2312"/>
          <w:color w:val="000000"/>
          <w:sz w:val="32"/>
          <w:szCs w:val="32"/>
        </w:rPr>
        <w:t>（十一）承担区委、区政府和团市委交办的有关事项。</w:t>
      </w:r>
    </w:p>
    <w:p>
      <w:pPr>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机构情况：</w:t>
      </w:r>
    </w:p>
    <w:p>
      <w:pPr>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中国共产主义青年团保定市满城区委员会机关设科级综合办事机构1个：办公室。</w:t>
      </w:r>
    </w:p>
    <w:p>
      <w:pPr>
        <w:pStyle w:val="33"/>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人员情况：</w:t>
      </w:r>
    </w:p>
    <w:p>
      <w:pPr>
        <w:pStyle w:val="33"/>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我单位编制人数4人，其中行政编制4人。</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hint="eastAsia" w:ascii="仿宋_GB2312" w:hAnsi="Cambria" w:eastAsia="仿宋_GB2312" w:cs="ArialUnicodeMS"/>
          <w:kern w:val="0"/>
          <w:sz w:val="32"/>
          <w:szCs w:val="32"/>
          <w:lang w:val="en-US" w:eastAsia="zh-CN"/>
        </w:rPr>
        <w:t>1</w:t>
      </w:r>
      <w:r>
        <w:rPr>
          <w:rFonts w:hint="eastAsia" w:ascii="仿宋_GB2312" w:hAnsi="Cambria" w:eastAsia="仿宋_GB2312" w:cs="ArialUnicodeMS"/>
          <w:kern w:val="0"/>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团区委</w:t>
            </w:r>
          </w:p>
        </w:tc>
        <w:tc>
          <w:tcPr>
            <w:tcW w:w="244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行政单位</w:t>
            </w:r>
          </w:p>
        </w:tc>
        <w:tc>
          <w:tcPr>
            <w:tcW w:w="266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2</w:t>
            </w:r>
          </w:p>
        </w:tc>
        <w:tc>
          <w:tcPr>
            <w:tcW w:w="3485" w:type="dxa"/>
          </w:tcPr>
          <w:p>
            <w:pPr>
              <w:spacing w:after="0" w:line="560" w:lineRule="exact"/>
              <w:rPr>
                <w:rFonts w:ascii="仿宋_GB2312" w:hAnsi="Cambria" w:eastAsia="仿宋_GB2312" w:cs="ArialUnicodeMS"/>
                <w:kern w:val="0"/>
                <w:sz w:val="28"/>
                <w:szCs w:val="28"/>
              </w:rPr>
            </w:pPr>
          </w:p>
        </w:tc>
        <w:tc>
          <w:tcPr>
            <w:tcW w:w="2445" w:type="dxa"/>
          </w:tcPr>
          <w:p>
            <w:pPr>
              <w:spacing w:after="0" w:line="560" w:lineRule="exact"/>
              <w:jc w:val="center"/>
              <w:rPr>
                <w:rFonts w:ascii="仿宋_GB2312" w:hAnsi="Cambria" w:eastAsia="仿宋_GB2312" w:cs="ArialUnicodeMS"/>
                <w:kern w:val="0"/>
                <w:sz w:val="28"/>
                <w:szCs w:val="28"/>
              </w:rPr>
            </w:pPr>
          </w:p>
        </w:tc>
        <w:tc>
          <w:tcPr>
            <w:tcW w:w="2665" w:type="dxa"/>
          </w:tcPr>
          <w:p>
            <w:pPr>
              <w:spacing w:after="0" w:line="560" w:lineRule="exact"/>
              <w:jc w:val="center"/>
              <w:rPr>
                <w:rFonts w:ascii="仿宋_GB2312" w:hAnsi="Cambria"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3</w:t>
            </w:r>
          </w:p>
        </w:tc>
        <w:tc>
          <w:tcPr>
            <w:tcW w:w="3485" w:type="dxa"/>
          </w:tcPr>
          <w:p>
            <w:pPr>
              <w:spacing w:after="0" w:line="560" w:lineRule="exact"/>
              <w:rPr>
                <w:rFonts w:ascii="仿宋_GB2312" w:hAnsi="Cambria" w:eastAsia="仿宋_GB2312" w:cs="ArialUnicodeMS"/>
                <w:kern w:val="0"/>
                <w:sz w:val="28"/>
                <w:szCs w:val="28"/>
              </w:rPr>
            </w:pPr>
          </w:p>
        </w:tc>
        <w:tc>
          <w:tcPr>
            <w:tcW w:w="2445" w:type="dxa"/>
          </w:tcPr>
          <w:p>
            <w:pPr>
              <w:spacing w:after="0" w:line="560" w:lineRule="exact"/>
              <w:jc w:val="center"/>
              <w:rPr>
                <w:rFonts w:ascii="仿宋_GB2312" w:hAnsi="Cambria" w:eastAsia="仿宋_GB2312" w:cs="ArialUnicodeMS"/>
                <w:kern w:val="0"/>
                <w:sz w:val="28"/>
                <w:szCs w:val="28"/>
              </w:rPr>
            </w:pPr>
          </w:p>
        </w:tc>
        <w:tc>
          <w:tcPr>
            <w:tcW w:w="2665" w:type="dxa"/>
          </w:tcPr>
          <w:p>
            <w:pPr>
              <w:spacing w:after="0" w:line="560" w:lineRule="exact"/>
              <w:jc w:val="center"/>
              <w:rPr>
                <w:rFonts w:ascii="仿宋_GB2312" w:hAnsi="Cambria"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after="0" w:line="560" w:lineRule="exact"/>
              <w:jc w:val="left"/>
              <w:rPr>
                <w:rFonts w:ascii="仿宋_GB2312" w:hAnsi="Cambria" w:eastAsia="仿宋_GB2312" w:cs="ArialUnicodeMS"/>
                <w:kern w:val="0"/>
                <w:sz w:val="28"/>
                <w:szCs w:val="28"/>
              </w:rPr>
            </w:pPr>
          </w:p>
        </w:tc>
      </w:tr>
    </w:tbl>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19050" t="0" r="0" b="0"/>
            <wp:wrapNone/>
            <wp:docPr id="15"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2"/>
                    <pic:cNvPicPr>
                      <a:picLocks noChangeAspect="1" noChangeArrowheads="1"/>
                    </pic:cNvPicPr>
                  </pic:nvPicPr>
                  <pic:blipFill>
                    <a:blip r:embed="rId7"/>
                    <a:srcRect/>
                    <a:stretch>
                      <a:fillRect/>
                    </a:stretch>
                  </pic:blipFill>
                  <pic:spPr>
                    <a:xfrm>
                      <a:off x="0" y="0"/>
                      <a:ext cx="7571105" cy="10680065"/>
                    </a:xfrm>
                    <a:prstGeom prst="rect">
                      <a:avLst/>
                    </a:prstGeom>
                    <a:noFill/>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40" o:spt="202" type="#_x0000_t202" style="position:absolute;left:0pt;margin-left:-74.2pt;margin-top:120.3pt;height:159.1pt;width:596.2pt;z-index:251663360;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pict>
                <v:group id="组合 10" o:spid="_x0000_s1041" o:spt="203" style="position:absolute;left:0pt;margin-left:-70.25pt;margin-top:-81.85pt;height:41.2pt;width:243.2pt;mso-position-vertical-relative:page;z-index:251674624;mso-width-relative:page;mso-height-relative:page;" coordorigin="4551,52615" coordsize="8546,1398203">
                  <o:lock v:ext="edit"/>
                  <v:rect id="矩形 13" o:spid="_x0000_s1042" o:spt="1" style="position:absolute;left:4551;top:52615;height:1175;width:8546;v-text-anchor:middle;" fillcolor="#96DA9D" filled="t" stroked="f" coordsize="21600,21600">
                    <v:path/>
                    <v:fill on="t" focussize="0,0"/>
                    <v:stroke on="f" weight="2pt"/>
                    <v:imagedata o:title=""/>
                    <o:lock v:ext="edit"/>
                  </v:rect>
                  <v:rect id="矩形 14" o:spid="_x0000_s104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部门：团区委</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40.91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40.91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20"/>
                <w:szCs w:val="20"/>
              </w:rPr>
              <w:t>40.91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40.91</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20"/>
                <w:szCs w:val="20"/>
              </w:rPr>
              <w:t>40.91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40.91</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pict>
                <v:group id="组合 34" o:spid="_x0000_s1044" o:spt="203" style="position:absolute;left:0pt;margin-left:-82.75pt;margin-top:-81.1pt;height:41.2pt;width:243.2pt;mso-position-vertical-relative:page;z-index:251675648;mso-width-relative:page;mso-height-relative:page;" coordorigin="4551,52615" coordsize="8546,1398203">
                  <o:lock v:ext="edit"/>
                  <v:rect id="矩形 13" o:spid="_x0000_s1045" o:spt="1" style="position:absolute;left:4551;top:52615;height:1175;width:8546;v-text-anchor:middle;" fillcolor="#96DA9D" filled="t" stroked="f" coordsize="21600,21600">
                    <v:path/>
                    <v:fill on="t" focussize="0,0"/>
                    <v:stroke on="f" weight="2pt"/>
                    <v:imagedata o:title=""/>
                    <o:lock v:ext="edit"/>
                  </v:rect>
                  <v:rect id="矩形 14" o:spid="_x0000_s1046"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部门：团区委</w:t>
            </w: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r>
              <w:rPr>
                <w:rFonts w:hint="eastAsia" w:ascii="宋体" w:cs="宋体"/>
                <w:color w:val="000000"/>
                <w:sz w:val="20"/>
                <w:szCs w:val="20"/>
              </w:rPr>
              <w:t>40.91</w:t>
            </w: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r>
              <w:rPr>
                <w:rFonts w:hint="eastAsia" w:ascii="宋体" w:cs="宋体"/>
                <w:color w:val="000000"/>
                <w:sz w:val="20"/>
                <w:szCs w:val="20"/>
              </w:rPr>
              <w:t>40.91</w:t>
            </w: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pict>
                <v:group id="组合 38" o:spid="_x0000_s1047" o:spt="203" style="position:absolute;left:0pt;margin-left:-80.9pt;margin-top:-81.1pt;height:41.2pt;width:243.2pt;mso-position-vertical-relative:page;z-index:251676672;mso-width-relative:page;mso-height-relative:page;" coordorigin="4551,52615" coordsize="8546,1398203">
                  <o:lock v:ext="edit"/>
                  <v:rect id="矩形 13" o:spid="_x0000_s1048" o:spt="1" style="position:absolute;left:4551;top:52615;height:1175;width:8546;v-text-anchor:middle;" fillcolor="#96DA9D" filled="t" stroked="f" coordsize="21600,21600">
                    <v:path/>
                    <v:fill on="t" focussize="0,0"/>
                    <v:stroke on="f" weight="2pt"/>
                    <v:imagedata o:title=""/>
                    <o:lock v:ext="edit"/>
                  </v:rect>
                  <v:rect id="矩形 14" o:spid="_x0000_s1049"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部门：团区委</w:t>
            </w: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color w:val="000000"/>
                <w:sz w:val="20"/>
                <w:szCs w:val="20"/>
              </w:rPr>
              <w:t>40.91</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color w:val="000000"/>
                <w:sz w:val="20"/>
                <w:szCs w:val="20"/>
              </w:rPr>
              <w:t>40.91</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rPr>
              <w:t>2</w:t>
            </w:r>
            <w:r>
              <w:rPr>
                <w:rFonts w:hint="eastAsia" w:ascii="宋体" w:cs="宋体"/>
                <w:b/>
                <w:color w:val="000000"/>
                <w:szCs w:val="21"/>
                <w:lang w:val="en-US" w:eastAsia="zh-CN"/>
              </w:rPr>
              <w:t>.00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pict>
                <v:group id="组合 43" o:spid="_x0000_s1050" o:spt="203" style="position:absolute;left:0pt;margin-left:-80.9pt;margin-top:-81.1pt;height:41.2pt;width:243.2pt;mso-position-vertical-relative:page;z-index:251676672;mso-width-relative:page;mso-height-relative:page;" coordorigin="4551,52615" coordsize="8546,1398203">
                  <o:lock v:ext="edit"/>
                  <v:rect id="矩形 13" o:spid="_x0000_s1051" o:spt="1" style="position:absolute;left:4551;top:52615;height:1175;width:8546;v-text-anchor:middle;" fillcolor="#96DA9D" filled="t" stroked="f" coordsize="21600,21600">
                    <v:path/>
                    <v:fill on="t" focussize="0,0"/>
                    <v:stroke on="f" weight="2pt"/>
                    <v:imagedata o:title=""/>
                    <o:lock v:ext="edit"/>
                  </v:rect>
                  <v:rect id="矩形 14" o:spid="_x0000_s105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部门：团区委</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20"/>
                <w:szCs w:val="20"/>
              </w:rPr>
              <w:t>40.91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20"/>
                <w:szCs w:val="20"/>
              </w:rPr>
              <w:t>40.91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20"/>
                <w:szCs w:val="20"/>
              </w:rPr>
              <w:t>40.91</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20"/>
                <w:szCs w:val="20"/>
              </w:rPr>
              <w:t>40.91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20"/>
                <w:szCs w:val="20"/>
              </w:rPr>
              <w:t>40.91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20"/>
                <w:szCs w:val="20"/>
              </w:rPr>
              <w:t>40.91</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20"/>
                <w:szCs w:val="20"/>
              </w:rPr>
              <w:t>40.91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20"/>
                <w:szCs w:val="20"/>
              </w:rPr>
              <w:t>40.91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20"/>
                <w:szCs w:val="20"/>
              </w:rPr>
              <w:t>40.91</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pict>
                <v:group id="组合 46" o:spid="_x0000_s1053" o:spt="203" style="position:absolute;left:0pt;margin-left:-80.9pt;margin-top:-81.1pt;height:41.2pt;width:243.2pt;mso-position-vertical-relative:page;z-index:251677696;mso-width-relative:page;mso-height-relative:page;" coordorigin="4551,52615" coordsize="8546,1398203">
                  <o:lock v:ext="edit"/>
                  <v:rect id="矩形 13" o:spid="_x0000_s1054" o:spt="1" style="position:absolute;left:4551;top:52615;height:1175;width:8546;v-text-anchor:middle;" fillcolor="#96DA9D" filled="t" stroked="f" coordsize="21600,21600">
                    <v:path/>
                    <v:fill on="t" focussize="0,0"/>
                    <v:stroke on="f" weight="2pt"/>
                    <v:imagedata o:title=""/>
                    <o:lock v:ext="edit"/>
                  </v:rect>
                  <v:rect id="矩形 14" o:spid="_x0000_s105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部门：团区委</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color w:val="000000"/>
                <w:sz w:val="20"/>
                <w:szCs w:val="20"/>
              </w:rPr>
              <w:t>40.91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38.91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rPr>
              <w:t>2</w:t>
            </w:r>
            <w:r>
              <w:rPr>
                <w:rFonts w:hint="eastAsia" w:ascii="宋体" w:cs="宋体"/>
                <w:b/>
                <w:color w:val="000000"/>
                <w:szCs w:val="21"/>
                <w:lang w:val="en-US" w:eastAsia="zh-CN"/>
              </w:rPr>
              <w:t>.00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2"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pict>
                <v:group id="组合 49" o:spid="_x0000_s1056" o:spt="203" style="position:absolute;left:0pt;margin-left:-73.25pt;margin-top:-129.4pt;height:41.2pt;width:243.2pt;mso-position-vertical-relative:page;z-index:251678720;mso-width-relative:page;mso-height-relative:page;" coordorigin="4551,52615" coordsize="8546,1398203">
                  <o:lock v:ext="edit"/>
                  <v:rect id="矩形 13" o:spid="_x0000_s1057" o:spt="1" style="position:absolute;left:4551;top:52615;height:1175;width:8546;v-text-anchor:middle;" fillcolor="#96DA9D" filled="t" stroked="f" coordsize="21600,21600">
                    <v:path/>
                    <v:fill on="t" focussize="0,0"/>
                    <v:stroke on="f" weight="2pt"/>
                    <v:imagedata o:title=""/>
                    <o:lock v:ext="edit"/>
                  </v:rect>
                  <v:rect id="矩形 14" o:spid="_x0000_s105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宋体" w:hAnsi="宋体" w:cs="宋体"/>
                <w:color w:val="000000"/>
                <w:kern w:val="0"/>
                <w:sz w:val="22"/>
                <w:szCs w:val="22"/>
              </w:rPr>
              <w:t>团区委</w: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3"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3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5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3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5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31.23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7.63</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11.20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办公费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0.24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9.25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印刷费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3.86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咨询费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手续费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水费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3.41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邮电费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1.74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1.29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取暖费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0.3</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物业管理费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0.84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2.03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差旅费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因公出国（境）费用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维修（护）费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租赁费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0.03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会议费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培训费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公务接待费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专用材料费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被装购置费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专用燃料费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劳务费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委托业务费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工会经费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0.03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福利费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公务用车运行维护费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2.5</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其他交通费用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2.02</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税金及附加费用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31.27</w:t>
            </w:r>
          </w:p>
        </w:tc>
        <w:tc>
          <w:tcPr>
            <w:tcW w:w="5326"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7.63</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pict>
                <v:group id="组合 52" o:spid="_x0000_s1059" o:spt="203" style="position:absolute;left:0pt;margin-left:-82.75pt;margin-top:-81.1pt;height:41.2pt;width:243.2pt;mso-position-vertical-relative:page;z-index:251679744;mso-width-relative:page;mso-height-relative:page;" coordorigin="4551,52615" coordsize="8546,1398203">
                  <o:lock v:ext="edit"/>
                  <v:rect id="矩形 13" o:spid="_x0000_s1060" o:spt="1" style="position:absolute;left:4551;top:52615;height:1175;width:8546;v-text-anchor:middle;" fillcolor="#96DA9D" filled="t" stroked="f" coordsize="21600,21600">
                    <v:path/>
                    <v:fill on="t" focussize="0,0"/>
                    <v:stroke on="f" weight="2pt"/>
                    <v:imagedata o:title=""/>
                    <o:lock v:ext="edit"/>
                  </v:rect>
                  <v:rect id="矩形 14" o:spid="_x0000_s106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部门：团区委</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2.64</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2.64</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2.5</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0.14</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eastAsia" w:ascii="宋体" w:eastAsia="宋体" w:cs="宋体"/>
                <w:color w:val="000000"/>
                <w:szCs w:val="21"/>
                <w:lang w:val="en-US" w:eastAsia="zh-CN"/>
              </w:rPr>
            </w:pPr>
            <w:r>
              <w:rPr>
                <w:rFonts w:hint="eastAsia" w:ascii="宋体" w:cs="宋体"/>
                <w:color w:val="000000"/>
                <w:szCs w:val="21"/>
              </w:rPr>
              <w:t>2.5</w:t>
            </w:r>
            <w:r>
              <w:rPr>
                <w:rFonts w:hint="eastAsia" w:ascii="宋体" w:cs="宋体"/>
                <w:color w:val="000000"/>
                <w:szCs w:val="21"/>
                <w:lang w:val="en-US" w:eastAsia="zh-CN"/>
              </w:rPr>
              <w:t>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eastAsia" w:ascii="宋体" w:eastAsia="宋体" w:cs="宋体"/>
                <w:color w:val="000000"/>
                <w:szCs w:val="21"/>
                <w:lang w:val="en-US" w:eastAsia="zh-CN"/>
              </w:rPr>
            </w:pPr>
            <w:r>
              <w:rPr>
                <w:rFonts w:hint="eastAsia" w:ascii="宋体" w:cs="宋体"/>
                <w:color w:val="000000"/>
                <w:szCs w:val="21"/>
              </w:rPr>
              <w:t>2.5</w:t>
            </w:r>
            <w:r>
              <w:rPr>
                <w:rFonts w:hint="eastAsia" w:ascii="宋体" w:cs="宋体"/>
                <w:color w:val="000000"/>
                <w:szCs w:val="21"/>
                <w:lang w:val="en-US" w:eastAsia="zh-CN"/>
              </w:rPr>
              <w:t>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eastAsia" w:ascii="宋体" w:eastAsia="宋体" w:cs="宋体"/>
                <w:color w:val="000000"/>
                <w:szCs w:val="21"/>
                <w:lang w:val="en-US" w:eastAsia="zh-CN"/>
              </w:rPr>
            </w:pPr>
            <w:r>
              <w:rPr>
                <w:rFonts w:hint="eastAsia" w:ascii="宋体" w:cs="宋体"/>
                <w:color w:val="000000"/>
                <w:szCs w:val="21"/>
              </w:rPr>
              <w:t>2.5</w:t>
            </w:r>
            <w:r>
              <w:rPr>
                <w:rFonts w:hint="eastAsia" w:ascii="宋体" w:cs="宋体"/>
                <w:color w:val="000000"/>
                <w:szCs w:val="21"/>
                <w:lang w:val="en-US" w:eastAsia="zh-CN"/>
              </w:rPr>
              <w:t>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45" w:type="dxa"/>
        <w:tblInd w:w="15" w:type="dxa"/>
        <w:tblLayout w:type="fixed"/>
        <w:tblCellMar>
          <w:top w:w="0" w:type="dxa"/>
          <w:left w:w="0" w:type="dxa"/>
          <w:bottom w:w="0" w:type="dxa"/>
          <w:right w:w="0" w:type="dxa"/>
        </w:tblCellMar>
      </w:tblPr>
      <w:tblGrid>
        <w:gridCol w:w="281"/>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45"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pict>
                <v:group id="组合 55" o:spid="_x0000_s1062" o:spt="203" style="position:absolute;left:0pt;margin-left:-80.9pt;margin-top:-81.1pt;height:41.2pt;width:243.2pt;mso-position-vertical-relative:page;z-index:251680768;mso-width-relative:page;mso-height-relative:page;" coordorigin="4551,52615" coordsize="8546,1398203">
                  <o:lock v:ext="edit"/>
                  <v:rect id="矩形 13" o:spid="_x0000_s1063" o:spt="1" style="position:absolute;left:4551;top:52615;height:1175;width:8546;v-text-anchor:middle;" fillcolor="#96DA9D" filled="t" stroked="f" coordsize="21600,21600">
                    <v:path/>
                    <v:fill on="t" focussize="0,0"/>
                    <v:stroke on="f" weight="2pt"/>
                    <v:imagedata o:title=""/>
                    <o:lock v:ext="edit"/>
                  </v:rect>
                  <v:rect id="矩形 14" o:spid="_x0000_s106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8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62"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部门：团区委</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1996"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51"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51"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51"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1996"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1996"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5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5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5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5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5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5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5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5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5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5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45"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注：本部门本年度无相关收入（或支出、收支及结转结余等）情况，按要求空表列示。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pict>
                <v:group id="组合 58" o:spid="_x0000_s1065" o:spt="203" style="position:absolute;left:0pt;margin-left:-80.9pt;margin-top:-81.1pt;height:41.2pt;width:243.2pt;mso-position-vertical-relative:page;z-index:251681792;mso-width-relative:page;mso-height-relative:page;" coordorigin="4551,52615" coordsize="8546,1398203">
                  <o:lock v:ext="edit"/>
                  <v:rect id="矩形 13" o:spid="_x0000_s1066" o:spt="1" style="position:absolute;left:4551;top:52615;height:1175;width:8546;v-text-anchor:middle;" fillcolor="#96DA9D" filled="t" stroked="f" coordsize="21600,21600">
                    <v:path/>
                    <v:fill on="t" focussize="0,0"/>
                    <v:stroke on="f" weight="2pt"/>
                    <v:imagedata o:title=""/>
                    <o:lock v:ext="edit"/>
                  </v:rect>
                  <v:rect id="矩形 14" o:spid="_x0000_s106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编制单位：团区委</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Cs w:val="21"/>
              </w:rPr>
              <w:t>注：本部门本年度无相关收入（或支出、收支及结转结余等）情况，按要求空表列示。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pict>
                <v:group id="组合 61" o:spid="_x0000_s1068" o:spt="203" style="position:absolute;left:0pt;margin-left:-80.9pt;margin-top:-81.1pt;height:41.2pt;width:243.2pt;mso-position-vertical-relative:page;z-index:251682816;mso-width-relative:page;mso-height-relative:page;" coordorigin="4551,52615" coordsize="8546,1398203">
                  <o:lock v:ext="edit"/>
                  <v:rect id="矩形 13" o:spid="_x0000_s1069" o:spt="1" style="position:absolute;left:4551;top:52615;height:1175;width:8546;v-text-anchor:middle;" fillcolor="#96DA9D" filled="t" stroked="f" coordsize="21600,21600">
                    <v:path/>
                    <v:fill on="t" focussize="0,0"/>
                    <v:stroke on="f" weight="2pt"/>
                    <v:imagedata o:title=""/>
                    <o:lock v:ext="edit"/>
                  </v:rect>
                  <v:rect id="矩形 14" o:spid="_x0000_s107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编制单位：团区委</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注：本部门本年度无相关收入（或支出、收支及结转结余等）情况，按要求空表列示。</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19050" t="0" r="0" b="0"/>
            <wp:wrapNone/>
            <wp:docPr id="47"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2"/>
                    <pic:cNvPicPr>
                      <a:picLocks noChangeAspect="1" noChangeArrowheads="1"/>
                    </pic:cNvPicPr>
                  </pic:nvPicPr>
                  <pic:blipFill>
                    <a:blip r:embed="rId7"/>
                    <a:srcRect/>
                    <a:stretch>
                      <a:fillRect/>
                    </a:stretch>
                  </pic:blipFill>
                  <pic:spPr>
                    <a:xfrm>
                      <a:off x="0" y="0"/>
                      <a:ext cx="7550150" cy="10680065"/>
                    </a:xfrm>
                    <a:prstGeom prst="rect">
                      <a:avLst/>
                    </a:prstGeom>
                    <a:noFill/>
                  </pic:spPr>
                </pic:pic>
              </a:graphicData>
            </a:graphic>
          </wp:anchor>
        </w:drawing>
      </w:r>
      <w:r>
        <w:pict>
          <v:shape id="文本框 5" o:spid="_x0000_s1072" o:spt="202" type="#_x0000_t202" style="position:absolute;left:0pt;margin-left:-78.7pt;margin-top:232.8pt;height:159.1pt;width:596.2pt;z-index:25166540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73" o:spt="203" style="position:absolute;left:0pt;margin-left:-79.5pt;margin-top:29.3pt;height:43.95pt;width:301.85pt;mso-position-vertical-relative:page;z-index:251691008;mso-width-relative:page;mso-height-relative:page;" coordorigin="4551,52615" coordsize="8546,1398203">
            <o:lock v:ext="edit"/>
            <v:rect id="矩形 13" o:spid="_x0000_s1074" o:spt="1" style="position:absolute;left:4551;top:52615;height:1175;width:8546;v-text-anchor:middle;" fillcolor="#96DA9D" filled="t" stroked="f" coordsize="21600,21600">
              <v:path/>
              <v:fill on="t" focussize="0,0"/>
              <v:stroke on="f" weight="2pt"/>
              <v:imagedata o:title=""/>
              <o:lock v:ext="edit"/>
            </v:rect>
            <v:rect id="矩形 14" o:spid="_x0000_s107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color w:val="000000" w:themeColor="text1"/>
          <w:sz w:val="32"/>
          <w:szCs w:val="32"/>
        </w:rPr>
      </w:pPr>
      <w:r>
        <w:rPr>
          <w:rFonts w:hint="eastAsia" w:ascii="仿宋_GB2312" w:eastAsia="仿宋_GB2312" w:cs="DengXian-Regular"/>
          <w:color w:val="000000" w:themeColor="text1"/>
          <w:sz w:val="32"/>
          <w:szCs w:val="32"/>
        </w:rPr>
        <w:t>本部门</w:t>
      </w:r>
      <w:r>
        <w:rPr>
          <w:rFonts w:ascii="仿宋_GB2312" w:eastAsia="仿宋_GB2312" w:cs="DengXian-Regular"/>
          <w:color w:val="000000" w:themeColor="text1"/>
          <w:sz w:val="32"/>
          <w:szCs w:val="32"/>
        </w:rPr>
        <w:t>2018</w:t>
      </w:r>
      <w:r>
        <w:rPr>
          <w:rFonts w:hint="eastAsia" w:ascii="仿宋_GB2312" w:eastAsia="仿宋_GB2312" w:cs="DengXian-Regular"/>
          <w:color w:val="000000" w:themeColor="text1"/>
          <w:sz w:val="32"/>
          <w:szCs w:val="32"/>
        </w:rPr>
        <w:t>年度收入总计（含结转和结余）</w:t>
      </w:r>
      <w:r>
        <w:rPr>
          <w:rFonts w:hint="eastAsia" w:ascii="仿宋_GB2312" w:hAnsi="仿宋_GB2312" w:eastAsia="仿宋_GB2312" w:cs="仿宋_GB2312"/>
          <w:color w:val="000000" w:themeColor="text1"/>
          <w:sz w:val="32"/>
          <w:szCs w:val="32"/>
        </w:rPr>
        <w:t>40.91</w:t>
      </w:r>
      <w:r>
        <w:rPr>
          <w:rFonts w:hint="eastAsia" w:ascii="仿宋_GB2312" w:eastAsia="仿宋_GB2312" w:cs="DengXian-Regular"/>
          <w:color w:val="000000" w:themeColor="text1"/>
          <w:sz w:val="32"/>
          <w:szCs w:val="32"/>
        </w:rPr>
        <w:t>万元。与</w:t>
      </w:r>
      <w:r>
        <w:rPr>
          <w:rFonts w:ascii="仿宋_GB2312" w:eastAsia="仿宋_GB2312" w:cs="DengXian-Regular"/>
          <w:color w:val="000000" w:themeColor="text1"/>
          <w:sz w:val="32"/>
          <w:szCs w:val="32"/>
        </w:rPr>
        <w:t>2017</w:t>
      </w:r>
      <w:r>
        <w:rPr>
          <w:rFonts w:hint="eastAsia" w:ascii="仿宋_GB2312" w:eastAsia="仿宋_GB2312" w:cs="DengXian-Regular"/>
          <w:color w:val="000000" w:themeColor="text1"/>
          <w:sz w:val="32"/>
          <w:szCs w:val="32"/>
        </w:rPr>
        <w:t>年度决算相比，收入增加</w:t>
      </w:r>
      <w:r>
        <w:rPr>
          <w:rFonts w:hint="eastAsia" w:ascii="仿宋_GB2312" w:eastAsia="仿宋_GB2312" w:cs="DengXian-Regular"/>
          <w:color w:val="000000" w:themeColor="text1"/>
          <w:sz w:val="32"/>
          <w:szCs w:val="32"/>
          <w:lang w:val="en-US" w:eastAsia="zh-CN"/>
        </w:rPr>
        <w:t>5.56</w:t>
      </w:r>
      <w:r>
        <w:rPr>
          <w:rFonts w:hint="eastAsia" w:ascii="仿宋_GB2312" w:eastAsia="仿宋_GB2312" w:cs="DengXian-Regular"/>
          <w:color w:val="000000" w:themeColor="text1"/>
          <w:sz w:val="32"/>
          <w:szCs w:val="32"/>
        </w:rPr>
        <w:t>万元，增长</w:t>
      </w:r>
      <w:r>
        <w:rPr>
          <w:rFonts w:hint="eastAsia" w:ascii="仿宋_GB2312" w:eastAsia="仿宋_GB2312" w:cs="DengXian-Regular"/>
          <w:color w:val="000000" w:themeColor="text1"/>
          <w:sz w:val="32"/>
          <w:szCs w:val="32"/>
          <w:lang w:val="en-US" w:eastAsia="zh-CN"/>
        </w:rPr>
        <w:t>15.73</w:t>
      </w:r>
      <w:r>
        <w:rPr>
          <w:rFonts w:ascii="仿宋_GB2312" w:eastAsia="仿宋_GB2312" w:cs="DengXian-Regular"/>
          <w:color w:val="000000" w:themeColor="text1"/>
          <w:sz w:val="32"/>
          <w:szCs w:val="32"/>
        </w:rPr>
        <w:t>%</w:t>
      </w:r>
      <w:r>
        <w:rPr>
          <w:rFonts w:hint="eastAsia" w:ascii="仿宋_GB2312" w:eastAsia="仿宋_GB2312" w:cs="DengXian-Regular"/>
          <w:color w:val="000000" w:themeColor="text1"/>
          <w:sz w:val="32"/>
          <w:szCs w:val="32"/>
        </w:rPr>
        <w:t>，主要原因是</w:t>
      </w:r>
      <w:r>
        <w:rPr>
          <w:rFonts w:hint="eastAsia" w:ascii="仿宋_GB2312" w:eastAsia="仿宋_GB2312" w:cs="DengXian-Regular"/>
          <w:color w:val="000000" w:themeColor="text1"/>
          <w:sz w:val="32"/>
          <w:szCs w:val="32"/>
          <w:lang w:eastAsia="zh-CN"/>
        </w:rPr>
        <w:t>经费标准变化</w:t>
      </w:r>
      <w:r>
        <w:rPr>
          <w:rFonts w:hint="eastAsia" w:ascii="仿宋_GB2312" w:eastAsia="仿宋_GB2312" w:cs="DengXian-Regular"/>
          <w:color w:val="000000" w:themeColor="text1"/>
          <w:sz w:val="32"/>
          <w:szCs w:val="32"/>
        </w:rPr>
        <w:t>。本部门</w:t>
      </w:r>
      <w:r>
        <w:rPr>
          <w:rFonts w:ascii="仿宋_GB2312" w:eastAsia="仿宋_GB2312" w:cs="DengXian-Regular"/>
          <w:color w:val="000000" w:themeColor="text1"/>
          <w:sz w:val="32"/>
          <w:szCs w:val="32"/>
        </w:rPr>
        <w:t>2018</w:t>
      </w:r>
      <w:r>
        <w:rPr>
          <w:rFonts w:hint="eastAsia" w:ascii="仿宋_GB2312" w:eastAsia="仿宋_GB2312" w:cs="DengXian-Regular"/>
          <w:color w:val="000000" w:themeColor="text1"/>
          <w:sz w:val="32"/>
          <w:szCs w:val="32"/>
        </w:rPr>
        <w:t>年度支出总计（含结转和结余）40.91万元。与</w:t>
      </w:r>
      <w:r>
        <w:rPr>
          <w:rFonts w:ascii="仿宋_GB2312" w:eastAsia="仿宋_GB2312" w:cs="DengXian-Regular"/>
          <w:color w:val="000000" w:themeColor="text1"/>
          <w:sz w:val="32"/>
          <w:szCs w:val="32"/>
        </w:rPr>
        <w:t>2017</w:t>
      </w:r>
      <w:r>
        <w:rPr>
          <w:rFonts w:hint="eastAsia" w:ascii="仿宋_GB2312" w:eastAsia="仿宋_GB2312" w:cs="DengXian-Regular"/>
          <w:color w:val="000000" w:themeColor="text1"/>
          <w:sz w:val="32"/>
          <w:szCs w:val="32"/>
        </w:rPr>
        <w:t>年度决算相比，支出增加</w:t>
      </w:r>
      <w:r>
        <w:rPr>
          <w:rFonts w:hint="eastAsia" w:ascii="仿宋_GB2312" w:eastAsia="仿宋_GB2312" w:cs="DengXian-Regular"/>
          <w:color w:val="000000" w:themeColor="text1"/>
          <w:sz w:val="32"/>
          <w:szCs w:val="32"/>
          <w:lang w:val="en-US" w:eastAsia="zh-CN"/>
        </w:rPr>
        <w:t>5.56</w:t>
      </w:r>
      <w:r>
        <w:rPr>
          <w:rFonts w:hint="eastAsia" w:ascii="仿宋_GB2312" w:eastAsia="仿宋_GB2312" w:cs="DengXian-Regular"/>
          <w:color w:val="000000" w:themeColor="text1"/>
          <w:sz w:val="32"/>
          <w:szCs w:val="32"/>
        </w:rPr>
        <w:t>万元，增长</w:t>
      </w:r>
      <w:r>
        <w:rPr>
          <w:rFonts w:hint="eastAsia" w:ascii="仿宋_GB2312" w:eastAsia="仿宋_GB2312" w:cs="DengXian-Regular"/>
          <w:color w:val="000000" w:themeColor="text1"/>
          <w:sz w:val="32"/>
          <w:szCs w:val="32"/>
          <w:lang w:val="en-US" w:eastAsia="zh-CN"/>
        </w:rPr>
        <w:t>15.73</w:t>
      </w:r>
      <w:r>
        <w:rPr>
          <w:rFonts w:ascii="仿宋_GB2312" w:eastAsia="仿宋_GB2312" w:cs="DengXian-Regular"/>
          <w:color w:val="000000" w:themeColor="text1"/>
          <w:sz w:val="32"/>
          <w:szCs w:val="32"/>
        </w:rPr>
        <w:t>%</w:t>
      </w:r>
      <w:r>
        <w:rPr>
          <w:rFonts w:hint="eastAsia" w:ascii="仿宋_GB2312" w:eastAsia="仿宋_GB2312" w:cs="DengXian-Regular"/>
          <w:color w:val="000000" w:themeColor="text1"/>
          <w:sz w:val="32"/>
          <w:szCs w:val="32"/>
        </w:rPr>
        <w:t>，主要原因是</w:t>
      </w:r>
      <w:r>
        <w:rPr>
          <w:rFonts w:hint="eastAsia" w:ascii="仿宋_GB2312" w:eastAsia="仿宋_GB2312" w:cs="DengXian-Regular"/>
          <w:color w:val="000000" w:themeColor="text1"/>
          <w:sz w:val="32"/>
          <w:szCs w:val="32"/>
          <w:lang w:eastAsia="zh-CN"/>
        </w:rPr>
        <w:t>经费标准变化</w:t>
      </w:r>
      <w:r>
        <w:rPr>
          <w:rFonts w:hint="eastAsia" w:ascii="仿宋_GB2312" w:eastAsia="仿宋_GB2312" w:cs="DengXian-Regular"/>
          <w:color w:val="000000" w:themeColor="text1"/>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color w:val="000000" w:themeColor="text1"/>
          <w:sz w:val="32"/>
          <w:szCs w:val="32"/>
        </w:rPr>
      </w:pPr>
      <w:r>
        <w:rPr>
          <w:rFonts w:hint="eastAsia" w:ascii="仿宋_GB2312" w:eastAsia="仿宋_GB2312" w:cs="DengXian-Regular"/>
          <w:color w:val="000000" w:themeColor="text1"/>
          <w:sz w:val="32"/>
          <w:szCs w:val="32"/>
        </w:rPr>
        <w:t>本部门</w:t>
      </w:r>
      <w:r>
        <w:rPr>
          <w:rFonts w:ascii="仿宋_GB2312" w:eastAsia="仿宋_GB2312" w:cs="DengXian-Regular"/>
          <w:color w:val="000000" w:themeColor="text1"/>
          <w:sz w:val="32"/>
          <w:szCs w:val="32"/>
        </w:rPr>
        <w:t>2018</w:t>
      </w:r>
      <w:r>
        <w:rPr>
          <w:rFonts w:hint="eastAsia" w:ascii="仿宋_GB2312" w:eastAsia="仿宋_GB2312" w:cs="DengXian-Regular"/>
          <w:color w:val="000000" w:themeColor="text1"/>
          <w:sz w:val="32"/>
          <w:szCs w:val="32"/>
        </w:rPr>
        <w:t>年度本年收入合计</w:t>
      </w:r>
      <w:r>
        <w:rPr>
          <w:rFonts w:hint="eastAsia" w:ascii="仿宋_GB2312" w:hAnsi="仿宋_GB2312" w:eastAsia="仿宋_GB2312" w:cs="仿宋_GB2312"/>
          <w:color w:val="000000" w:themeColor="text1"/>
          <w:sz w:val="32"/>
          <w:szCs w:val="32"/>
        </w:rPr>
        <w:t>40.91</w:t>
      </w:r>
      <w:r>
        <w:rPr>
          <w:rFonts w:hint="eastAsia" w:ascii="仿宋_GB2312" w:eastAsia="仿宋_GB2312" w:cs="DengXian-Regular"/>
          <w:color w:val="000000" w:themeColor="text1"/>
          <w:sz w:val="32"/>
          <w:szCs w:val="32"/>
        </w:rPr>
        <w:t>万元，其中：财政拨款收入</w:t>
      </w:r>
      <w:r>
        <w:rPr>
          <w:rFonts w:hint="eastAsia" w:ascii="仿宋_GB2312" w:hAnsi="仿宋_GB2312" w:eastAsia="仿宋_GB2312" w:cs="仿宋_GB2312"/>
          <w:color w:val="000000" w:themeColor="text1"/>
          <w:sz w:val="32"/>
          <w:szCs w:val="32"/>
        </w:rPr>
        <w:t>40.91</w:t>
      </w:r>
      <w:r>
        <w:rPr>
          <w:rFonts w:hint="eastAsia" w:ascii="仿宋_GB2312" w:eastAsia="仿宋_GB2312" w:cs="DengXian-Regular"/>
          <w:color w:val="000000" w:themeColor="text1"/>
          <w:sz w:val="32"/>
          <w:szCs w:val="32"/>
        </w:rPr>
        <w:t>万元，占100</w:t>
      </w:r>
      <w:r>
        <w:rPr>
          <w:rFonts w:ascii="仿宋_GB2312" w:eastAsia="仿宋_GB2312" w:cs="DengXian-Regular"/>
          <w:color w:val="000000" w:themeColor="text1"/>
          <w:sz w:val="32"/>
          <w:szCs w:val="32"/>
        </w:rPr>
        <w:t>%</w:t>
      </w:r>
      <w:r>
        <w:rPr>
          <w:rFonts w:hint="eastAsia" w:ascii="仿宋_GB2312" w:eastAsia="仿宋_GB2312" w:cs="DengXian-Regular"/>
          <w:color w:val="000000" w:themeColor="text1"/>
          <w:sz w:val="32"/>
          <w:szCs w:val="32"/>
        </w:rPr>
        <w:t>。</w:t>
      </w:r>
      <w:r>
        <w:rPr>
          <w:rFonts w:hint="eastAsia" w:ascii="仿宋_GB2312" w:hAnsi="Times New Roman" w:eastAsia="仿宋_GB2312" w:cs="DengXian-Regular"/>
          <w:sz w:val="32"/>
          <w:szCs w:val="32"/>
        </w:rPr>
        <w:t>事业收入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；经营收入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；其他收入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p>
    <w:p>
      <w:pPr>
        <w:pStyle w:val="3"/>
        <w:spacing w:before="0" w:after="0" w:line="580" w:lineRule="exact"/>
        <w:ind w:firstLine="640" w:firstLineChars="200"/>
        <w:rPr>
          <w:rFonts w:ascii="黑体" w:eastAsia="黑体"/>
          <w:b w:val="0"/>
          <w:bCs w:val="0"/>
          <w:color w:val="000000" w:themeColor="text1"/>
        </w:rPr>
      </w:pPr>
      <w:r>
        <w:rPr>
          <w:rFonts w:hint="eastAsia" w:ascii="黑体" w:eastAsia="黑体"/>
          <w:b w:val="0"/>
          <w:bCs w:val="0"/>
          <w:color w:val="000000" w:themeColor="text1"/>
        </w:rPr>
        <w:t>三、支出决算情况说明</w:t>
      </w:r>
    </w:p>
    <w:p>
      <w:pPr>
        <w:adjustRightInd w:val="0"/>
        <w:snapToGrid w:val="0"/>
        <w:spacing w:after="0" w:line="580" w:lineRule="exact"/>
        <w:ind w:firstLine="640" w:firstLineChars="200"/>
        <w:rPr>
          <w:rFonts w:ascii="仿宋_GB2312" w:eastAsia="仿宋_GB2312" w:cs="DengXian-Regular"/>
          <w:color w:val="000000" w:themeColor="text1"/>
          <w:sz w:val="32"/>
          <w:szCs w:val="32"/>
        </w:rPr>
      </w:pPr>
      <w:r>
        <w:rPr>
          <w:rFonts w:hint="eastAsia" w:ascii="仿宋_GB2312" w:eastAsia="仿宋_GB2312" w:cs="DengXian-Regular"/>
          <w:color w:val="000000" w:themeColor="text1"/>
          <w:sz w:val="32"/>
          <w:szCs w:val="32"/>
        </w:rPr>
        <w:t>本部门</w:t>
      </w:r>
      <w:r>
        <w:rPr>
          <w:rFonts w:ascii="仿宋_GB2312" w:eastAsia="仿宋_GB2312" w:cs="DengXian-Regular"/>
          <w:color w:val="000000" w:themeColor="text1"/>
          <w:sz w:val="32"/>
          <w:szCs w:val="32"/>
        </w:rPr>
        <w:t>2018</w:t>
      </w:r>
      <w:r>
        <w:rPr>
          <w:rFonts w:hint="eastAsia" w:ascii="仿宋_GB2312" w:eastAsia="仿宋_GB2312" w:cs="DengXian-Regular"/>
          <w:color w:val="000000" w:themeColor="text1"/>
          <w:sz w:val="32"/>
          <w:szCs w:val="32"/>
        </w:rPr>
        <w:t>年度本年支出合计40.91万元，其中：基本支出38.91万元，占95.11</w:t>
      </w:r>
      <w:r>
        <w:rPr>
          <w:rFonts w:ascii="仿宋_GB2312" w:eastAsia="仿宋_GB2312" w:cs="DengXian-Regular"/>
          <w:color w:val="000000" w:themeColor="text1"/>
          <w:sz w:val="32"/>
          <w:szCs w:val="32"/>
        </w:rPr>
        <w:t>%</w:t>
      </w:r>
      <w:r>
        <w:rPr>
          <w:rFonts w:hint="eastAsia" w:ascii="仿宋_GB2312" w:eastAsia="仿宋_GB2312" w:cs="DengXian-Regular"/>
          <w:color w:val="000000" w:themeColor="text1"/>
          <w:sz w:val="32"/>
          <w:szCs w:val="32"/>
        </w:rPr>
        <w:t>；项目支出2万元，占4.89</w:t>
      </w:r>
      <w:r>
        <w:rPr>
          <w:rFonts w:ascii="仿宋_GB2312" w:eastAsia="仿宋_GB2312" w:cs="DengXian-Regular"/>
          <w:color w:val="000000" w:themeColor="text1"/>
          <w:sz w:val="32"/>
          <w:szCs w:val="32"/>
        </w:rPr>
        <w:t>%</w:t>
      </w:r>
      <w:r>
        <w:rPr>
          <w:rFonts w:hint="eastAsia" w:ascii="仿宋_GB2312" w:eastAsia="仿宋_GB2312" w:cs="DengXian-Regular"/>
          <w:color w:val="000000" w:themeColor="text1"/>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color w:val="000000" w:themeColor="text1"/>
          <w:sz w:val="32"/>
          <w:szCs w:val="32"/>
        </w:rPr>
      </w:pPr>
      <w:r>
        <w:rPr>
          <w:rFonts w:hint="eastAsia" w:ascii="仿宋_GB2312" w:eastAsia="仿宋_GB2312" w:cs="DengXian-Regular"/>
          <w:color w:val="000000" w:themeColor="text1"/>
          <w:sz w:val="32"/>
          <w:szCs w:val="32"/>
        </w:rPr>
        <w:t>本部门</w:t>
      </w:r>
      <w:r>
        <w:rPr>
          <w:rFonts w:ascii="仿宋_GB2312" w:eastAsia="仿宋_GB2312" w:cs="DengXian-Regular"/>
          <w:color w:val="000000" w:themeColor="text1"/>
          <w:sz w:val="32"/>
          <w:szCs w:val="32"/>
        </w:rPr>
        <w:t>2018</w:t>
      </w:r>
      <w:r>
        <w:rPr>
          <w:rFonts w:hint="eastAsia" w:ascii="仿宋_GB2312" w:eastAsia="仿宋_GB2312" w:cs="DengXian-Regular"/>
          <w:color w:val="000000" w:themeColor="text1"/>
          <w:sz w:val="32"/>
          <w:szCs w:val="32"/>
        </w:rPr>
        <w:t>年度形成的财政拨款收支均为一般公共预算财政拨款，其中一般公共预算财政拨款本年收入40.91万元</w:t>
      </w:r>
      <w:r>
        <w:rPr>
          <w:rFonts w:ascii="仿宋_GB2312" w:eastAsia="仿宋_GB2312" w:cs="DengXian-Regular"/>
          <w:color w:val="000000" w:themeColor="text1"/>
          <w:sz w:val="32"/>
          <w:szCs w:val="32"/>
        </w:rPr>
        <w:t>,</w:t>
      </w:r>
      <w:r>
        <w:rPr>
          <w:rFonts w:hint="eastAsia" w:ascii="仿宋_GB2312" w:eastAsia="仿宋_GB2312" w:cs="DengXian-Regular"/>
          <w:color w:val="000000" w:themeColor="text1"/>
          <w:sz w:val="32"/>
          <w:szCs w:val="32"/>
        </w:rPr>
        <w:t>比</w:t>
      </w:r>
      <w:r>
        <w:rPr>
          <w:rFonts w:ascii="仿宋_GB2312" w:eastAsia="仿宋_GB2312" w:cs="DengXian-Regular"/>
          <w:color w:val="000000" w:themeColor="text1"/>
          <w:sz w:val="32"/>
          <w:szCs w:val="32"/>
        </w:rPr>
        <w:t>2017</w:t>
      </w:r>
      <w:r>
        <w:rPr>
          <w:rFonts w:hint="eastAsia" w:ascii="仿宋_GB2312" w:eastAsia="仿宋_GB2312" w:cs="DengXian-Regular"/>
          <w:color w:val="000000" w:themeColor="text1"/>
          <w:sz w:val="32"/>
          <w:szCs w:val="32"/>
        </w:rPr>
        <w:t>年度增加</w:t>
      </w:r>
      <w:r>
        <w:rPr>
          <w:rFonts w:hint="eastAsia" w:ascii="仿宋_GB2312" w:eastAsia="仿宋_GB2312" w:cs="DengXian-Regular"/>
          <w:color w:val="000000" w:themeColor="text1"/>
          <w:sz w:val="32"/>
          <w:szCs w:val="32"/>
          <w:lang w:val="en-US" w:eastAsia="zh-CN"/>
        </w:rPr>
        <w:t>5.56</w:t>
      </w:r>
      <w:r>
        <w:rPr>
          <w:rFonts w:hint="eastAsia" w:ascii="仿宋_GB2312" w:eastAsia="仿宋_GB2312" w:cs="DengXian-Regular"/>
          <w:color w:val="000000" w:themeColor="text1"/>
          <w:sz w:val="32"/>
          <w:szCs w:val="32"/>
        </w:rPr>
        <w:t>万元，增长</w:t>
      </w:r>
      <w:r>
        <w:rPr>
          <w:rFonts w:hint="eastAsia" w:ascii="仿宋_GB2312" w:eastAsia="仿宋_GB2312" w:cs="DengXian-Regular"/>
          <w:color w:val="000000" w:themeColor="text1"/>
          <w:sz w:val="32"/>
          <w:szCs w:val="32"/>
          <w:lang w:val="en-US" w:eastAsia="zh-CN"/>
        </w:rPr>
        <w:t>15.73</w:t>
      </w:r>
      <w:r>
        <w:rPr>
          <w:rFonts w:ascii="仿宋_GB2312" w:eastAsia="仿宋_GB2312" w:cs="DengXian-Regular"/>
          <w:color w:val="000000" w:themeColor="text1"/>
          <w:sz w:val="32"/>
          <w:szCs w:val="32"/>
        </w:rPr>
        <w:t>%</w:t>
      </w:r>
      <w:r>
        <w:rPr>
          <w:rFonts w:hint="eastAsia" w:ascii="仿宋_GB2312" w:eastAsia="仿宋_GB2312" w:cs="DengXian-Regular"/>
          <w:color w:val="000000" w:themeColor="text1"/>
          <w:sz w:val="32"/>
          <w:szCs w:val="32"/>
        </w:rPr>
        <w:t>，主要是</w:t>
      </w:r>
      <w:r>
        <w:rPr>
          <w:rFonts w:hint="eastAsia" w:ascii="仿宋_GB2312" w:eastAsia="仿宋_GB2312" w:cs="DengXian-Regular"/>
          <w:color w:val="000000" w:themeColor="text1"/>
          <w:sz w:val="32"/>
          <w:szCs w:val="32"/>
          <w:lang w:eastAsia="zh-CN"/>
        </w:rPr>
        <w:t>经费标准变化</w:t>
      </w:r>
      <w:r>
        <w:rPr>
          <w:rFonts w:hint="eastAsia" w:ascii="仿宋_GB2312" w:eastAsia="仿宋_GB2312" w:cs="DengXian-Regular"/>
          <w:color w:val="000000" w:themeColor="text1"/>
          <w:sz w:val="32"/>
          <w:szCs w:val="32"/>
        </w:rPr>
        <w:t>；本年支出</w:t>
      </w:r>
      <w:r>
        <w:rPr>
          <w:rFonts w:hint="eastAsia" w:ascii="仿宋_GB2312" w:eastAsia="仿宋_GB2312" w:cs="DengXian-Regular"/>
          <w:color w:val="000000" w:themeColor="text1"/>
          <w:sz w:val="32"/>
          <w:szCs w:val="32"/>
          <w:lang w:val="en-US" w:eastAsia="zh-CN"/>
        </w:rPr>
        <w:t>40.91</w:t>
      </w:r>
      <w:r>
        <w:rPr>
          <w:rFonts w:hint="eastAsia" w:ascii="仿宋_GB2312" w:eastAsia="仿宋_GB2312" w:cs="DengXian-Regular"/>
          <w:color w:val="000000" w:themeColor="text1"/>
          <w:sz w:val="32"/>
          <w:szCs w:val="32"/>
        </w:rPr>
        <w:t>万元，增加</w:t>
      </w:r>
      <w:r>
        <w:rPr>
          <w:rFonts w:hint="eastAsia" w:ascii="仿宋_GB2312" w:eastAsia="仿宋_GB2312" w:cs="DengXian-Regular"/>
          <w:color w:val="000000" w:themeColor="text1"/>
          <w:sz w:val="32"/>
          <w:szCs w:val="32"/>
          <w:lang w:val="en-US" w:eastAsia="zh-CN"/>
        </w:rPr>
        <w:t>5.56</w:t>
      </w:r>
      <w:r>
        <w:rPr>
          <w:rFonts w:hint="eastAsia" w:ascii="仿宋_GB2312" w:eastAsia="仿宋_GB2312" w:cs="DengXian-Regular"/>
          <w:color w:val="000000" w:themeColor="text1"/>
          <w:sz w:val="32"/>
          <w:szCs w:val="32"/>
        </w:rPr>
        <w:t>万元，增长</w:t>
      </w:r>
      <w:r>
        <w:rPr>
          <w:rFonts w:hint="eastAsia" w:ascii="仿宋_GB2312" w:eastAsia="仿宋_GB2312" w:cs="DengXian-Regular"/>
          <w:color w:val="000000" w:themeColor="text1"/>
          <w:sz w:val="32"/>
          <w:szCs w:val="32"/>
          <w:lang w:val="en-US" w:eastAsia="zh-CN"/>
        </w:rPr>
        <w:t>15.73</w:t>
      </w:r>
      <w:r>
        <w:rPr>
          <w:rFonts w:ascii="仿宋_GB2312" w:eastAsia="仿宋_GB2312" w:cs="DengXian-Regular"/>
          <w:color w:val="000000" w:themeColor="text1"/>
          <w:sz w:val="32"/>
          <w:szCs w:val="32"/>
        </w:rPr>
        <w:t>%</w:t>
      </w:r>
      <w:r>
        <w:rPr>
          <w:rFonts w:hint="eastAsia" w:ascii="仿宋_GB2312" w:eastAsia="仿宋_GB2312" w:cs="DengXian-Regular"/>
          <w:color w:val="000000" w:themeColor="text1"/>
          <w:sz w:val="32"/>
          <w:szCs w:val="32"/>
        </w:rPr>
        <w:t>，主要是</w:t>
      </w:r>
      <w:r>
        <w:rPr>
          <w:rFonts w:hint="eastAsia" w:ascii="仿宋_GB2312" w:eastAsia="仿宋_GB2312" w:cs="DengXian-Regular"/>
          <w:color w:val="000000" w:themeColor="text1"/>
          <w:sz w:val="32"/>
          <w:szCs w:val="32"/>
          <w:lang w:eastAsia="zh-CN"/>
        </w:rPr>
        <w:t>经费标准变化</w:t>
      </w:r>
      <w:r>
        <w:rPr>
          <w:rFonts w:hint="eastAsia" w:ascii="仿宋_GB2312" w:eastAsia="仿宋_GB2312" w:cs="DengXian-Regular"/>
          <w:color w:val="000000" w:themeColor="text1"/>
          <w:sz w:val="32"/>
          <w:szCs w:val="32"/>
        </w:rPr>
        <w:t>。</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年度一般公共预算财政拨款收入40.91万元，完成年初预算的88.76</w:t>
      </w:r>
      <w:r>
        <w:rPr>
          <w:rFonts w:ascii="仿宋_GB2312" w:eastAsia="仿宋_GB2312" w:cs="DengXian-Regular"/>
          <w:sz w:val="32"/>
          <w:szCs w:val="32"/>
        </w:rPr>
        <w:t>%,</w:t>
      </w:r>
      <w:r>
        <w:rPr>
          <w:rFonts w:hint="eastAsia" w:ascii="仿宋_GB2312" w:eastAsia="仿宋_GB2312" w:cs="DengXian-Regular"/>
          <w:sz w:val="32"/>
          <w:szCs w:val="32"/>
        </w:rPr>
        <w:t>比年初预算减少5.18万元，决算数小于预算数主要原因是</w:t>
      </w:r>
      <w:r>
        <w:rPr>
          <w:rFonts w:hint="eastAsia" w:ascii="仿宋_GB2312" w:hAnsi="仿宋_GB2312" w:eastAsia="仿宋_GB2312" w:cs="仿宋_GB2312"/>
          <w:sz w:val="32"/>
          <w:szCs w:val="32"/>
        </w:rPr>
        <w:t>调</w:t>
      </w:r>
      <w:r>
        <w:rPr>
          <w:rFonts w:hint="eastAsia" w:ascii="宋体" w:hAnsi="宋体" w:cs="宋体"/>
          <w:sz w:val="32"/>
          <w:szCs w:val="32"/>
        </w:rPr>
        <w:t>走</w:t>
      </w:r>
      <w:r>
        <w:rPr>
          <w:rFonts w:hint="eastAsia" w:ascii="仿宋_GB2312" w:hAnsi="仿宋_GB2312" w:eastAsia="仿宋_GB2312" w:cs="仿宋_GB2312"/>
          <w:sz w:val="32"/>
          <w:szCs w:val="32"/>
        </w:rPr>
        <w:t>一名人员，从而使人员经费收入减少</w:t>
      </w:r>
      <w:r>
        <w:rPr>
          <w:rFonts w:hint="eastAsia" w:ascii="仿宋_GB2312" w:eastAsia="仿宋_GB2312" w:cs="DengXian-Regular"/>
          <w:sz w:val="32"/>
          <w:szCs w:val="32"/>
        </w:rPr>
        <w:t>；本年支出</w:t>
      </w:r>
      <w:r>
        <w:rPr>
          <w:rFonts w:hint="eastAsia" w:ascii="仿宋_GB2312" w:hAnsi="仿宋_GB2312" w:eastAsia="仿宋_GB2312" w:cs="仿宋_GB2312"/>
          <w:sz w:val="32"/>
          <w:szCs w:val="32"/>
        </w:rPr>
        <w:t>40.91</w:t>
      </w:r>
      <w:r>
        <w:rPr>
          <w:rFonts w:hint="eastAsia" w:ascii="仿宋_GB2312" w:eastAsia="仿宋_GB2312" w:cs="DengXian-Regular"/>
          <w:sz w:val="32"/>
          <w:szCs w:val="32"/>
        </w:rPr>
        <w:t>万元，完成年初预算的88.76</w:t>
      </w:r>
      <w:r>
        <w:rPr>
          <w:rFonts w:ascii="仿宋_GB2312" w:eastAsia="仿宋_GB2312" w:cs="DengXian-Regular"/>
          <w:sz w:val="32"/>
          <w:szCs w:val="32"/>
        </w:rPr>
        <w:t>%,</w:t>
      </w:r>
      <w:r>
        <w:rPr>
          <w:rFonts w:hint="eastAsia" w:ascii="仿宋_GB2312" w:eastAsia="仿宋_GB2312" w:cs="DengXian-Regular"/>
          <w:sz w:val="32"/>
          <w:szCs w:val="32"/>
        </w:rPr>
        <w:t>比年初预算减少5.18万元，决算数小</w:t>
      </w:r>
      <w:r>
        <w:pict>
          <v:group id="组合 76" o:spid="_x0000_s1091" o:spt="203" style="position:absolute;left:0pt;margin-left:-79.5pt;margin-top:29.3pt;height:43.95pt;width:301.85pt;mso-position-vertical-relative:page;z-index:251683840;mso-width-relative:page;mso-height-relative:page;" coordorigin="4551,52615" coordsize="8546,1398203">
            <o:lock v:ext="edit"/>
            <v:rect id="矩形 13" o:spid="_x0000_s1092" o:spt="1" style="position:absolute;left:4551;top:52615;height:1175;width:8546;v-text-anchor:middle;" fillcolor="#96DA9D" filled="t" stroked="f" coordsize="21600,21600">
              <v:path/>
              <v:fill on="t" focussize="0,0"/>
              <v:stroke on="f" weight="2pt"/>
              <v:imagedata o:title=""/>
              <o:lock v:ext="edit"/>
            </v:rect>
            <v:rect id="矩形 14" o:spid="_x0000_s109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于预算数主要原因是</w:t>
      </w:r>
      <w:r>
        <w:rPr>
          <w:rFonts w:hint="eastAsia" w:ascii="仿宋_GB2312" w:hAnsi="仿宋_GB2312" w:eastAsia="仿宋_GB2312" w:cs="仿宋_GB2312"/>
          <w:sz w:val="32"/>
          <w:szCs w:val="32"/>
        </w:rPr>
        <w:t>调</w:t>
      </w:r>
      <w:r>
        <w:rPr>
          <w:rFonts w:hint="eastAsia" w:ascii="宋体" w:hAnsi="宋体" w:cs="宋体"/>
          <w:sz w:val="32"/>
          <w:szCs w:val="32"/>
        </w:rPr>
        <w:t>走</w:t>
      </w:r>
      <w:r>
        <w:rPr>
          <w:rFonts w:hint="eastAsia" w:ascii="仿宋_GB2312" w:hAnsi="仿宋_GB2312" w:eastAsia="仿宋_GB2312" w:cs="仿宋_GB2312"/>
          <w:sz w:val="32"/>
          <w:szCs w:val="32"/>
        </w:rPr>
        <w:t>一名人员，从而使人员经费收入减少</w:t>
      </w:r>
      <w:r>
        <w:rPr>
          <w:rFonts w:hint="eastAsia" w:ascii="仿宋_GB2312" w:eastAsia="仿宋_GB2312" w:cs="DengXian-Regular"/>
          <w:sz w:val="32"/>
          <w:szCs w:val="32"/>
        </w:rPr>
        <w:t>。</w:t>
      </w:r>
    </w:p>
    <w:p>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年度财政拨款支出40.91万元，主要用于以下方面:一般公共服务（类）支出40.91万元，占100</w:t>
      </w:r>
      <w:r>
        <w:rPr>
          <w:rFonts w:ascii="仿宋_GB2312" w:eastAsia="仿宋_GB2312" w:cs="DengXian-Regular"/>
          <w:sz w:val="32"/>
          <w:szCs w:val="32"/>
        </w:rPr>
        <w:t>%</w:t>
      </w:r>
      <w:r>
        <w:pict>
          <v:group id="组合 2" o:spid="_x0000_s1097" o:spt="203" style="position:absolute;left:0pt;margin-left:86.35pt;margin-top:15.9pt;height:195.05pt;width:296.35pt;z-index:-251624448;mso-width-relative:page;mso-height-relative:page;" coordorigin="6921,180284" coordsize="5331,3886203">
            <o:lock v:ext="edit"/>
            <v:shape id="图片 1" o:spid="_x0000_s1098" o:spt="75" type="#_x0000_t75" style="position:absolute;left:7157;top:180284;height:2988;width:4586;" filled="f" o:preferrelative="t" stroked="f" coordsize="21600,21600">
              <v:path arrowok="t"/>
              <v:fill on="f" focussize="0,0"/>
              <v:stroke on="f" joinstyle="miter"/>
              <v:imagedata r:id="rId8" cropleft="2131f" croptop="1490f" cropright="1218f" cropbottom="5217f" o:title=""/>
              <o:lock v:ext="edit" aspectratio="t"/>
            </v:shape>
            <v:shape id="文本框 32" o:spid="_x0000_s1099" o:spt="202" type="#_x0000_t202" style="position:absolute;left:6921;top:183134;height:1036;width:5331;" fillcolor="#C8ECCC" filled="t" stroked="f" coordsize="21600,2160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w:t>
                    </w:r>
                    <w:r>
                      <w:rPr>
                        <w:rFonts w:ascii="仿宋_GB2312" w:eastAsia="仿宋_GB2312" w:cs="DengXian-Regular"/>
                        <w:sz w:val="28"/>
                        <w:szCs w:val="28"/>
                      </w:rPr>
                      <w:t>5</w:t>
                    </w:r>
                    <w:r>
                      <w:rPr>
                        <w:rFonts w:hint="eastAsia" w:ascii="仿宋_GB2312" w:eastAsia="仿宋_GB2312" w:cs="DengXian-Regular"/>
                        <w:sz w:val="28"/>
                        <w:szCs w:val="28"/>
                      </w:rPr>
                      <w:t>：财政拨款支出决算结构（按功能分类）</w:t>
                    </w:r>
                  </w:p>
                  <w:p>
                    <w:pPr>
                      <w:rPr>
                        <w:sz w:val="20"/>
                        <w:szCs w:val="22"/>
                      </w:rPr>
                    </w:pPr>
                  </w:p>
                </w:txbxContent>
              </v:textbox>
            </v:shape>
          </v:group>
        </w:pict>
      </w:r>
    </w:p>
    <w:p>
      <w:pPr>
        <w:adjustRightInd w:val="0"/>
        <w:snapToGrid w:val="0"/>
        <w:spacing w:after="0" w:line="580" w:lineRule="exact"/>
        <w:ind w:left="420" w:leftChars="200"/>
        <w:rPr>
          <w:rFonts w:ascii="楷体_GB2312" w:eastAsia="楷体_GB2312" w:cs="DengXian-Bold"/>
          <w:b/>
          <w:bCs/>
          <w:sz w:val="32"/>
          <w:szCs w:val="32"/>
        </w:rPr>
      </w:pPr>
      <w:r>
        <w:pict>
          <v:group id="组合 79" o:spid="_x0000_s1100" o:spt="203" style="position:absolute;left:0pt;margin-left:-79.5pt;margin-top:29.3pt;height:43.95pt;width:301.85pt;mso-position-vertical-relative:page;z-index:251684864;mso-width-relative:page;mso-height-relative:page;" coordorigin="4551,52615" coordsize="8546,1398203">
            <o:lock v:ext="edit"/>
            <v:rect id="矩形 13" o:spid="_x0000_s1101" o:spt="1" style="position:absolute;left:4551;top:52615;height:1175;width:8546;v-text-anchor:middle;" fillcolor="#96DA9D" filled="t" stroked="f" coordsize="21600,21600">
              <v:path/>
              <v:fill on="t" focussize="0,0"/>
              <v:stroke on="f" weight="2pt"/>
              <v:imagedata o:title=""/>
              <o:lock v:ext="edit"/>
            </v:rect>
            <v:rect id="矩形 14" o:spid="_x0000_s110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40.91万元，其中：人员经费31.25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ascii="仿宋_GB2312" w:eastAsia="仿宋_GB2312" w:cs="DengXian-Regular"/>
          <w:sz w:val="32"/>
          <w:szCs w:val="32"/>
        </w:rPr>
        <w:t xml:space="preserve"> </w:t>
      </w:r>
      <w:r>
        <w:rPr>
          <w:rFonts w:hint="eastAsia" w:ascii="仿宋_GB2312" w:eastAsia="仿宋_GB2312" w:cs="DengXian-Regular"/>
          <w:sz w:val="32"/>
          <w:szCs w:val="32"/>
        </w:rPr>
        <w:t>7.63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年度“三公”经费支出共计2.5万元，</w:t>
      </w:r>
      <w:r>
        <w:rPr>
          <w:rFonts w:hint="eastAsia" w:ascii="仿宋_GB2312" w:eastAsia="仿宋_GB2312" w:cs="DengXian-Regular"/>
          <w:b/>
          <w:bCs/>
          <w:sz w:val="32"/>
          <w:szCs w:val="32"/>
        </w:rPr>
        <w:t>较年初预算减少0.15万元，降低0.57</w:t>
      </w:r>
      <w:r>
        <w:rPr>
          <w:rFonts w:ascii="仿宋_GB2312" w:eastAsia="仿宋_GB2312" w:cs="DengXian-Regular"/>
          <w:b/>
          <w:bCs/>
          <w:sz w:val="32"/>
          <w:szCs w:val="32"/>
        </w:rPr>
        <w:t>%</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pict>
          <v:group id="_x0000_s1106" o:spid="_x0000_s1106" o:spt="203" style="position:absolute;left:0pt;margin-left:-79.5pt;margin-top:29.3pt;height:43.95pt;width:301.85pt;mso-position-vertical-relative:page;z-index:251685888;mso-width-relative:page;mso-height-relative:page;" coordorigin="4551,52615" coordsize="8546,1398203">
            <o:lock v:ext="edit"/>
            <v:rect id="矩形 13" o:spid="_x0000_s1107" o:spt="1" style="position:absolute;left:4551;top:52615;height:1175;width:8546;v-text-anchor:middle;" fillcolor="#96DA9D" filled="t" stroked="f" coordsize="21600,21600">
              <v:path/>
              <v:fill on="t" focussize="0,0"/>
              <v:stroke on="f" weight="2pt"/>
              <v:imagedata o:title=""/>
              <o:lock v:ext="edit"/>
            </v:rect>
            <v:rect id="矩形 14" o:spid="_x0000_s110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年度因公出国（境）团组0个、共0人</w:t>
      </w:r>
      <w:r>
        <w:rPr>
          <w:rFonts w:ascii="仿宋_GB2312" w:eastAsia="仿宋_GB2312" w:cs="DengXian-Regular"/>
          <w:sz w:val="32"/>
          <w:szCs w:val="32"/>
        </w:rPr>
        <w:t>/</w:t>
      </w:r>
      <w:r>
        <w:rPr>
          <w:rFonts w:hint="eastAsia" w:ascii="仿宋_GB2312" w:eastAsia="仿宋_GB2312" w:cs="DengXian-Regular"/>
          <w:sz w:val="32"/>
          <w:szCs w:val="32"/>
        </w:rPr>
        <w:t>参加其他单位组织的因公出国（境）团组0个、共0人</w:t>
      </w:r>
      <w:r>
        <w:rPr>
          <w:rFonts w:ascii="仿宋_GB2312" w:eastAsia="仿宋_GB2312" w:cs="DengXian-Regular"/>
          <w:sz w:val="32"/>
          <w:szCs w:val="32"/>
        </w:rPr>
        <w:t>/</w:t>
      </w:r>
      <w:r>
        <w:rPr>
          <w:rFonts w:hint="eastAsia" w:ascii="仿宋_GB2312" w:eastAsia="仿宋_GB2312" w:cs="DengXian-Regular"/>
          <w:sz w:val="32"/>
          <w:szCs w:val="32"/>
        </w:rPr>
        <w:t>无本单位组织的出国（境）团组。因公出国（境）费支出较年初预算增加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主要是未发生经费支出。</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（二）公务用车购置及运行维护费支出2</w:t>
      </w:r>
      <w:r>
        <w:rPr>
          <w:rFonts w:hint="eastAsia" w:ascii="宋体" w:hAnsi="宋体" w:cs="宋体"/>
          <w:b/>
          <w:bCs/>
          <w:sz w:val="32"/>
          <w:szCs w:val="32"/>
        </w:rPr>
        <w:t>.5</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年度公务用车购置及运行维护费较年初预算减少0万元，降低0</w:t>
      </w:r>
      <w:r>
        <w:rPr>
          <w:rFonts w:ascii="仿宋_GB2312" w:eastAsia="仿宋_GB2312" w:cs="DengXian-Regular"/>
          <w:sz w:val="32"/>
          <w:szCs w:val="32"/>
        </w:rPr>
        <w:t>%,</w:t>
      </w:r>
      <w:r>
        <w:rPr>
          <w:rFonts w:hint="eastAsia" w:ascii="仿宋_GB2312" w:eastAsia="仿宋_GB2312" w:cs="DengXian-Regular"/>
          <w:sz w:val="32"/>
          <w:szCs w:val="32"/>
        </w:rPr>
        <w:t>主要是与预算持平。</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年度公务用车购置量0辆，发生“公务用车购置”经费支出0万元。公务用车购置费支出较年初预算增加0万元，增长0</w:t>
      </w:r>
      <w:r>
        <w:rPr>
          <w:rFonts w:ascii="仿宋_GB2312" w:eastAsia="仿宋_GB2312" w:cs="DengXian-Regular"/>
          <w:sz w:val="32"/>
          <w:szCs w:val="32"/>
        </w:rPr>
        <w:t>%,</w:t>
      </w:r>
      <w:r>
        <w:rPr>
          <w:rFonts w:hint="eastAsia" w:ascii="仿宋_GB2312" w:eastAsia="仿宋_GB2312" w:cs="DengXian-Regular"/>
          <w:sz w:val="32"/>
          <w:szCs w:val="32"/>
        </w:rPr>
        <w:t>主要是未发生“公务用车购置”经费支出。</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年度单位公务用车保有量1辆。公车运行维护费支出较年初预算增加0万元，增长0</w:t>
      </w:r>
      <w:r>
        <w:rPr>
          <w:rFonts w:ascii="仿宋_GB2312" w:eastAsia="仿宋_GB2312" w:cs="DengXian-Regular"/>
          <w:sz w:val="32"/>
          <w:szCs w:val="32"/>
        </w:rPr>
        <w:t>%,</w:t>
      </w:r>
      <w:r>
        <w:rPr>
          <w:rFonts w:hint="eastAsia" w:ascii="仿宋_GB2312" w:eastAsia="仿宋_GB2312" w:cs="DengXian-Regular"/>
          <w:sz w:val="32"/>
          <w:szCs w:val="32"/>
        </w:rPr>
        <w:t>主要是与预算持平。</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（三）公务接待费支出0万元。</w:t>
      </w:r>
      <w:r>
        <w:pict>
          <v:group id="_x0000_s1109" o:spid="_x0000_s1109" o:spt="203" style="position:absolute;left:0pt;margin-left:-79.5pt;margin-top:29.3pt;height:43.95pt;width:301.85pt;mso-position-vertical-relative:page;z-index:251686912;mso-width-relative:page;mso-height-relative:page;" coordorigin="4551,52615" coordsize="8546,1398203">
            <o:lock v:ext="edit"/>
            <v:rect id="矩形 13" o:spid="_x0000_s1110" o:spt="1" style="position:absolute;left:4551;top:52615;height:1175;width:8546;v-text-anchor:middle;" fillcolor="#96DA9D" filled="t" stroked="f" coordsize="21600,21600">
              <v:path/>
              <v:fill on="t" focussize="0,0"/>
              <v:stroke on="f" weight="2pt"/>
              <v:imagedata o:title=""/>
              <o:lock v:ext="edit"/>
            </v:rect>
            <v:rect id="矩形 14" o:spid="_x0000_s111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年度公务接待共0批次、0人次。公务接待费支出较年初预算0减少0.14万元，降低100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（一）预算绩效管理工作开展情况。</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以来，团区委在区委、区政府和团市委的正确领导下，积极服务区委、区政府中心工作，努力优化青少年成长成才环境，各项职能得到充分发挥，自身建设得到有效提升。年初，针对贫困青少年，开展“青暖寒门学子，共筑温情暖冬”青少年新年圆梦行动，通过面向各乡镇贫困留守中小学生征集新年愿望，面向全社会征集“圆梦大使”，为我区168名建档立卡贫困中小学生实现了2019年新年愿望；以“五四”青年节、“六一”儿童节等节庆日为契机，深入开展了优秀团务工作者、优秀共青团员、优秀少先队辅导员、优秀少先队员、优秀青年志愿者等评选表彰工作，集中宣传、选树先进典型170余名；积极响应共青团中央号召，帮助全区大龄单身男女青年交友联谊，解决婚恋问题，举办了以“青春有约牵手七夕”为主题的系列交友连心活动。以建军七十周年、慰问部队子弟兵为契机，在武警支队举办军地交友联谊活动；积极参与文明城区创建活动，组织志愿者200余人，在我区各大路口，各交通干道参与文明交通引导、城市容貌整治等活动；针对留守儿童开展“青春守护点对点，情暖童心爱满城”活动。 积极开展</w:t>
      </w:r>
      <w:r>
        <w:rPr>
          <w:rFonts w:hint="eastAsia" w:ascii="仿宋_GB2312" w:hAnsi="仿宋_GB2312" w:eastAsia="仿宋_GB2312" w:cs="仿宋_GB2312"/>
          <w:sz w:val="32"/>
          <w:szCs w:val="32"/>
          <w:lang w:val="en-US" w:eastAsia="zh-CN"/>
        </w:rPr>
        <w:t>党的</w:t>
      </w:r>
      <w:r>
        <w:rPr>
          <w:rFonts w:hint="eastAsia" w:ascii="仿宋_GB2312" w:hAnsi="仿宋_GB2312" w:eastAsia="仿宋_GB2312" w:cs="仿宋_GB2312"/>
          <w:sz w:val="32"/>
          <w:szCs w:val="32"/>
        </w:rPr>
        <w:t>十九大精神学习贯彻活动，组织开展了“青春喜迎</w:t>
      </w:r>
      <w:r>
        <w:rPr>
          <w:rFonts w:hint="eastAsia" w:ascii="仿宋_GB2312" w:hAnsi="仿宋_GB2312" w:eastAsia="仿宋_GB2312" w:cs="仿宋_GB2312"/>
          <w:sz w:val="32"/>
          <w:szCs w:val="32"/>
          <w:lang w:val="en-US" w:eastAsia="zh-CN"/>
        </w:rPr>
        <w:t>党的</w:t>
      </w:r>
      <w:bookmarkStart w:id="0" w:name="_GoBack"/>
      <w:bookmarkEnd w:id="0"/>
      <w:r>
        <w:rPr>
          <w:rFonts w:hint="eastAsia" w:ascii="仿宋_GB2312" w:hAnsi="仿宋_GB2312" w:eastAsia="仿宋_GB2312" w:cs="仿宋_GB2312"/>
          <w:sz w:val="32"/>
          <w:szCs w:val="32"/>
        </w:rPr>
        <w:t>十九大 向党说句心里话”、“升国旗、唱国歌，祖国在我心中”视频征集活动。</w:t>
      </w:r>
    </w:p>
    <w:p>
      <w:pPr>
        <w:adjustRightInd w:val="0"/>
        <w:snapToGrid w:val="0"/>
        <w:spacing w:line="580" w:lineRule="exact"/>
        <w:ind w:firstLine="643" w:firstLineChars="200"/>
        <w:rPr>
          <w:rFonts w:hint="eastAsia" w:ascii="仿宋_GB2312" w:hAnsi="仿宋_GB2312" w:eastAsia="仿宋_GB2312" w:cs="仿宋_GB2312"/>
          <w:sz w:val="32"/>
          <w:szCs w:val="32"/>
        </w:rPr>
      </w:pPr>
      <w:r>
        <w:rPr>
          <w:rFonts w:ascii="仿宋_GB2312" w:hAnsi="仿宋_GB2312" w:eastAsia="仿宋_GB2312" w:cs="仿宋_GB2312"/>
          <w:b/>
          <w:bCs/>
          <w:sz w:val="32"/>
          <w:szCs w:val="32"/>
        </w:rPr>
        <w:t xml:space="preserve">2. </w:t>
      </w:r>
      <w:r>
        <w:rPr>
          <w:rFonts w:hint="eastAsia" w:ascii="仿宋_GB2312" w:hAnsi="仿宋_GB2312" w:eastAsia="仿宋_GB2312" w:cs="仿宋_GB2312"/>
          <w:b/>
          <w:bCs/>
          <w:sz w:val="32"/>
          <w:szCs w:val="32"/>
        </w:rPr>
        <w:t>部门决算中项目绩效自评结果。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按照省财政预算绩效管理要求，</w:t>
      </w:r>
      <w:r>
        <w:rPr>
          <w:rFonts w:hint="eastAsia" w:ascii="仿宋_GB2312" w:hAnsi="仿宋_GB2312" w:eastAsia="仿宋_GB2312" w:cs="仿宋_GB2312"/>
          <w:sz w:val="32"/>
          <w:szCs w:val="32"/>
          <w:lang w:val="en-US" w:eastAsia="zh-CN"/>
        </w:rPr>
        <w:t>满城区团委</w:t>
      </w:r>
      <w:r>
        <w:rPr>
          <w:rFonts w:hint="eastAsia" w:ascii="仿宋_GB2312" w:hAnsi="仿宋_GB2312" w:eastAsia="仿宋_GB2312" w:cs="仿宋_GB2312"/>
          <w:sz w:val="32"/>
          <w:szCs w:val="32"/>
        </w:rPr>
        <w:t>对</w:t>
      </w:r>
      <w:r>
        <w:rPr>
          <w:rFonts w:ascii="仿宋_GB2312" w:hAnsi="仿宋_GB2312" w:eastAsia="仿宋_GB2312" w:cs="仿宋_GB2312"/>
          <w:sz w:val="32"/>
          <w:szCs w:val="32"/>
        </w:rPr>
        <w:t xml:space="preserve"> 201</w:t>
      </w:r>
      <w:r>
        <w:rPr>
          <w:rFonts w:hint="eastAsia" w:ascii="仿宋_GB2312" w:hAnsi="仿宋_GB2312" w:eastAsia="仿宋_GB2312" w:cs="仿宋_GB2312"/>
          <w:sz w:val="32"/>
          <w:szCs w:val="32"/>
        </w:rPr>
        <w:t>9</w:t>
      </w:r>
      <w:r>
        <w:rPr>
          <w:rFonts w:ascii="仿宋_GB2312" w:hAnsi="仿宋_GB2312" w:eastAsia="仿宋_GB2312" w:cs="仿宋_GB2312"/>
          <w:sz w:val="32"/>
          <w:szCs w:val="32"/>
        </w:rPr>
        <w:t>年初确定的一般公共预算支出专项项目全面开展了绩效自评。绩效自评覆盖率达到100%。</w:t>
      </w:r>
    </w:p>
    <w:p>
      <w:pPr>
        <w:keepNext/>
        <w:keepLines/>
        <w:numPr>
          <w:ilvl w:val="0"/>
          <w:numId w:val="0"/>
        </w:numPr>
        <w:snapToGrid w:val="0"/>
        <w:spacing w:line="580" w:lineRule="exact"/>
        <w:ind w:firstLine="643" w:firstLineChars="200"/>
        <w:outlineLvl w:val="1"/>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财政评价项目绩效评价结果</w:t>
      </w:r>
    </w:p>
    <w:p>
      <w:pPr>
        <w:keepNext/>
        <w:keepLines/>
        <w:numPr>
          <w:ilvl w:val="0"/>
          <w:numId w:val="0"/>
        </w:numPr>
        <w:snapToGrid w:val="0"/>
        <w:spacing w:line="580" w:lineRule="exact"/>
        <w:ind w:firstLine="640" w:firstLineChars="200"/>
        <w:outlineLvl w:val="1"/>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我单位无财政评价项目绩效</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宋体" w:hAnsi="宋体" w:cs="宋体"/>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color w:val="1F497D" w:themeColor="text2"/>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年度机关运行经费支出0.16万元，比年初预算数增加0.16万元，增长100</w:t>
      </w:r>
      <w:r>
        <w:rPr>
          <w:rFonts w:ascii="仿宋_GB2312" w:eastAsia="仿宋_GB2312" w:cs="DengXian-Regular"/>
          <w:sz w:val="32"/>
          <w:szCs w:val="32"/>
        </w:rPr>
        <w:t>%</w:t>
      </w:r>
      <w:r>
        <w:rPr>
          <w:rFonts w:hint="eastAsia" w:ascii="仿宋_GB2312" w:eastAsia="仿宋_GB2312" w:cs="DengXian-Regular"/>
          <w:sz w:val="32"/>
          <w:szCs w:val="32"/>
        </w:rPr>
        <w:t>。主要原因是人员调入，经费增加。</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年度政府采购支出总额0万元，从采购类型来看，</w:t>
      </w:r>
      <w:r>
        <w:rPr>
          <w:rFonts w:hint="eastAsia" w:ascii="仿宋_GB2312" w:hAnsi="仿宋_GB2312" w:eastAsia="仿宋_GB2312" w:cs="仿宋_GB2312"/>
          <w:color w:val="000000"/>
          <w:kern w:val="0"/>
          <w:sz w:val="32"/>
          <w:szCs w:val="32"/>
        </w:rPr>
        <w:t>政府采购货物支出0万元、政府采购工程支出0万元、政府采购服务支出0万元。授予中小企业合同金0万元，占政府采购支出总额的0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，其中授予小微企业合同金额0万元，占政府采购支出总额的</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1辆，比上年增加0辆，主要是与上年持平。其中，副部（省）级及以上领导用车0辆，主要领导干部用车0辆，机要通信用车0辆，应急保障用车0辆，执法执勤用车0辆，特种专业技术用车0辆，离退休干部用车0辆，其他用车1辆，其他用车主要是机关单位公车；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万元以上通用设备0台（套），比上年增加0套，主要是无工作需要</w:t>
      </w:r>
      <w:r>
        <w:rPr>
          <w:rFonts w:ascii="仿宋_GB2312" w:eastAsia="仿宋_GB2312" w:cs="DengXian-Regular"/>
          <w:sz w:val="32"/>
          <w:szCs w:val="32"/>
        </w:rPr>
        <w:t xml:space="preserve"> </w:t>
      </w:r>
      <w:r>
        <w:rPr>
          <w:rFonts w:hint="eastAsia" w:ascii="仿宋_GB2312"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万元以上专用设备0台（套）比上年增加0套</w:t>
      </w:r>
      <w:r>
        <w:rPr>
          <w:rFonts w:ascii="仿宋_GB2312" w:eastAsia="仿宋_GB2312" w:cs="DengXian-Regular"/>
          <w:sz w:val="32"/>
          <w:szCs w:val="32"/>
        </w:rPr>
        <w:t>,</w:t>
      </w:r>
      <w:r>
        <w:rPr>
          <w:rFonts w:hint="eastAsia" w:ascii="仿宋_GB2312" w:eastAsia="仿宋_GB2312" w:cs="DengXian-Regular"/>
          <w:sz w:val="32"/>
          <w:szCs w:val="32"/>
        </w:rPr>
        <w:t>主要是无工作需要。</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年度团区委无收支及结转结余情况，故国有资本经营预算财政拨</w:t>
      </w:r>
      <w:r>
        <w:rPr>
          <w:rFonts w:ascii="仿宋_GB2312" w:eastAsia="仿宋_GB2312" w:cs="DengXian-Regular"/>
          <w:sz w:val="32"/>
          <w:szCs w:val="32"/>
        </w:rPr>
        <w:pict>
          <v:group id="_x0000_s1136" o:spid="_x0000_s1136" o:spt="203" style="position:absolute;left:0pt;margin-left:-80.9pt;margin-top:-81.1pt;height:41.2pt;width:243.2pt;mso-position-vertical-relative:page;z-index:251695104;mso-width-relative:page;mso-height-relative:page;" coordorigin="4551,52615" coordsize="8546,1398203">
            <o:lock v:ext="edit"/>
            <v:rect id="矩形 13" o:spid="_x0000_s1137" o:spt="1" style="position:absolute;left:4551;top:52615;height:1175;width:8546;v-text-anchor:middle;" fillcolor="#96DA9D" filled="t" stroked="f" coordsize="21600,21600">
              <v:path/>
              <v:fill on="t" focussize="0,0"/>
              <v:stroke on="f" weight="2pt"/>
              <v:imagedata o:title=""/>
              <o:lock v:ext="edit"/>
            </v:rect>
            <v:rect id="矩形 14" o:spid="_x0000_s113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仿宋_GB2312" w:eastAsia="仿宋_GB2312" w:cs="DengXian-Regular"/>
          <w:sz w:val="32"/>
          <w:szCs w:val="32"/>
        </w:rPr>
        <w:t>款支出决算表、政府性基金预算财政拨款</w:t>
      </w:r>
      <w:r>
        <w:rPr>
          <w:rFonts w:ascii="仿宋_GB2312" w:eastAsia="仿宋_GB2312" w:cs="DengXian-Regular"/>
          <w:sz w:val="32"/>
          <w:szCs w:val="32"/>
        </w:rPr>
        <w:pict>
          <v:group id="_x0000_s1133" o:spid="_x0000_s1133" o:spt="203" style="position:absolute;left:0pt;margin-left:-80.9pt;margin-top:-81.1pt;height:41.2pt;width:243.2pt;mso-position-vertical-relative:page;z-index:251694080;mso-width-relative:page;mso-height-relative:page;" coordorigin="4551,52615" coordsize="8546,1398203">
            <o:lock v:ext="edit"/>
            <v:rect id="矩形 13" o:spid="_x0000_s1134" o:spt="1" style="position:absolute;left:4551;top:52615;height:1175;width:8546;v-text-anchor:middle;" fillcolor="#96DA9D" filled="t" stroked="f" coordsize="21600,21600">
              <v:path/>
              <v:fill on="t" focussize="0,0"/>
              <v:stroke on="f" weight="2pt"/>
              <v:imagedata o:title=""/>
              <o:lock v:ext="edit"/>
            </v:rect>
            <v:rect id="矩形 14" o:spid="_x0000_s113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仿宋_GB2312" w:eastAsia="仿宋_GB2312" w:cs="DengXian-Regular"/>
          <w:sz w:val="32"/>
          <w:szCs w:val="32"/>
        </w:rPr>
        <w:t>收入支出决算表、政府采购</w:t>
      </w:r>
      <w:r>
        <w:rPr>
          <w:rFonts w:ascii="仿宋_GB2312" w:eastAsia="仿宋_GB2312" w:cs="DengXian-Regular"/>
          <w:sz w:val="32"/>
          <w:szCs w:val="32"/>
        </w:rPr>
        <w:pict>
          <v:group id="_x0000_s1130" o:spid="_x0000_s1130" o:spt="203" style="position:absolute;left:0pt;margin-left:-80.9pt;margin-top:-81.1pt;height:41.2pt;width:243.2pt;mso-position-vertical-relative:page;z-index:251693056;mso-width-relative:page;mso-height-relative:page;" coordorigin="4551,52615" coordsize="8546,1398203">
            <o:lock v:ext="edit"/>
            <v:rect id="矩形 13" o:spid="_x0000_s1131" o:spt="1" style="position:absolute;left:4551;top:52615;height:1175;width:8546;v-text-anchor:middle;" fillcolor="#96DA9D" filled="t" stroked="f" coordsize="21600,21600">
              <v:path/>
              <v:fill on="t" focussize="0,0"/>
              <v:stroke on="f" weight="2pt"/>
              <v:imagedata o:title=""/>
              <o:lock v:ext="edit"/>
            </v:rect>
            <v:rect id="矩形 14" o:spid="_x0000_s113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仿宋_GB2312" w:eastAsia="仿宋_GB2312" w:cs="DengXian-Regular"/>
          <w:sz w:val="32"/>
          <w:szCs w:val="32"/>
        </w:rPr>
        <w:t>情况表以空表列示。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pict>
          <v:group id="_x0000_s1115" o:spid="_x0000_s1115" o:spt="203" style="position:absolute;left:0pt;margin-left:-79.5pt;margin-top:29.3pt;height:43.95pt;width:301.85pt;mso-position-vertical-relative:page;z-index:251687936;mso-width-relative:page;mso-height-relative:page;" coordorigin="4551,52615" coordsize="8546,1398203">
            <o:lock v:ext="edit"/>
            <v:rect id="矩形 13" o:spid="_x0000_s1116" o:spt="1" style="position:absolute;left:4551;top:52615;height:1175;width:8546;v-text-anchor:middle;" fillcolor="#96DA9D" filled="t" stroked="f" coordsize="21600,21600">
              <v:path/>
              <v:fill on="t" focussize="0,0"/>
              <v:stroke on="f" weight="2pt"/>
              <v:imagedata o:title=""/>
              <o:lock v:ext="edit"/>
            </v:rect>
            <v:rect id="矩形 14" o:spid="_x0000_s111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19050" t="0" r="0" b="0"/>
            <wp:wrapNone/>
            <wp:docPr id="94"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1" descr="2"/>
                    <pic:cNvPicPr>
                      <a:picLocks noChangeAspect="1" noChangeArrowheads="1"/>
                    </pic:cNvPicPr>
                  </pic:nvPicPr>
                  <pic:blipFill>
                    <a:blip r:embed="rId7"/>
                    <a:srcRect/>
                    <a:stretch>
                      <a:fillRect/>
                    </a:stretch>
                  </pic:blipFill>
                  <pic:spPr>
                    <a:xfrm>
                      <a:off x="0" y="0"/>
                      <a:ext cx="7550150" cy="10680065"/>
                    </a:xfrm>
                    <a:prstGeom prst="rect">
                      <a:avLst/>
                    </a:prstGeom>
                    <a:noFill/>
                  </pic:spPr>
                </pic:pic>
              </a:graphicData>
            </a:graphic>
          </wp:anchor>
        </w:drawing>
      </w:r>
      <w:r>
        <w:pict>
          <v:shape id="文本框 22" o:spid="_x0000_s1119" o:spt="202" type="#_x0000_t202" style="position:absolute;left:0pt;margin-left:-78.7pt;margin-top:232.8pt;height:159.1pt;width:596.2pt;z-index:251667456;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120" o:spt="203" style="position:absolute;left:0pt;margin-left:-81.05pt;margin-top:39.65pt;height:43.95pt;width:264.85pt;mso-position-vertical-relative:page;z-index:251671552;mso-width-relative:page;mso-height-relative:page;" coordorigin="4551,52615" coordsize="8546,1398203">
            <o:lock v:ext="edit"/>
            <v:rect id="矩形 13" o:spid="_x0000_s1121" o:spt="1" style="position:absolute;left:4551;top:52615;height:1175;width:8546;v-text-anchor:middle;" fillcolor="#96DA9D" filled="t" stroked="f" coordsize="21600,21600">
              <v:path/>
              <v:fill on="t" focussize="0,0"/>
              <v:stroke on="f" weight="2pt"/>
              <v:imagedata o:title=""/>
              <o:lock v:ext="edit"/>
            </v:rect>
            <v:rect id="矩形 14" o:spid="_x0000_s112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123" o:spt="203" style="position:absolute;left:0pt;margin-left:-81.05pt;margin-top:39.65pt;height:43.95pt;width:264.85pt;mso-position-vertical-relative:page;z-index:251688960;mso-width-relative:page;mso-height-relative:page;" coordorigin="4551,52615" coordsize="8546,1398203">
            <o:lock v:ext="edit"/>
            <v:rect id="矩形 13" o:spid="_x0000_s1124" o:spt="1" style="position:absolute;left:4551;top:52615;height:1175;width:8546;v-text-anchor:middle;" fillcolor="#96DA9D" filled="t" stroked="f" coordsize="21600,21600">
              <v:path/>
              <v:fill on="t" focussize="0,0"/>
              <v:stroke on="f" weight="2pt"/>
              <v:imagedata o:title=""/>
              <o:lock v:ext="edit"/>
            </v:rect>
            <v:rect id="矩形 14" o:spid="_x0000_s112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126" o:spt="203" style="position:absolute;left:0pt;margin-left:-81.05pt;margin-top:39.65pt;height:43.95pt;width:264.85pt;mso-position-vertical-relative:page;z-index:251689984;mso-width-relative:page;mso-height-relative:page;" coordorigin="4551,52615" coordsize="8546,1398203">
            <o:lock v:ext="edit"/>
            <v:rect id="矩形 13" o:spid="_x0000_s1127" o:spt="1" style="position:absolute;left:4551;top:52615;height:1175;width:8546;v-text-anchor:middle;" fillcolor="#96DA9D" filled="t" stroked="f" coordsize="21600,21600">
              <v:path/>
              <v:fill on="t" focussize="0,0"/>
              <v:stroke on="f" weight="2pt"/>
              <v:imagedata o:title=""/>
              <o:lock v:ext="edit"/>
            </v:rect>
            <v:rect id="矩形 14" o:spid="_x0000_s112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19050" t="0" r="0" b="0"/>
            <wp:wrapNone/>
            <wp:docPr id="105"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1" descr="3"/>
                    <pic:cNvPicPr>
                      <a:picLocks noChangeAspect="1" noChangeArrowheads="1"/>
                    </pic:cNvPicPr>
                  </pic:nvPicPr>
                  <pic:blipFill>
                    <a:blip r:embed="rId9"/>
                    <a:srcRect/>
                    <a:stretch>
                      <a:fillRect/>
                    </a:stretch>
                  </pic:blipFill>
                  <pic:spPr>
                    <a:xfrm>
                      <a:off x="0" y="0"/>
                      <a:ext cx="7590155" cy="10735945"/>
                    </a:xfrm>
                    <a:prstGeom prst="rect">
                      <a:avLst/>
                    </a:prstGeom>
                    <a:noFill/>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992B4B2-91ED-44C5-B608-699A187DE53E}"/>
  </w:font>
  <w:font w:name="Arial">
    <w:panose1 w:val="020B0604020202020204"/>
    <w:charset w:val="01"/>
    <w:family w:val="swiss"/>
    <w:pitch w:val="default"/>
    <w:sig w:usb0="E0002EFF" w:usb1="C000785B" w:usb2="00000009" w:usb3="00000000" w:csb0="400001FF" w:csb1="FFFF0000"/>
    <w:embedRegular r:id="rId2" w:fontKey="{1F612734-CBBC-46F4-866B-3D9124D9BE3B}"/>
  </w:font>
  <w:font w:name="黑体">
    <w:panose1 w:val="02010609060101010101"/>
    <w:charset w:val="86"/>
    <w:family w:val="auto"/>
    <w:pitch w:val="default"/>
    <w:sig w:usb0="800002BF" w:usb1="38CF7CFA" w:usb2="00000016" w:usb3="00000000" w:csb0="00040001" w:csb1="00000000"/>
    <w:embedRegular r:id="rId3" w:fontKey="{061B82D2-8978-40D2-A923-98384C2D0D81}"/>
  </w:font>
  <w:font w:name="Courier New">
    <w:panose1 w:val="02070309020205020404"/>
    <w:charset w:val="01"/>
    <w:family w:val="modern"/>
    <w:pitch w:val="default"/>
    <w:sig w:usb0="E0002EFF" w:usb1="C0007843" w:usb2="00000009" w:usb3="00000000" w:csb0="400001FF" w:csb1="FFFF0000"/>
    <w:embedRegular r:id="rId4" w:fontKey="{91E58D37-6510-4C03-A82D-B48454A67352}"/>
  </w:font>
  <w:font w:name="Symbol">
    <w:panose1 w:val="05050102010706020507"/>
    <w:charset w:val="02"/>
    <w:family w:val="roman"/>
    <w:pitch w:val="default"/>
    <w:sig w:usb0="00000000" w:usb1="00000000" w:usb2="00000000" w:usb3="00000000" w:csb0="80000000" w:csb1="00000000"/>
    <w:embedRegular r:id="rId5" w:fontKey="{AA0FA260-07E4-4721-9807-B6AB89D370A2}"/>
  </w:font>
  <w:font w:name="Calibri">
    <w:panose1 w:val="020F0502020204030204"/>
    <w:charset w:val="00"/>
    <w:family w:val="swiss"/>
    <w:pitch w:val="default"/>
    <w:sig w:usb0="E4002EFF" w:usb1="C000247B" w:usb2="00000009" w:usb3="00000000" w:csb0="200001FF" w:csb1="00000000"/>
    <w:embedRegular r:id="rId6" w:fontKey="{0874BA1F-A82A-4405-B93E-148F14EA4A97}"/>
  </w:font>
  <w:font w:name="Cambria">
    <w:panose1 w:val="02040503050406030204"/>
    <w:charset w:val="00"/>
    <w:family w:val="roman"/>
    <w:pitch w:val="default"/>
    <w:sig w:usb0="E00006FF" w:usb1="420024FF" w:usb2="02000000" w:usb3="00000000" w:csb0="2000019F" w:csb1="00000000"/>
    <w:embedRegular r:id="rId7" w:fontKey="{BC0C65BB-C0D6-4234-BC20-B20D89C707F6}"/>
  </w:font>
  <w:font w:name="方正小标宋">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embedRegular r:id="rId8" w:fontKey="{77882AE3-FD0C-45E8-ACBE-30CAF581377E}"/>
  </w:font>
  <w:font w:name="MS Gothic">
    <w:panose1 w:val="020B0609070205080204"/>
    <w:charset w:val="80"/>
    <w:family w:val="modern"/>
    <w:pitch w:val="default"/>
    <w:sig w:usb0="E00002FF" w:usb1="6AC7FDFB" w:usb2="08000012" w:usb3="00000000" w:csb0="4002009F" w:csb1="DFD70000"/>
    <w:embedRegular r:id="rId9" w:fontKey="{27FD09FF-8D99-411D-AEF9-AFD528770C2F}"/>
  </w:font>
  <w:font w:name="仿宋_GB2312">
    <w:panose1 w:val="02010609030101010101"/>
    <w:charset w:val="86"/>
    <w:family w:val="modern"/>
    <w:pitch w:val="default"/>
    <w:sig w:usb0="00000001" w:usb1="080E0000" w:usb2="00000000" w:usb3="00000000" w:csb0="00040000" w:csb1="00000000"/>
    <w:embedRegular r:id="rId10" w:fontKey="{90AE4969-A355-4058-A54F-4D20DA901AFF}"/>
  </w:font>
  <w:font w:name="仿宋">
    <w:panose1 w:val="02010609060101010101"/>
    <w:charset w:val="86"/>
    <w:family w:val="auto"/>
    <w:pitch w:val="default"/>
    <w:sig w:usb0="800002BF" w:usb1="38CF7CFA" w:usb2="00000016" w:usb3="00000000" w:csb0="00040001" w:csb1="00000000"/>
    <w:embedRegular r:id="rId11" w:fontKey="{93C53F03-6A18-4785-AA37-00B053391623}"/>
  </w:font>
  <w:font w:name="ArialUnicodeMS">
    <w:altName w:val="Malgun Gothic"/>
    <w:panose1 w:val="00000000000000000000"/>
    <w:charset w:val="81"/>
    <w:family w:val="auto"/>
    <w:pitch w:val="default"/>
    <w:sig w:usb0="00000000" w:usb1="00000000" w:usb2="00000010" w:usb3="00000000" w:csb0="00080000" w:csb1="00000000"/>
    <w:embedRegular r:id="rId12" w:fontKey="{4D404A78-2E41-479C-9DED-B0C73018649C}"/>
  </w:font>
  <w:font w:name="MS-UIGothic,Bold">
    <w:altName w:val="Malgun Gothic"/>
    <w:panose1 w:val="00000000000000000000"/>
    <w:charset w:val="81"/>
    <w:family w:val="auto"/>
    <w:pitch w:val="default"/>
    <w:sig w:usb0="00000000" w:usb1="00000000" w:usb2="00000010" w:usb3="00000000" w:csb0="00080000" w:csb1="00000000"/>
    <w:embedRegular r:id="rId13" w:fontKey="{C0DFE3EF-34FB-46C5-867A-A93675673D6F}"/>
  </w:font>
  <w:font w:name="DengXian-Regular">
    <w:altName w:val="宋体"/>
    <w:panose1 w:val="00000000000000000000"/>
    <w:charset w:val="86"/>
    <w:family w:val="auto"/>
    <w:pitch w:val="default"/>
    <w:sig w:usb0="00000000" w:usb1="00000000" w:usb2="00000010" w:usb3="00000000" w:csb0="00040000" w:csb1="00000000"/>
    <w:embedRegular r:id="rId14" w:fontKey="{C6B369D8-B498-49CD-B661-14AFBA43C3B3}"/>
  </w:font>
  <w:font w:name="楷体_GB2312">
    <w:panose1 w:val="02010609030101010101"/>
    <w:charset w:val="86"/>
    <w:family w:val="modern"/>
    <w:pitch w:val="default"/>
    <w:sig w:usb0="00000001" w:usb1="080E0000" w:usb2="00000000" w:usb3="00000000" w:csb0="00040000" w:csb1="00000000"/>
    <w:embedRegular r:id="rId15" w:fontKey="{EF388B75-A6D3-43CB-A1A8-8766ADE32E31}"/>
  </w:font>
  <w:font w:name="DengXian-Bold">
    <w:altName w:val="宋体"/>
    <w:panose1 w:val="00000000000000000000"/>
    <w:charset w:val="86"/>
    <w:family w:val="auto"/>
    <w:pitch w:val="default"/>
    <w:sig w:usb0="00000000" w:usb1="00000000" w:usb2="00000010" w:usb3="00000000" w:csb0="00040000" w:csb1="00000000"/>
    <w:embedRegular r:id="rId16" w:fontKey="{85984AC7-2BC9-4468-AE7E-72E0AC6A0C95}"/>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abstractNum w:abstractNumId="1">
    <w:nsid w:val="594CCBEE"/>
    <w:multiLevelType w:val="singleLevel"/>
    <w:tmpl w:val="594CCBEE"/>
    <w:lvl w:ilvl="0" w:tentative="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gwMTQ2ODg1MTZkMzVlYWY5ZTQyMTEyMDU1NzJlMTIifQ=="/>
  </w:docVars>
  <w:rsids>
    <w:rsidRoot w:val="003C1413"/>
    <w:rsid w:val="00024E7F"/>
    <w:rsid w:val="000475A0"/>
    <w:rsid w:val="00072FE1"/>
    <w:rsid w:val="000838C3"/>
    <w:rsid w:val="000B2446"/>
    <w:rsid w:val="000D7C65"/>
    <w:rsid w:val="000E2F81"/>
    <w:rsid w:val="00117946"/>
    <w:rsid w:val="00117E2C"/>
    <w:rsid w:val="00146C47"/>
    <w:rsid w:val="00152FB8"/>
    <w:rsid w:val="00176658"/>
    <w:rsid w:val="0018239E"/>
    <w:rsid w:val="00186507"/>
    <w:rsid w:val="001A29BD"/>
    <w:rsid w:val="001B3410"/>
    <w:rsid w:val="001C030D"/>
    <w:rsid w:val="001C4A84"/>
    <w:rsid w:val="001E5902"/>
    <w:rsid w:val="001E5E16"/>
    <w:rsid w:val="00233705"/>
    <w:rsid w:val="002455AB"/>
    <w:rsid w:val="00275CA2"/>
    <w:rsid w:val="00275F91"/>
    <w:rsid w:val="002A65A5"/>
    <w:rsid w:val="002C04C4"/>
    <w:rsid w:val="002D08B0"/>
    <w:rsid w:val="002D1AE3"/>
    <w:rsid w:val="002F2ECE"/>
    <w:rsid w:val="00341C8F"/>
    <w:rsid w:val="00347116"/>
    <w:rsid w:val="0035463A"/>
    <w:rsid w:val="00391D9D"/>
    <w:rsid w:val="003B2994"/>
    <w:rsid w:val="003B6C51"/>
    <w:rsid w:val="003C1413"/>
    <w:rsid w:val="003C549F"/>
    <w:rsid w:val="003D5A16"/>
    <w:rsid w:val="003E7DB3"/>
    <w:rsid w:val="004234DB"/>
    <w:rsid w:val="00431175"/>
    <w:rsid w:val="004B28C7"/>
    <w:rsid w:val="004B6E37"/>
    <w:rsid w:val="004C239A"/>
    <w:rsid w:val="004C32BA"/>
    <w:rsid w:val="00543FE5"/>
    <w:rsid w:val="00575922"/>
    <w:rsid w:val="005A6C90"/>
    <w:rsid w:val="005E3FB0"/>
    <w:rsid w:val="005F4B66"/>
    <w:rsid w:val="005F5208"/>
    <w:rsid w:val="00623803"/>
    <w:rsid w:val="00641318"/>
    <w:rsid w:val="00641B30"/>
    <w:rsid w:val="0064405D"/>
    <w:rsid w:val="0068050C"/>
    <w:rsid w:val="00695557"/>
    <w:rsid w:val="006C668B"/>
    <w:rsid w:val="006D4EA7"/>
    <w:rsid w:val="0070012A"/>
    <w:rsid w:val="0070664B"/>
    <w:rsid w:val="007071B8"/>
    <w:rsid w:val="007414DE"/>
    <w:rsid w:val="007905A9"/>
    <w:rsid w:val="007B0E8E"/>
    <w:rsid w:val="007E5500"/>
    <w:rsid w:val="007F055B"/>
    <w:rsid w:val="00811C2F"/>
    <w:rsid w:val="00833D46"/>
    <w:rsid w:val="00840A97"/>
    <w:rsid w:val="008C0149"/>
    <w:rsid w:val="008D5DED"/>
    <w:rsid w:val="008E25CA"/>
    <w:rsid w:val="008F34FC"/>
    <w:rsid w:val="00922643"/>
    <w:rsid w:val="009231F0"/>
    <w:rsid w:val="00944CD7"/>
    <w:rsid w:val="009831B2"/>
    <w:rsid w:val="009A1ABE"/>
    <w:rsid w:val="009E21A4"/>
    <w:rsid w:val="009F22C6"/>
    <w:rsid w:val="00A07E50"/>
    <w:rsid w:val="00A15397"/>
    <w:rsid w:val="00A35CE0"/>
    <w:rsid w:val="00A4462E"/>
    <w:rsid w:val="00A44AA4"/>
    <w:rsid w:val="00A61623"/>
    <w:rsid w:val="00A627D9"/>
    <w:rsid w:val="00A84687"/>
    <w:rsid w:val="00A9634B"/>
    <w:rsid w:val="00A9766F"/>
    <w:rsid w:val="00AB0A0E"/>
    <w:rsid w:val="00AD3B6E"/>
    <w:rsid w:val="00AF4866"/>
    <w:rsid w:val="00B1751F"/>
    <w:rsid w:val="00B3300C"/>
    <w:rsid w:val="00B56722"/>
    <w:rsid w:val="00B74D39"/>
    <w:rsid w:val="00B91DA4"/>
    <w:rsid w:val="00C10B56"/>
    <w:rsid w:val="00C12630"/>
    <w:rsid w:val="00C34562"/>
    <w:rsid w:val="00C3774E"/>
    <w:rsid w:val="00C57456"/>
    <w:rsid w:val="00C65387"/>
    <w:rsid w:val="00C87FAB"/>
    <w:rsid w:val="00C91FF7"/>
    <w:rsid w:val="00C94E53"/>
    <w:rsid w:val="00C95B61"/>
    <w:rsid w:val="00CC46BD"/>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250FE"/>
    <w:rsid w:val="00F26F55"/>
    <w:rsid w:val="00F679C7"/>
    <w:rsid w:val="00F7711A"/>
    <w:rsid w:val="00FA0D58"/>
    <w:rsid w:val="00FA56F4"/>
    <w:rsid w:val="00FB4EDA"/>
    <w:rsid w:val="00FC4766"/>
    <w:rsid w:val="00FD3BD5"/>
    <w:rsid w:val="00FE3DC8"/>
    <w:rsid w:val="01511E76"/>
    <w:rsid w:val="021B4EC6"/>
    <w:rsid w:val="04073F84"/>
    <w:rsid w:val="0B60750A"/>
    <w:rsid w:val="10686488"/>
    <w:rsid w:val="10AF31EF"/>
    <w:rsid w:val="10DF728A"/>
    <w:rsid w:val="1264200E"/>
    <w:rsid w:val="134132CE"/>
    <w:rsid w:val="141C5B77"/>
    <w:rsid w:val="1684272B"/>
    <w:rsid w:val="18D8339D"/>
    <w:rsid w:val="1A21388F"/>
    <w:rsid w:val="1A570D2F"/>
    <w:rsid w:val="23FD1D1F"/>
    <w:rsid w:val="28FB0B8D"/>
    <w:rsid w:val="2CF663C7"/>
    <w:rsid w:val="2D2B7942"/>
    <w:rsid w:val="2D46481D"/>
    <w:rsid w:val="2E733B28"/>
    <w:rsid w:val="30C45AC8"/>
    <w:rsid w:val="31852B5A"/>
    <w:rsid w:val="32D01238"/>
    <w:rsid w:val="3DFC59A8"/>
    <w:rsid w:val="3ECF245E"/>
    <w:rsid w:val="3FB96314"/>
    <w:rsid w:val="43602C7E"/>
    <w:rsid w:val="516D23EE"/>
    <w:rsid w:val="53A44FAF"/>
    <w:rsid w:val="594329EC"/>
    <w:rsid w:val="5BEE1540"/>
    <w:rsid w:val="5C2313D1"/>
    <w:rsid w:val="5DE61A5D"/>
    <w:rsid w:val="63C04243"/>
    <w:rsid w:val="649C01C7"/>
    <w:rsid w:val="699A3F60"/>
    <w:rsid w:val="72902E62"/>
    <w:rsid w:val="73C61104"/>
    <w:rsid w:val="776452EA"/>
    <w:rsid w:val="7827671D"/>
    <w:rsid w:val="799A6CCE"/>
    <w:rsid w:val="7A6268DB"/>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autoRedefine/>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标题 1 Char"/>
    <w:basedOn w:val="14"/>
    <w:link w:val="2"/>
    <w:qFormat/>
    <w:locked/>
    <w:uiPriority w:val="99"/>
    <w:rPr>
      <w:rFonts w:ascii="Times New Roman" w:hAnsi="Times New Roman" w:eastAsia="宋体" w:cs="Times New Roman"/>
      <w:b/>
      <w:bCs/>
      <w:kern w:val="44"/>
      <w:sz w:val="44"/>
      <w:szCs w:val="44"/>
    </w:rPr>
  </w:style>
  <w:style w:type="character" w:customStyle="1" w:styleId="16">
    <w:name w:val="标题 2 Char"/>
    <w:basedOn w:val="14"/>
    <w:link w:val="3"/>
    <w:qFormat/>
    <w:locked/>
    <w:uiPriority w:val="99"/>
    <w:rPr>
      <w:rFonts w:ascii="Calibri" w:hAnsi="Calibri" w:eastAsia="宋体" w:cs="Times New Roman"/>
      <w:b/>
      <w:bCs/>
      <w:sz w:val="32"/>
      <w:szCs w:val="32"/>
    </w:rPr>
  </w:style>
  <w:style w:type="character" w:customStyle="1" w:styleId="17">
    <w:name w:val="标题 3 Char"/>
    <w:basedOn w:val="14"/>
    <w:link w:val="4"/>
    <w:qFormat/>
    <w:locked/>
    <w:uiPriority w:val="99"/>
    <w:rPr>
      <w:rFonts w:ascii="Times New Roman" w:hAnsi="Times New Roman" w:eastAsia="宋体" w:cs="Times New Roman"/>
      <w:b/>
      <w:bCs/>
      <w:sz w:val="32"/>
      <w:szCs w:val="32"/>
    </w:rPr>
  </w:style>
  <w:style w:type="character" w:customStyle="1" w:styleId="18">
    <w:name w:val="标题 4 Char"/>
    <w:basedOn w:val="14"/>
    <w:link w:val="5"/>
    <w:qFormat/>
    <w:locked/>
    <w:uiPriority w:val="99"/>
    <w:rPr>
      <w:rFonts w:ascii="Calibri" w:hAnsi="Calibri" w:eastAsia="宋体" w:cs="Times New Roman"/>
      <w:b/>
      <w:bCs/>
      <w:sz w:val="28"/>
      <w:szCs w:val="28"/>
    </w:rPr>
  </w:style>
  <w:style w:type="character" w:customStyle="1" w:styleId="19">
    <w:name w:val="日期 Char"/>
    <w:basedOn w:val="14"/>
    <w:link w:val="6"/>
    <w:semiHidden/>
    <w:qFormat/>
    <w:locked/>
    <w:uiPriority w:val="99"/>
    <w:rPr>
      <w:rFonts w:ascii="Times New Roman" w:hAnsi="Times New Roman" w:eastAsia="宋体" w:cs="Times New Roman"/>
      <w:sz w:val="24"/>
      <w:szCs w:val="24"/>
    </w:rPr>
  </w:style>
  <w:style w:type="character" w:customStyle="1" w:styleId="20">
    <w:name w:val="批注框文本 Char"/>
    <w:basedOn w:val="14"/>
    <w:link w:val="7"/>
    <w:semiHidden/>
    <w:qFormat/>
    <w:locked/>
    <w:uiPriority w:val="99"/>
    <w:rPr>
      <w:rFonts w:ascii="Times New Roman" w:hAnsi="Times New Roman" w:eastAsia="宋体" w:cs="Times New Roman"/>
      <w:sz w:val="18"/>
      <w:szCs w:val="18"/>
    </w:rPr>
  </w:style>
  <w:style w:type="character" w:customStyle="1" w:styleId="21">
    <w:name w:val="页脚 Char"/>
    <w:basedOn w:val="14"/>
    <w:link w:val="8"/>
    <w:qFormat/>
    <w:locked/>
    <w:uiPriority w:val="99"/>
    <w:rPr>
      <w:rFonts w:cs="Times New Roman"/>
      <w:sz w:val="18"/>
      <w:szCs w:val="18"/>
    </w:rPr>
  </w:style>
  <w:style w:type="character" w:customStyle="1" w:styleId="22">
    <w:name w:val="页眉 Char"/>
    <w:basedOn w:val="14"/>
    <w:link w:val="9"/>
    <w:qFormat/>
    <w:locked/>
    <w:uiPriority w:val="99"/>
    <w:rPr>
      <w:rFonts w:cs="Times New Roman"/>
      <w:sz w:val="18"/>
      <w:szCs w:val="18"/>
    </w:rPr>
  </w:style>
  <w:style w:type="character" w:customStyle="1" w:styleId="23">
    <w:name w:val="副标题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标题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sz w:val="22"/>
      <w:szCs w:val="22"/>
      <w:lang w:val="en-US" w:eastAsia="zh-CN" w:bidi="ar-SA"/>
    </w:rPr>
  </w:style>
  <w:style w:type="character" w:customStyle="1" w:styleId="26">
    <w:name w:val="无间隔 Char"/>
    <w:basedOn w:val="14"/>
    <w:link w:val="25"/>
    <w:autoRedefine/>
    <w:qFormat/>
    <w:locked/>
    <w:uiPriority w:val="99"/>
    <w:rPr>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autoRedefine/>
    <w:qFormat/>
    <w:uiPriority w:val="99"/>
    <w:rPr>
      <w:rFonts w:ascii="Cambria" w:hAnsi="黑体" w:eastAsia="黑体" w:cs="Times New Roman"/>
      <w:sz w:val="22"/>
      <w:szCs w:val="22"/>
      <w:lang w:eastAsia="zh-CN"/>
    </w:rPr>
  </w:style>
  <w:style w:type="character" w:customStyle="1" w:styleId="29">
    <w:name w:val="Style3"/>
    <w:basedOn w:val="14"/>
    <w:autoRedefine/>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autoRedefine/>
    <w:qFormat/>
    <w:uiPriority w:val="99"/>
    <w:rPr>
      <w:rFonts w:ascii="Cambria" w:hAnsi="黑体" w:eastAsia="黑体" w:cs="Times New Roman"/>
      <w:sz w:val="22"/>
      <w:szCs w:val="22"/>
      <w:lang w:eastAsia="zh-CN"/>
    </w:rPr>
  </w:style>
  <w:style w:type="paragraph" w:styleId="32">
    <w:name w:val="List Paragraph"/>
    <w:basedOn w:val="1"/>
    <w:autoRedefine/>
    <w:qFormat/>
    <w:uiPriority w:val="99"/>
    <w:pPr>
      <w:ind w:firstLine="420" w:firstLineChars="200"/>
    </w:pPr>
  </w:style>
  <w:style w:type="paragraph" w:customStyle="1" w:styleId="33">
    <w:name w:val="Default"/>
    <w:autoRedefine/>
    <w:qFormat/>
    <w:uiPriority w:val="99"/>
    <w:pPr>
      <w:widowControl w:val="0"/>
      <w:autoSpaceDE w:val="0"/>
      <w:autoSpaceDN w:val="0"/>
      <w:adjustRightInd w:val="0"/>
    </w:pPr>
    <w:rPr>
      <w:rFonts w:ascii="方正小标宋" w:hAnsi="Calibri" w:eastAsia="方正小标宋" w:cs="方正小标宋"/>
      <w:color w:val="000000"/>
      <w:sz w:val="24"/>
      <w:szCs w:val="24"/>
      <w:lang w:val="en-US" w:eastAsia="zh-CN" w:bidi="ar-SA"/>
    </w:rPr>
  </w:style>
  <w:style w:type="paragraph" w:customStyle="1" w:styleId="34">
    <w:name w:val="[Normal]"/>
    <w:autoRedefine/>
    <w:qFormat/>
    <w:uiPriority w:val="99"/>
    <w:pPr>
      <w:widowControl w:val="0"/>
      <w:autoSpaceDE w:val="0"/>
      <w:autoSpaceDN w:val="0"/>
      <w:adjustRightInd w:val="0"/>
    </w:pPr>
    <w:rPr>
      <w:rFonts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9"/>
    <customShpInfo spid="_x0000_s1030"/>
    <customShpInfo spid="_x0000_s1028"/>
    <customShpInfo spid="_x0000_s1032"/>
    <customShpInfo spid="_x0000_s1033"/>
    <customShpInfo spid="_x0000_s1031"/>
    <customShpInfo spid="_x0000_s1035"/>
    <customShpInfo spid="_x0000_s1037"/>
    <customShpInfo spid="_x0000_s1038"/>
    <customShpInfo spid="_x0000_s1036"/>
    <customShpInfo spid="_x0000_s1040"/>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9"/>
    <customShpInfo spid="_x0000_s1070"/>
    <customShpInfo spid="_x0000_s1068"/>
    <customShpInfo spid="_x0000_s1072"/>
    <customShpInfo spid="_x0000_s1074"/>
    <customShpInfo spid="_x0000_s1075"/>
    <customShpInfo spid="_x0000_s1073"/>
    <customShpInfo spid="_x0000_s1092"/>
    <customShpInfo spid="_x0000_s1093"/>
    <customShpInfo spid="_x0000_s1091"/>
    <customShpInfo spid="_x0000_s1098"/>
    <customShpInfo spid="_x0000_s1099"/>
    <customShpInfo spid="_x0000_s1097"/>
    <customShpInfo spid="_x0000_s1101"/>
    <customShpInfo spid="_x0000_s1102"/>
    <customShpInfo spid="_x0000_s1100"/>
    <customShpInfo spid="_x0000_s1107"/>
    <customShpInfo spid="_x0000_s1108"/>
    <customShpInfo spid="_x0000_s1106"/>
    <customShpInfo spid="_x0000_s1110"/>
    <customShpInfo spid="_x0000_s1111"/>
    <customShpInfo spid="_x0000_s1109"/>
    <customShpInfo spid="_x0000_s1137"/>
    <customShpInfo spid="_x0000_s1138"/>
    <customShpInfo spid="_x0000_s1136"/>
    <customShpInfo spid="_x0000_s1134"/>
    <customShpInfo spid="_x0000_s1135"/>
    <customShpInfo spid="_x0000_s1133"/>
    <customShpInfo spid="_x0000_s1131"/>
    <customShpInfo spid="_x0000_s1132"/>
    <customShpInfo spid="_x0000_s1130"/>
    <customShpInfo spid="_x0000_s1116"/>
    <customShpInfo spid="_x0000_s1117"/>
    <customShpInfo spid="_x0000_s1115"/>
    <customShpInfo spid="_x0000_s1119"/>
    <customShpInfo spid="_x0000_s1121"/>
    <customShpInfo spid="_x0000_s1122"/>
    <customShpInfo spid="_x0000_s1120"/>
    <customShpInfo spid="_x0000_s1124"/>
    <customShpInfo spid="_x0000_s1125"/>
    <customShpInfo spid="_x0000_s1123"/>
    <customShpInfo spid="_x0000_s1127"/>
    <customShpInfo spid="_x0000_s1128"/>
    <customShpInfo spid="_x0000_s11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29</Pages>
  <Words>7425</Words>
  <Characters>2690</Characters>
  <Lines>22</Lines>
  <Paragraphs>20</Paragraphs>
  <TotalTime>4</TotalTime>
  <ScaleCrop>false</ScaleCrop>
  <LinksUpToDate>false</LinksUpToDate>
  <CharactersWithSpaces>10095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晁宇</cp:lastModifiedBy>
  <cp:lastPrinted>2021-05-10T02:01:00Z</cp:lastPrinted>
  <dcterms:modified xsi:type="dcterms:W3CDTF">2024-01-02T01:06:47Z</dcterms:modified>
  <dc:subject>石家庄市xxx部门</dc:subject>
  <dc:title>2017年度部门决算</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73F4B09F05AC4BB1BCDC4FB3B838DCF0</vt:lpwstr>
  </property>
</Properties>
</file>