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4"/>
          <w:szCs w:val="44"/>
        </w:rPr>
      </w:pPr>
      <w:r>
        <w:rPr>
          <w:rFonts w:hint="eastAsia" w:ascii="宋体" w:hAnsi="宋体"/>
          <w:b/>
          <w:sz w:val="44"/>
          <w:szCs w:val="44"/>
        </w:rPr>
        <w:t>满城区石井乡人民政府</w:t>
      </w:r>
    </w:p>
    <w:p>
      <w:pPr>
        <w:jc w:val="center"/>
        <w:rPr>
          <w:rFonts w:ascii="宋体" w:hAnsi="宋体"/>
          <w:b/>
          <w:sz w:val="44"/>
          <w:szCs w:val="44"/>
        </w:rPr>
      </w:pPr>
      <w:r>
        <w:rPr>
          <w:rFonts w:hint="eastAsia" w:ascii="宋体" w:hAnsi="宋体"/>
          <w:b/>
          <w:sz w:val="44"/>
          <w:szCs w:val="44"/>
        </w:rPr>
        <w:t>201</w:t>
      </w:r>
      <w:r>
        <w:rPr>
          <w:rFonts w:ascii="宋体" w:hAnsi="宋体"/>
          <w:b/>
          <w:sz w:val="44"/>
          <w:szCs w:val="44"/>
        </w:rPr>
        <w:t>9</w:t>
      </w:r>
      <w:r>
        <w:rPr>
          <w:rFonts w:hint="eastAsia" w:ascii="宋体" w:hAnsi="宋体"/>
          <w:b/>
          <w:sz w:val="44"/>
          <w:szCs w:val="44"/>
        </w:rPr>
        <w:t>年部门预算信息公开</w:t>
      </w:r>
    </w:p>
    <w:p>
      <w:pPr>
        <w:spacing w:line="520" w:lineRule="exact"/>
        <w:ind w:firstLine="640" w:firstLineChars="200"/>
        <w:jc w:val="left"/>
        <w:rPr>
          <w:rFonts w:hint="eastAsia" w:ascii="Times New Roman" w:hAnsi="Times New Roman" w:eastAsia="方正仿宋_GBK"/>
          <w:sz w:val="32"/>
          <w:szCs w:val="32"/>
        </w:rPr>
      </w:pPr>
    </w:p>
    <w:p>
      <w:pPr>
        <w:ind w:firstLine="570"/>
        <w:jc w:val="left"/>
        <w:rPr>
          <w:rFonts w:hint="eastAsia" w:ascii="黑体" w:hAnsi="仿宋" w:eastAsia="黑体" w:cs="仿宋_GB2312"/>
          <w:sz w:val="24"/>
          <w:szCs w:val="24"/>
        </w:rPr>
      </w:pPr>
      <w:r>
        <w:rPr>
          <w:rFonts w:hint="eastAsia" w:ascii="黑体" w:hAnsi="仿宋" w:eastAsia="黑体" w:cs="仿宋_GB2312"/>
          <w:sz w:val="24"/>
          <w:szCs w:val="24"/>
        </w:rPr>
        <w:t>按照《中华人民共和国预算法》、</w:t>
      </w:r>
      <w:r>
        <w:rPr>
          <w:rFonts w:hint="eastAsia" w:ascii="黑体" w:hAnsi="Times New Roman" w:eastAsia="黑体"/>
          <w:sz w:val="24"/>
          <w:szCs w:val="24"/>
        </w:rPr>
        <w:t>《地方预决算公开操作规程》和《河北省预算公开办法》</w:t>
      </w:r>
      <w:r>
        <w:rPr>
          <w:rFonts w:hint="eastAsia" w:ascii="黑体" w:hAnsi="仿宋" w:eastAsia="黑体" w:cs="仿宋_GB2312"/>
          <w:sz w:val="24"/>
          <w:szCs w:val="24"/>
        </w:rPr>
        <w:t>规定，现将保定市满城区石井乡人民政府201</w:t>
      </w:r>
      <w:r>
        <w:rPr>
          <w:rFonts w:ascii="黑体" w:hAnsi="仿宋" w:eastAsia="黑体" w:cs="仿宋_GB2312"/>
          <w:sz w:val="24"/>
          <w:szCs w:val="24"/>
        </w:rPr>
        <w:t>9</w:t>
      </w:r>
      <w:r>
        <w:rPr>
          <w:rFonts w:hint="eastAsia" w:ascii="黑体" w:hAnsi="仿宋" w:eastAsia="黑体" w:cs="仿宋_GB2312"/>
          <w:sz w:val="24"/>
          <w:szCs w:val="24"/>
        </w:rPr>
        <w:t>年部门预算公开如下：</w:t>
      </w:r>
    </w:p>
    <w:p>
      <w:pPr>
        <w:ind w:firstLine="570"/>
        <w:jc w:val="left"/>
        <w:rPr>
          <w:rFonts w:hint="eastAsia" w:ascii="黑体" w:hAnsi="仿宋" w:eastAsia="黑体" w:cs="仿宋_GB2312"/>
          <w:sz w:val="24"/>
          <w:szCs w:val="24"/>
        </w:rPr>
      </w:pPr>
    </w:p>
    <w:p>
      <w:pPr>
        <w:spacing w:line="520" w:lineRule="exact"/>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480" w:firstLineChars="200"/>
        <w:jc w:val="center"/>
        <w:rPr>
          <w:rFonts w:hint="eastAsia" w:ascii="黑体" w:hAnsi="黑体" w:eastAsia="黑体"/>
          <w:sz w:val="24"/>
          <w:szCs w:val="24"/>
        </w:rPr>
      </w:pPr>
    </w:p>
    <w:p>
      <w:pPr>
        <w:spacing w:line="520" w:lineRule="exact"/>
        <w:ind w:firstLine="480" w:firstLineChars="200"/>
        <w:rPr>
          <w:rFonts w:hint="eastAsia" w:ascii="黑体" w:hAnsi="黑体" w:eastAsia="黑体"/>
          <w:sz w:val="24"/>
          <w:szCs w:val="24"/>
        </w:rPr>
      </w:pPr>
      <w:r>
        <w:rPr>
          <w:rFonts w:hint="eastAsia" w:ascii="黑体" w:hAnsi="黑体" w:eastAsia="黑体"/>
          <w:sz w:val="24"/>
          <w:szCs w:val="24"/>
        </w:rPr>
        <w:t>一、部门职责</w:t>
      </w:r>
    </w:p>
    <w:p>
      <w:pPr>
        <w:pStyle w:val="19"/>
        <w:widowControl/>
        <w:spacing w:line="520" w:lineRule="exact"/>
        <w:ind w:firstLine="480" w:firstLineChars="200"/>
        <w:jc w:val="both"/>
        <w:rPr>
          <w:rFonts w:hint="eastAsia" w:ascii="黑体" w:hAnsi="仿宋" w:eastAsia="黑体" w:cs="仿宋_GB2312"/>
        </w:rPr>
      </w:pPr>
      <w:r>
        <w:rPr>
          <w:rFonts w:hint="eastAsia" w:ascii="黑体" w:hAnsi="仿宋" w:eastAsia="黑体" w:cs="仿宋_GB2312"/>
        </w:rPr>
        <w:t>根据保定市人民政府办公厅《关于印发保定市满城区主要职责内设机构和人员编制规定的通知》（保市政办[2010]36号），现将我乡部门概况说明如下：</w:t>
      </w:r>
    </w:p>
    <w:p>
      <w:pPr>
        <w:pStyle w:val="19"/>
        <w:widowControl/>
        <w:spacing w:line="520" w:lineRule="exact"/>
        <w:ind w:firstLine="480" w:firstLineChars="200"/>
        <w:rPr>
          <w:rFonts w:hint="eastAsia" w:ascii="黑体" w:hAnsi="仿宋" w:eastAsia="黑体" w:cs="仿宋_GB2312"/>
        </w:rPr>
      </w:pPr>
      <w:r>
        <w:rPr>
          <w:rFonts w:hint="eastAsia" w:ascii="黑体" w:hAnsi="仿宋" w:eastAsia="黑体" w:cs="仿宋_GB2312"/>
        </w:rPr>
        <w:t xml:space="preserve"> 1、执行本级人民代表大会的决议和上级国家行政机关的决定和命令，发布决定和命令;</w:t>
      </w:r>
    </w:p>
    <w:p>
      <w:pPr>
        <w:pStyle w:val="19"/>
        <w:widowControl/>
        <w:spacing w:line="520" w:lineRule="exact"/>
        <w:ind w:firstLine="480" w:firstLineChars="200"/>
        <w:rPr>
          <w:rFonts w:hint="eastAsia" w:ascii="黑体" w:hAnsi="仿宋" w:eastAsia="黑体" w:cs="仿宋_GB2312"/>
        </w:rPr>
      </w:pPr>
      <w:r>
        <w:rPr>
          <w:rFonts w:hint="eastAsia" w:ascii="黑体" w:hAnsi="仿宋" w:eastAsia="黑体" w:cs="仿宋_GB2312"/>
        </w:rPr>
        <w:t>2、执行本行政区域内的经济和社会发展计划、预算，管理本行政区域内的经济、教育、科学、文化、卫生、体育事业和财政、民政、公安、司法行政、计划生育等行政工作;</w:t>
      </w:r>
    </w:p>
    <w:p>
      <w:pPr>
        <w:pStyle w:val="19"/>
        <w:widowControl/>
        <w:spacing w:line="520" w:lineRule="exact"/>
        <w:ind w:firstLine="480" w:firstLineChars="200"/>
        <w:rPr>
          <w:rFonts w:hint="eastAsia" w:ascii="黑体" w:hAnsi="仿宋" w:eastAsia="黑体" w:cs="仿宋_GB2312"/>
        </w:rPr>
      </w:pPr>
      <w:r>
        <w:rPr>
          <w:rFonts w:hint="eastAsia" w:ascii="黑体" w:hAnsi="仿宋" w:eastAsia="黑体" w:cs="仿宋_GB2312"/>
        </w:rPr>
        <w:t>3、保护社会主义的全民所有的财产和劳动群众集体所有的财产，保护公民私人所有的合法财产，维护社会秩序，保障公民的人身权利、民-主权利和其他权利;</w:t>
      </w:r>
    </w:p>
    <w:p>
      <w:pPr>
        <w:pStyle w:val="19"/>
        <w:widowControl/>
        <w:spacing w:line="520" w:lineRule="exact"/>
        <w:ind w:firstLine="480" w:firstLineChars="200"/>
        <w:rPr>
          <w:rFonts w:hint="eastAsia" w:ascii="黑体" w:hAnsi="仿宋" w:eastAsia="黑体" w:cs="仿宋_GB2312"/>
        </w:rPr>
      </w:pPr>
      <w:r>
        <w:rPr>
          <w:rFonts w:hint="eastAsia" w:ascii="黑体" w:hAnsi="仿宋" w:eastAsia="黑体" w:cs="仿宋_GB2312"/>
        </w:rPr>
        <w:t>4、保护各种经济组织的合法权益;</w:t>
      </w:r>
    </w:p>
    <w:p>
      <w:pPr>
        <w:pStyle w:val="19"/>
        <w:widowControl/>
        <w:spacing w:line="520" w:lineRule="exact"/>
        <w:ind w:firstLine="480" w:firstLineChars="200"/>
        <w:rPr>
          <w:rFonts w:hint="eastAsia" w:ascii="黑体" w:hAnsi="仿宋" w:eastAsia="黑体" w:cs="仿宋_GB2312"/>
        </w:rPr>
      </w:pPr>
      <w:r>
        <w:rPr>
          <w:rFonts w:hint="eastAsia" w:ascii="黑体" w:hAnsi="仿宋" w:eastAsia="黑体" w:cs="仿宋_GB2312"/>
        </w:rPr>
        <w:t>5、保障少数民族的权利和尊重少数民族的风俗习惯;</w:t>
      </w:r>
    </w:p>
    <w:p>
      <w:pPr>
        <w:pStyle w:val="19"/>
        <w:widowControl/>
        <w:spacing w:line="520" w:lineRule="exact"/>
        <w:ind w:firstLine="480" w:firstLineChars="200"/>
        <w:rPr>
          <w:rFonts w:hint="eastAsia" w:ascii="黑体" w:hAnsi="仿宋" w:eastAsia="黑体" w:cs="仿宋_GB2312"/>
        </w:rPr>
      </w:pPr>
      <w:r>
        <w:rPr>
          <w:rFonts w:hint="eastAsia" w:ascii="黑体" w:hAnsi="仿宋" w:eastAsia="黑体" w:cs="仿宋_GB2312"/>
        </w:rPr>
        <w:t>6、办理上级区委、区政府交办的其他事项。</w:t>
      </w:r>
    </w:p>
    <w:p>
      <w:pPr>
        <w:pStyle w:val="18"/>
        <w:spacing w:line="520" w:lineRule="exact"/>
        <w:ind w:firstLine="552" w:firstLineChars="230"/>
        <w:rPr>
          <w:rFonts w:ascii="黑体" w:hAnsi="黑体" w:eastAsia="黑体" w:cs="仿宋_GB2312"/>
          <w:sz w:val="24"/>
          <w:szCs w:val="24"/>
        </w:rPr>
      </w:pPr>
    </w:p>
    <w:p>
      <w:pPr>
        <w:pStyle w:val="18"/>
        <w:spacing w:line="520" w:lineRule="exact"/>
        <w:ind w:firstLine="552" w:firstLineChars="230"/>
        <w:rPr>
          <w:rFonts w:hint="eastAsia" w:ascii="黑体" w:hAnsi="黑体" w:eastAsia="黑体"/>
          <w:sz w:val="24"/>
          <w:szCs w:val="24"/>
        </w:rPr>
      </w:pPr>
      <w:r>
        <w:rPr>
          <w:rFonts w:hint="eastAsia" w:ascii="黑体" w:hAnsi="黑体" w:eastAsia="黑体" w:cs="仿宋_GB2312"/>
          <w:sz w:val="24"/>
          <w:szCs w:val="24"/>
        </w:rPr>
        <w:t>二、</w:t>
      </w:r>
      <w:r>
        <w:rPr>
          <w:rFonts w:hint="eastAsia" w:ascii="黑体" w:hAnsi="黑体" w:eastAsia="黑体"/>
          <w:sz w:val="24"/>
          <w:szCs w:val="24"/>
        </w:rPr>
        <w:t>机构设置</w:t>
      </w:r>
    </w:p>
    <w:tbl>
      <w:tblPr>
        <w:tblStyle w:val="9"/>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wBefore w:w="0" w:type="dxa"/>
          <w:wAfter w:w="0" w:type="dxa"/>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部门机构设置情况</w:t>
            </w:r>
          </w:p>
        </w:tc>
      </w:tr>
      <w:tr>
        <w:tblPrEx>
          <w:tblCellMar>
            <w:top w:w="0" w:type="dxa"/>
            <w:left w:w="108" w:type="dxa"/>
            <w:bottom w:w="0" w:type="dxa"/>
            <w:right w:w="108" w:type="dxa"/>
          </w:tblCellMar>
        </w:tblPrEx>
        <w:trPr>
          <w:wBefore w:w="0" w:type="dxa"/>
          <w:wAfter w:w="0" w:type="dxa"/>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经费保障形式</w:t>
            </w:r>
          </w:p>
        </w:tc>
      </w:tr>
      <w:tr>
        <w:tblPrEx>
          <w:tblCellMar>
            <w:top w:w="0" w:type="dxa"/>
            <w:left w:w="108" w:type="dxa"/>
            <w:bottom w:w="0" w:type="dxa"/>
            <w:right w:w="108" w:type="dxa"/>
          </w:tblCellMar>
        </w:tblPrEx>
        <w:trPr>
          <w:wBefore w:w="0" w:type="dxa"/>
          <w:wAfter w:w="0" w:type="dxa"/>
          <w:trHeight w:val="412"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保定市满城区石井乡人民政府</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财政拨款</w:t>
            </w:r>
          </w:p>
        </w:tc>
      </w:tr>
    </w:tbl>
    <w:p>
      <w:pPr>
        <w:spacing w:line="520" w:lineRule="exact"/>
        <w:jc w:val="center"/>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firstLine="480" w:firstLineChars="200"/>
        <w:rPr>
          <w:rFonts w:ascii="黑体" w:hAnsi="黑体" w:eastAsia="黑体"/>
          <w:sz w:val="24"/>
          <w:szCs w:val="24"/>
        </w:rPr>
      </w:pPr>
    </w:p>
    <w:p>
      <w:pPr>
        <w:spacing w:line="520" w:lineRule="exact"/>
        <w:ind w:firstLine="480" w:firstLineChars="200"/>
        <w:rPr>
          <w:rFonts w:hint="eastAsia" w:ascii="黑体" w:hAnsi="黑体" w:eastAsia="黑体"/>
          <w:sz w:val="24"/>
          <w:szCs w:val="24"/>
        </w:rPr>
      </w:pPr>
      <w:r>
        <w:rPr>
          <w:rFonts w:hint="eastAsia" w:ascii="黑体" w:hAnsi="黑体" w:eastAsia="黑体"/>
          <w:sz w:val="24"/>
          <w:szCs w:val="24"/>
        </w:rPr>
        <w:t>1、收入说明</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201</w:t>
      </w:r>
      <w:r>
        <w:rPr>
          <w:rFonts w:ascii="黑体" w:hAnsi="仿宋" w:eastAsia="黑体"/>
          <w:sz w:val="24"/>
          <w:szCs w:val="24"/>
        </w:rPr>
        <w:t>9</w:t>
      </w:r>
      <w:r>
        <w:rPr>
          <w:rFonts w:hint="eastAsia" w:ascii="黑体" w:hAnsi="仿宋" w:eastAsia="黑体"/>
          <w:sz w:val="24"/>
          <w:szCs w:val="24"/>
        </w:rPr>
        <w:t>年保定市满城区石井乡人民政府年初部门收入预算总额为</w:t>
      </w:r>
      <w:r>
        <w:rPr>
          <w:rFonts w:ascii="黑体" w:hAnsi="仿宋" w:eastAsia="黑体"/>
          <w:sz w:val="24"/>
          <w:szCs w:val="24"/>
        </w:rPr>
        <w:t>858.77</w:t>
      </w:r>
      <w:r>
        <w:rPr>
          <w:rFonts w:hint="eastAsia" w:ascii="黑体" w:hAnsi="仿宋" w:eastAsia="黑体"/>
          <w:sz w:val="24"/>
          <w:szCs w:val="24"/>
        </w:rPr>
        <w:t>万元。其中：一般公共预算收入为</w:t>
      </w:r>
      <w:r>
        <w:rPr>
          <w:rFonts w:ascii="黑体" w:hAnsi="仿宋" w:eastAsia="黑体"/>
          <w:sz w:val="24"/>
          <w:szCs w:val="24"/>
        </w:rPr>
        <w:t>858.77</w:t>
      </w:r>
      <w:r>
        <w:rPr>
          <w:rFonts w:hint="eastAsia" w:ascii="黑体" w:hAnsi="仿宋" w:eastAsia="黑体"/>
          <w:sz w:val="24"/>
          <w:szCs w:val="24"/>
        </w:rPr>
        <w:t>万元。</w:t>
      </w:r>
    </w:p>
    <w:p>
      <w:pPr>
        <w:spacing w:line="520" w:lineRule="exact"/>
        <w:ind w:firstLine="480" w:firstLineChars="200"/>
        <w:rPr>
          <w:rFonts w:hint="eastAsia" w:ascii="黑体" w:hAnsi="仿宋" w:eastAsia="黑体"/>
          <w:sz w:val="24"/>
          <w:szCs w:val="24"/>
        </w:rPr>
      </w:pPr>
      <w:r>
        <w:rPr>
          <w:rFonts w:hint="eastAsia" w:ascii="黑体" w:hAnsi="黑体" w:eastAsia="黑体"/>
          <w:sz w:val="24"/>
          <w:szCs w:val="24"/>
        </w:rPr>
        <w:t>2、支出说明</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201</w:t>
      </w:r>
      <w:r>
        <w:rPr>
          <w:rFonts w:ascii="黑体" w:hAnsi="仿宋" w:eastAsia="黑体"/>
          <w:sz w:val="24"/>
          <w:szCs w:val="24"/>
        </w:rPr>
        <w:t>9</w:t>
      </w:r>
      <w:r>
        <w:rPr>
          <w:rFonts w:hint="eastAsia" w:ascii="黑体" w:hAnsi="仿宋" w:eastAsia="黑体"/>
          <w:sz w:val="24"/>
          <w:szCs w:val="24"/>
        </w:rPr>
        <w:t>年部门支出安排预算总额</w:t>
      </w:r>
      <w:r>
        <w:rPr>
          <w:rFonts w:ascii="黑体" w:hAnsi="仿宋" w:eastAsia="黑体"/>
          <w:sz w:val="24"/>
          <w:szCs w:val="24"/>
        </w:rPr>
        <w:t>858.77</w:t>
      </w:r>
      <w:r>
        <w:rPr>
          <w:rFonts w:hint="eastAsia" w:ascii="黑体" w:hAnsi="仿宋" w:eastAsia="黑体"/>
          <w:sz w:val="24"/>
          <w:szCs w:val="24"/>
        </w:rPr>
        <w:t>万元。</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基本支出</w:t>
      </w:r>
      <w:r>
        <w:rPr>
          <w:rFonts w:ascii="黑体" w:hAnsi="仿宋" w:eastAsia="黑体"/>
          <w:sz w:val="24"/>
          <w:szCs w:val="24"/>
        </w:rPr>
        <w:t>654.09</w:t>
      </w:r>
      <w:r>
        <w:rPr>
          <w:rFonts w:hint="eastAsia" w:ascii="黑体" w:hAnsi="仿宋" w:eastAsia="黑体"/>
          <w:sz w:val="24"/>
          <w:szCs w:val="24"/>
        </w:rPr>
        <w:t>万元</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 xml:space="preserve">   其中：人员经费</w:t>
      </w:r>
      <w:r>
        <w:rPr>
          <w:rFonts w:ascii="黑体" w:hAnsi="仿宋" w:eastAsia="黑体"/>
          <w:sz w:val="24"/>
          <w:szCs w:val="24"/>
        </w:rPr>
        <w:t>605.68</w:t>
      </w:r>
      <w:r>
        <w:rPr>
          <w:rFonts w:hint="eastAsia" w:ascii="黑体" w:hAnsi="仿宋" w:eastAsia="黑体"/>
          <w:sz w:val="24"/>
          <w:szCs w:val="24"/>
        </w:rPr>
        <w:t>万元</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 xml:space="preserve">         日常公用经费</w:t>
      </w:r>
      <w:r>
        <w:rPr>
          <w:rFonts w:ascii="黑体" w:hAnsi="仿宋" w:eastAsia="黑体"/>
          <w:sz w:val="24"/>
          <w:szCs w:val="24"/>
        </w:rPr>
        <w:t>48.41</w:t>
      </w:r>
      <w:r>
        <w:rPr>
          <w:rFonts w:hint="eastAsia" w:ascii="黑体" w:hAnsi="仿宋" w:eastAsia="黑体"/>
          <w:sz w:val="24"/>
          <w:szCs w:val="24"/>
        </w:rPr>
        <w:t>万元</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项目支出</w:t>
      </w:r>
      <w:r>
        <w:rPr>
          <w:rFonts w:ascii="黑体" w:hAnsi="仿宋" w:eastAsia="黑体"/>
          <w:sz w:val="24"/>
          <w:szCs w:val="24"/>
        </w:rPr>
        <w:t>204.678</w:t>
      </w:r>
      <w:r>
        <w:rPr>
          <w:rFonts w:hint="eastAsia" w:ascii="黑体" w:hAnsi="仿宋" w:eastAsia="黑体"/>
          <w:sz w:val="24"/>
          <w:szCs w:val="24"/>
        </w:rPr>
        <w:t>万元</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 xml:space="preserve">   其中：本级支出</w:t>
      </w:r>
      <w:r>
        <w:rPr>
          <w:rFonts w:ascii="黑体" w:hAnsi="仿宋" w:eastAsia="黑体"/>
          <w:sz w:val="24"/>
          <w:szCs w:val="24"/>
        </w:rPr>
        <w:t>204.68</w:t>
      </w:r>
      <w:r>
        <w:rPr>
          <w:rFonts w:hint="eastAsia" w:ascii="黑体" w:hAnsi="仿宋" w:eastAsia="黑体"/>
          <w:sz w:val="24"/>
          <w:szCs w:val="24"/>
        </w:rPr>
        <w:t>万元</w:t>
      </w:r>
    </w:p>
    <w:p>
      <w:pPr>
        <w:tabs>
          <w:tab w:val="left" w:pos="916"/>
        </w:tabs>
        <w:spacing w:line="560" w:lineRule="exact"/>
        <w:ind w:firstLine="480" w:firstLineChars="200"/>
        <w:jc w:val="left"/>
        <w:rPr>
          <w:rFonts w:hint="eastAsia" w:ascii="黑体" w:hAnsi="黑体" w:eastAsia="黑体"/>
          <w:sz w:val="24"/>
          <w:szCs w:val="24"/>
        </w:rPr>
      </w:pPr>
      <w:r>
        <w:rPr>
          <w:rFonts w:hint="eastAsia" w:ascii="黑体" w:hAnsi="黑体" w:eastAsia="黑体"/>
          <w:sz w:val="24"/>
          <w:szCs w:val="24"/>
        </w:rPr>
        <w:t>3、比上年增减情况</w:t>
      </w:r>
    </w:p>
    <w:p>
      <w:pPr>
        <w:tabs>
          <w:tab w:val="left" w:pos="916"/>
        </w:tabs>
        <w:spacing w:line="560" w:lineRule="exact"/>
        <w:ind w:firstLine="480"/>
        <w:jc w:val="left"/>
        <w:rPr>
          <w:rFonts w:hint="eastAsia" w:ascii="黑体" w:hAnsi="仿宋" w:eastAsia="黑体"/>
          <w:sz w:val="24"/>
          <w:szCs w:val="24"/>
        </w:rPr>
      </w:pPr>
      <w:r>
        <w:rPr>
          <w:rFonts w:hint="eastAsia" w:ascii="黑体" w:hAnsi="仿宋" w:eastAsia="黑体"/>
          <w:sz w:val="24"/>
          <w:szCs w:val="24"/>
        </w:rPr>
        <w:t>本年度预算收支安排</w:t>
      </w:r>
      <w:r>
        <w:rPr>
          <w:rFonts w:ascii="黑体" w:hAnsi="仿宋" w:eastAsia="黑体"/>
          <w:sz w:val="24"/>
          <w:szCs w:val="24"/>
        </w:rPr>
        <w:t>858.77</w:t>
      </w:r>
      <w:r>
        <w:rPr>
          <w:rFonts w:hint="eastAsia" w:ascii="黑体" w:hAnsi="仿宋" w:eastAsia="黑体"/>
          <w:sz w:val="24"/>
          <w:szCs w:val="24"/>
        </w:rPr>
        <w:t>万元，较上年增加6</w:t>
      </w:r>
      <w:r>
        <w:rPr>
          <w:rFonts w:ascii="黑体" w:hAnsi="仿宋" w:eastAsia="黑体"/>
          <w:sz w:val="24"/>
          <w:szCs w:val="24"/>
        </w:rPr>
        <w:t>5.54</w:t>
      </w:r>
      <w:r>
        <w:rPr>
          <w:rFonts w:hint="eastAsia" w:ascii="黑体" w:hAnsi="仿宋" w:eastAsia="黑体"/>
          <w:sz w:val="24"/>
          <w:szCs w:val="24"/>
        </w:rPr>
        <w:t>万元。其中:基本支出增加3</w:t>
      </w:r>
      <w:r>
        <w:rPr>
          <w:rFonts w:ascii="黑体" w:hAnsi="仿宋" w:eastAsia="黑体"/>
          <w:sz w:val="24"/>
          <w:szCs w:val="24"/>
        </w:rPr>
        <w:t>2.97</w:t>
      </w:r>
      <w:r>
        <w:rPr>
          <w:rFonts w:hint="eastAsia" w:ascii="黑体" w:hAnsi="仿宋" w:eastAsia="黑体"/>
          <w:sz w:val="24"/>
          <w:szCs w:val="24"/>
        </w:rPr>
        <w:t>万元，主要因为工资调整，增加人员工资经费支出；项目支出增加3</w:t>
      </w:r>
      <w:r>
        <w:rPr>
          <w:rFonts w:ascii="黑体" w:hAnsi="仿宋" w:eastAsia="黑体"/>
          <w:sz w:val="24"/>
          <w:szCs w:val="24"/>
        </w:rPr>
        <w:t>2.57</w:t>
      </w:r>
      <w:r>
        <w:rPr>
          <w:rFonts w:hint="eastAsia" w:ascii="黑体" w:hAnsi="仿宋" w:eastAsia="黑体"/>
          <w:sz w:val="24"/>
          <w:szCs w:val="24"/>
        </w:rPr>
        <w:t>万元，主要原因是增加了农业、农村综合改革等多个项目支出。</w:t>
      </w:r>
    </w:p>
    <w:p>
      <w:pPr>
        <w:spacing w:line="520" w:lineRule="exact"/>
        <w:jc w:val="center"/>
        <w:outlineLvl w:val="0"/>
        <w:rPr>
          <w:rFonts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20" w:lineRule="exact"/>
        <w:ind w:firstLine="480" w:firstLineChars="200"/>
        <w:jc w:val="left"/>
        <w:outlineLvl w:val="0"/>
        <w:rPr>
          <w:rFonts w:hint="eastAsia" w:ascii="黑体" w:hAnsi="仿宋" w:eastAsia="黑体"/>
          <w:sz w:val="24"/>
          <w:szCs w:val="24"/>
        </w:rPr>
      </w:pPr>
      <w:r>
        <w:rPr>
          <w:rFonts w:hint="eastAsia" w:ascii="黑体" w:hAnsi="仿宋" w:eastAsia="黑体"/>
          <w:sz w:val="24"/>
          <w:szCs w:val="24"/>
        </w:rPr>
        <w:t>保定市满城区石井乡人民政府机关运行经费安排4</w:t>
      </w:r>
      <w:r>
        <w:rPr>
          <w:rFonts w:ascii="黑体" w:hAnsi="仿宋" w:eastAsia="黑体"/>
          <w:sz w:val="24"/>
          <w:szCs w:val="24"/>
        </w:rPr>
        <w:t>8.41</w:t>
      </w:r>
      <w:r>
        <w:rPr>
          <w:rFonts w:hint="eastAsia" w:ascii="黑体" w:hAnsi="仿宋" w:eastAsia="黑体"/>
          <w:sz w:val="24"/>
          <w:szCs w:val="24"/>
        </w:rPr>
        <w:t>万元，其中办公费3</w:t>
      </w:r>
      <w:r>
        <w:rPr>
          <w:rFonts w:ascii="黑体" w:hAnsi="仿宋" w:eastAsia="黑体"/>
          <w:sz w:val="24"/>
          <w:szCs w:val="24"/>
        </w:rPr>
        <w:t>.58</w:t>
      </w:r>
      <w:r>
        <w:rPr>
          <w:rFonts w:hint="eastAsia" w:ascii="黑体" w:hAnsi="仿宋" w:eastAsia="黑体"/>
          <w:sz w:val="24"/>
          <w:szCs w:val="24"/>
        </w:rPr>
        <w:t>万元，水费、电费、取暖费</w:t>
      </w:r>
      <w:r>
        <w:rPr>
          <w:rFonts w:ascii="黑体" w:hAnsi="仿宋" w:eastAsia="黑体"/>
          <w:sz w:val="24"/>
          <w:szCs w:val="24"/>
        </w:rPr>
        <w:t>9</w:t>
      </w:r>
      <w:r>
        <w:rPr>
          <w:rFonts w:hint="eastAsia" w:ascii="黑体" w:hAnsi="仿宋" w:eastAsia="黑体"/>
          <w:sz w:val="24"/>
          <w:szCs w:val="24"/>
        </w:rPr>
        <w:t>万元，邮电费1</w:t>
      </w:r>
      <w:r>
        <w:rPr>
          <w:rFonts w:ascii="黑体" w:hAnsi="仿宋" w:eastAsia="黑体"/>
          <w:sz w:val="24"/>
          <w:szCs w:val="24"/>
        </w:rPr>
        <w:t>2.2</w:t>
      </w:r>
      <w:r>
        <w:rPr>
          <w:rFonts w:hint="eastAsia" w:ascii="黑体" w:hAnsi="仿宋" w:eastAsia="黑体"/>
          <w:sz w:val="24"/>
          <w:szCs w:val="24"/>
        </w:rPr>
        <w:t>万元，公务用车运行维护费</w:t>
      </w:r>
      <w:r>
        <w:rPr>
          <w:rFonts w:ascii="黑体" w:hAnsi="仿宋" w:eastAsia="黑体"/>
          <w:sz w:val="24"/>
          <w:szCs w:val="24"/>
        </w:rPr>
        <w:t>7.2</w:t>
      </w:r>
      <w:r>
        <w:rPr>
          <w:rFonts w:hint="eastAsia" w:ascii="黑体" w:hAnsi="仿宋" w:eastAsia="黑体"/>
          <w:sz w:val="24"/>
          <w:szCs w:val="24"/>
        </w:rPr>
        <w:t>万元，公务接待费0</w:t>
      </w:r>
      <w:r>
        <w:rPr>
          <w:rFonts w:ascii="黑体" w:hAnsi="仿宋" w:eastAsia="黑体"/>
          <w:sz w:val="24"/>
          <w:szCs w:val="24"/>
        </w:rPr>
        <w:t>.93</w:t>
      </w:r>
      <w:r>
        <w:rPr>
          <w:rFonts w:hint="eastAsia" w:ascii="黑体" w:hAnsi="仿宋" w:eastAsia="黑体"/>
          <w:sz w:val="24"/>
          <w:szCs w:val="24"/>
        </w:rPr>
        <w:t>万元,差旅费</w:t>
      </w:r>
      <w:r>
        <w:rPr>
          <w:rFonts w:ascii="黑体" w:hAnsi="仿宋" w:eastAsia="黑体"/>
          <w:sz w:val="24"/>
          <w:szCs w:val="24"/>
        </w:rPr>
        <w:t>0.5</w:t>
      </w:r>
      <w:r>
        <w:rPr>
          <w:rFonts w:hint="eastAsia" w:ascii="黑体" w:hAnsi="仿宋" w:eastAsia="黑体"/>
          <w:sz w:val="24"/>
          <w:szCs w:val="24"/>
        </w:rPr>
        <w:t>万元，其他交通费用</w:t>
      </w:r>
      <w:r>
        <w:rPr>
          <w:rFonts w:ascii="黑体" w:hAnsi="仿宋" w:eastAsia="黑体"/>
          <w:sz w:val="24"/>
          <w:szCs w:val="24"/>
        </w:rPr>
        <w:t>14.7</w:t>
      </w:r>
      <w:r>
        <w:rPr>
          <w:rFonts w:hint="eastAsia" w:ascii="黑体" w:hAnsi="仿宋" w:eastAsia="黑体"/>
          <w:sz w:val="24"/>
          <w:szCs w:val="24"/>
        </w:rPr>
        <w:t>万元，其他商品和服务支出</w:t>
      </w:r>
      <w:r>
        <w:rPr>
          <w:rFonts w:ascii="黑体" w:hAnsi="仿宋" w:eastAsia="黑体"/>
          <w:sz w:val="24"/>
          <w:szCs w:val="24"/>
        </w:rPr>
        <w:t>0.3</w:t>
      </w:r>
      <w:r>
        <w:rPr>
          <w:rFonts w:hint="eastAsia" w:ascii="黑体" w:hAnsi="仿宋" w:eastAsia="黑体"/>
          <w:sz w:val="24"/>
          <w:szCs w:val="24"/>
        </w:rPr>
        <w:t>万元。</w:t>
      </w:r>
    </w:p>
    <w:p>
      <w:pPr>
        <w:spacing w:line="520" w:lineRule="exact"/>
        <w:jc w:val="center"/>
        <w:outlineLvl w:val="0"/>
        <w:rPr>
          <w:rFonts w:ascii="黑体" w:hAnsi="黑体" w:eastAsia="黑体"/>
          <w:sz w:val="32"/>
          <w:szCs w:val="32"/>
        </w:rPr>
      </w:pPr>
    </w:p>
    <w:p>
      <w:pPr>
        <w:spacing w:line="520" w:lineRule="exact"/>
        <w:jc w:val="center"/>
        <w:outlineLvl w:val="0"/>
        <w:rPr>
          <w:rFonts w:ascii="黑体" w:hAnsi="黑体" w:eastAsia="黑体"/>
          <w:sz w:val="32"/>
          <w:szCs w:val="32"/>
        </w:rPr>
      </w:pPr>
    </w:p>
    <w:p>
      <w:pPr>
        <w:spacing w:line="520" w:lineRule="exact"/>
        <w:jc w:val="center"/>
        <w:outlineLvl w:val="0"/>
        <w:rPr>
          <w:rFonts w:ascii="黑体" w:hAnsi="黑体" w:eastAsia="黑体"/>
          <w:sz w:val="32"/>
          <w:szCs w:val="32"/>
        </w:rPr>
      </w:pP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outlineLvl w:val="0"/>
        <w:rPr>
          <w:rFonts w:hint="eastAsia" w:ascii="黑体" w:hAnsi="黑体" w:eastAsia="黑体"/>
          <w:sz w:val="24"/>
          <w:szCs w:val="24"/>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wBefore w:w="0" w:type="dxa"/>
          <w:wAfter w:w="0" w:type="dxa"/>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hint="eastAsia" w:ascii="黑体" w:hAnsi="黑体" w:eastAsia="黑体" w:cs="宋体"/>
                <w:kern w:val="0"/>
                <w:sz w:val="24"/>
                <w:szCs w:val="24"/>
              </w:rPr>
            </w:pPr>
            <w:r>
              <w:rPr>
                <w:rFonts w:hint="eastAsia" w:ascii="黑体" w:hAnsi="黑体" w:eastAsia="黑体"/>
                <w:sz w:val="24"/>
                <w:szCs w:val="24"/>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136"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1177"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3108" w:type="dxa"/>
            <w:tcBorders>
              <w:top w:val="nil"/>
              <w:left w:val="nil"/>
              <w:bottom w:val="nil"/>
              <w:right w:val="nil"/>
            </w:tcBorders>
            <w:noWrap w:val="0"/>
            <w:vAlign w:val="center"/>
          </w:tcPr>
          <w:p>
            <w:pPr>
              <w:widowControl/>
              <w:jc w:val="right"/>
              <w:rPr>
                <w:rFonts w:hint="eastAsia" w:ascii="黑体" w:hAnsi="宋体" w:eastAsia="黑体" w:cs="宋体"/>
                <w:kern w:val="0"/>
                <w:sz w:val="24"/>
                <w:szCs w:val="24"/>
              </w:rPr>
            </w:pPr>
            <w:r>
              <w:rPr>
                <w:rFonts w:hint="eastAsia" w:ascii="黑体" w:hAnsi="宋体" w:eastAsia="黑体" w:cs="宋体"/>
                <w:kern w:val="0"/>
                <w:sz w:val="24"/>
                <w:szCs w:val="24"/>
              </w:rPr>
              <w:t>单位：万元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201</w:t>
            </w:r>
            <w:r>
              <w:rPr>
                <w:rFonts w:ascii="黑体" w:hAnsi="宋体" w:eastAsia="黑体" w:cs="宋体"/>
                <w:kern w:val="0"/>
                <w:sz w:val="24"/>
                <w:szCs w:val="24"/>
              </w:rPr>
              <w:t>8</w:t>
            </w:r>
            <w:r>
              <w:rPr>
                <w:rFonts w:hint="eastAsia" w:ascii="黑体" w:hAnsi="宋体" w:eastAsia="黑体" w:cs="宋体"/>
                <w:kern w:val="0"/>
                <w:sz w:val="24"/>
                <w:szCs w:val="24"/>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201</w:t>
            </w:r>
            <w:r>
              <w:rPr>
                <w:rFonts w:ascii="黑体" w:hAnsi="宋体" w:eastAsia="黑体" w:cs="宋体"/>
                <w:kern w:val="0"/>
                <w:sz w:val="24"/>
                <w:szCs w:val="24"/>
              </w:rPr>
              <w:t>9</w:t>
            </w:r>
            <w:r>
              <w:rPr>
                <w:rFonts w:hint="eastAsia" w:ascii="黑体" w:hAnsi="宋体" w:eastAsia="黑体" w:cs="宋体"/>
                <w:kern w:val="0"/>
                <w:sz w:val="24"/>
                <w:szCs w:val="24"/>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变化原因</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黑体" w:hAnsi="宋体" w:eastAsia="黑体" w:cs="宋体"/>
                <w:kern w:val="0"/>
                <w:sz w:val="24"/>
                <w:szCs w:val="24"/>
              </w:rPr>
            </w:pPr>
            <w:r>
              <w:rPr>
                <w:rFonts w:hint="eastAsia" w:ascii="黑体" w:hAnsi="宋体" w:eastAsia="黑体" w:cs="宋体"/>
                <w:kern w:val="0"/>
                <w:sz w:val="24"/>
                <w:szCs w:val="24"/>
              </w:rPr>
              <w:t>无增减变化</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黑体" w:hAnsi="宋体" w:eastAsia="黑体" w:cs="宋体"/>
                <w:kern w:val="0"/>
                <w:sz w:val="24"/>
                <w:szCs w:val="24"/>
              </w:rPr>
            </w:pPr>
            <w:r>
              <w:rPr>
                <w:rFonts w:hint="eastAsia" w:ascii="黑体" w:hAnsi="宋体" w:eastAsia="黑体" w:cs="宋体"/>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ascii="黑体" w:hAnsi="宋体" w:eastAsia="黑体" w:cs="宋体"/>
                <w:kern w:val="0"/>
                <w:sz w:val="24"/>
                <w:szCs w:val="24"/>
              </w:rPr>
              <w:t>7.2</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ascii="黑体" w:hAnsi="宋体" w:eastAsia="黑体" w:cs="宋体"/>
                <w:kern w:val="0"/>
                <w:sz w:val="24"/>
                <w:szCs w:val="24"/>
              </w:rPr>
              <w:t>7.2</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黑体" w:hAnsi="宋体" w:eastAsia="黑体" w:cs="宋体"/>
                <w:kern w:val="0"/>
                <w:sz w:val="24"/>
                <w:szCs w:val="24"/>
              </w:rPr>
            </w:pPr>
            <w:r>
              <w:rPr>
                <w:rFonts w:hint="eastAsia" w:ascii="黑体" w:hAnsi="宋体" w:eastAsia="黑体" w:cs="宋体"/>
                <w:kern w:val="0"/>
                <w:sz w:val="24"/>
                <w:szCs w:val="24"/>
              </w:rPr>
              <w:t>无增减变化</w:t>
            </w:r>
          </w:p>
        </w:tc>
      </w:tr>
      <w:tr>
        <w:tblPrEx>
          <w:tblCellMar>
            <w:top w:w="0" w:type="dxa"/>
            <w:left w:w="108" w:type="dxa"/>
            <w:bottom w:w="0" w:type="dxa"/>
            <w:right w:w="108" w:type="dxa"/>
          </w:tblCellMar>
        </w:tblPrEx>
        <w:trPr>
          <w:wBefore w:w="0" w:type="dxa"/>
          <w:wAfter w:w="0" w:type="dxa"/>
          <w:trHeight w:val="53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ascii="黑体" w:hAnsi="宋体" w:eastAsia="黑体" w:cs="宋体"/>
                <w:kern w:val="0"/>
                <w:sz w:val="24"/>
                <w:szCs w:val="24"/>
              </w:rPr>
              <w:t>0.9312</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ascii="黑体" w:hAnsi="宋体" w:eastAsia="黑体" w:cs="宋体"/>
                <w:kern w:val="0"/>
                <w:sz w:val="24"/>
                <w:szCs w:val="24"/>
              </w:rPr>
              <w:t>0.9312</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黑体" w:hAnsi="宋体" w:eastAsia="黑体" w:cs="宋体"/>
                <w:kern w:val="0"/>
                <w:sz w:val="24"/>
                <w:szCs w:val="24"/>
              </w:rPr>
            </w:pPr>
            <w:r>
              <w:rPr>
                <w:rFonts w:hint="eastAsia" w:ascii="黑体" w:hAnsi="宋体" w:eastAsia="黑体" w:cs="宋体"/>
                <w:kern w:val="0"/>
                <w:sz w:val="24"/>
                <w:szCs w:val="24"/>
              </w:rPr>
              <w:t>无增减变化</w:t>
            </w:r>
          </w:p>
        </w:tc>
      </w:tr>
      <w:tr>
        <w:tblPrEx>
          <w:tblCellMar>
            <w:top w:w="0" w:type="dxa"/>
            <w:left w:w="108" w:type="dxa"/>
            <w:bottom w:w="0" w:type="dxa"/>
            <w:right w:w="108" w:type="dxa"/>
          </w:tblCellMar>
        </w:tblPrEx>
        <w:trPr>
          <w:wBefore w:w="0" w:type="dxa"/>
          <w:wAfter w:w="0" w:type="dxa"/>
          <w:trHeight w:val="573"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8</w:t>
            </w:r>
            <w:r>
              <w:rPr>
                <w:rFonts w:ascii="黑体" w:hAnsi="宋体" w:eastAsia="黑体" w:cs="宋体"/>
                <w:kern w:val="0"/>
                <w:sz w:val="24"/>
                <w:szCs w:val="24"/>
              </w:rPr>
              <w:t>.1312</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ascii="黑体" w:hAnsi="宋体" w:eastAsia="黑体" w:cs="宋体"/>
                <w:kern w:val="0"/>
                <w:sz w:val="24"/>
                <w:szCs w:val="24"/>
              </w:rPr>
              <w:t>8.1312</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黑体" w:hAnsi="宋体" w:eastAsia="黑体" w:cs="宋体"/>
                <w:kern w:val="0"/>
                <w:sz w:val="24"/>
                <w:szCs w:val="24"/>
              </w:rPr>
            </w:pPr>
            <w:r>
              <w:rPr>
                <w:rFonts w:hint="eastAsia" w:ascii="黑体" w:hAnsi="宋体" w:eastAsia="黑体" w:cs="宋体"/>
                <w:kern w:val="0"/>
                <w:sz w:val="24"/>
                <w:szCs w:val="24"/>
              </w:rPr>
              <w:t>无增减变化</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1177"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c>
          <w:tcPr>
            <w:tcW w:w="3108" w:type="dxa"/>
            <w:tcBorders>
              <w:top w:val="nil"/>
              <w:left w:val="nil"/>
              <w:bottom w:val="nil"/>
              <w:right w:val="nil"/>
            </w:tcBorders>
            <w:noWrap w:val="0"/>
            <w:vAlign w:val="center"/>
          </w:tcPr>
          <w:p>
            <w:pPr>
              <w:widowControl/>
              <w:jc w:val="left"/>
              <w:rPr>
                <w:rFonts w:hint="eastAsia" w:ascii="黑体" w:hAnsi="宋体" w:eastAsia="黑体" w:cs="宋体"/>
                <w:kern w:val="0"/>
                <w:sz w:val="24"/>
                <w:szCs w:val="24"/>
              </w:rPr>
            </w:pPr>
          </w:p>
        </w:tc>
      </w:tr>
    </w:tbl>
    <w:p>
      <w:pPr>
        <w:outlineLvl w:val="0"/>
        <w:rPr>
          <w:rFonts w:hint="eastAsia" w:ascii="黑体" w:hAnsi="黑体" w:eastAsia="黑体"/>
          <w:b/>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hint="eastAsia" w:ascii="黑体" w:hAnsi="黑体" w:eastAsia="黑体"/>
          <w:sz w:val="32"/>
          <w:szCs w:val="32"/>
        </w:rPr>
      </w:pPr>
    </w:p>
    <w:p>
      <w:pPr>
        <w:jc w:val="center"/>
        <w:outlineLvl w:val="0"/>
        <w:rPr>
          <w:rFonts w:hint="eastAsia" w:ascii="黑体" w:eastAsia="黑体"/>
          <w:sz w:val="24"/>
          <w:szCs w:val="24"/>
        </w:rPr>
      </w:pPr>
      <w:bookmarkStart w:id="0" w:name="_Toc508906464"/>
      <w:r>
        <w:rPr>
          <w:rFonts w:hint="eastAsia" w:ascii="黑体" w:eastAsia="黑体"/>
          <w:sz w:val="24"/>
          <w:szCs w:val="24"/>
        </w:rPr>
        <w:t>年度目标及保障措施</w:t>
      </w:r>
      <w:bookmarkEnd w:id="0"/>
    </w:p>
    <w:p>
      <w:pPr>
        <w:jc w:val="center"/>
        <w:rPr>
          <w:rFonts w:hint="eastAsia" w:ascii="黑体" w:hAnsi="宋体" w:eastAsia="黑体"/>
          <w:sz w:val="24"/>
          <w:szCs w:val="24"/>
        </w:rPr>
      </w:pPr>
      <w:r>
        <w:rPr>
          <w:rFonts w:hint="eastAsia" w:ascii="黑体" w:hAnsi="宋体" w:eastAsia="黑体"/>
          <w:sz w:val="24"/>
          <w:szCs w:val="24"/>
        </w:rPr>
        <w:t xml:space="preserve"> </w:t>
      </w:r>
    </w:p>
    <w:p>
      <w:pPr>
        <w:jc w:val="left"/>
        <w:rPr>
          <w:rFonts w:hint="eastAsia" w:ascii="黑体" w:eastAsia="黑体"/>
          <w:sz w:val="24"/>
          <w:szCs w:val="24"/>
        </w:rPr>
      </w:pPr>
      <w:r>
        <w:rPr>
          <w:rFonts w:hint="eastAsia" w:ascii="黑体" w:eastAsia="黑体"/>
          <w:sz w:val="24"/>
          <w:szCs w:val="24"/>
        </w:rPr>
        <w:t xml:space="preserve">    一、年度发展规划目标</w:t>
      </w:r>
    </w:p>
    <w:p>
      <w:pPr>
        <w:jc w:val="left"/>
        <w:rPr>
          <w:rFonts w:hint="eastAsia" w:ascii="黑体" w:eastAsia="黑体"/>
          <w:b/>
          <w:sz w:val="24"/>
          <w:szCs w:val="24"/>
        </w:rPr>
      </w:pPr>
      <w:r>
        <w:rPr>
          <w:rFonts w:hint="eastAsia" w:ascii="黑体" w:eastAsia="黑体"/>
          <w:b/>
          <w:sz w:val="24"/>
          <w:szCs w:val="24"/>
        </w:rPr>
        <w:t xml:space="preserve">    总体目标：</w:t>
      </w:r>
    </w:p>
    <w:p>
      <w:pPr>
        <w:spacing w:line="500" w:lineRule="exact"/>
        <w:ind w:firstLine="560"/>
        <w:rPr>
          <w:rFonts w:hint="eastAsia" w:ascii="黑体" w:eastAsia="黑体"/>
          <w:sz w:val="24"/>
          <w:szCs w:val="24"/>
        </w:rPr>
      </w:pPr>
      <w:r>
        <w:rPr>
          <w:rFonts w:hint="eastAsia" w:ascii="黑体" w:hAnsi="宋体" w:eastAsia="黑体" w:cs="宋体"/>
          <w:sz w:val="24"/>
          <w:szCs w:val="24"/>
        </w:rPr>
        <w:t>贯彻国家法律法规及规章制度、各方针政策，发展本区域经济和社会发展。改善农村生态环境、做好稳定工作，做好百姓的服务工作，加强全乡经济发展。</w:t>
      </w:r>
    </w:p>
    <w:p>
      <w:pPr>
        <w:spacing w:line="500" w:lineRule="exact"/>
        <w:ind w:firstLine="560"/>
        <w:rPr>
          <w:rFonts w:hint="eastAsia" w:ascii="黑体" w:eastAsia="黑体"/>
          <w:sz w:val="24"/>
          <w:szCs w:val="24"/>
        </w:rPr>
      </w:pPr>
    </w:p>
    <w:p>
      <w:pPr>
        <w:jc w:val="left"/>
        <w:rPr>
          <w:rFonts w:hint="eastAsia" w:ascii="黑体" w:eastAsia="黑体"/>
          <w:b/>
          <w:sz w:val="24"/>
          <w:szCs w:val="24"/>
        </w:rPr>
      </w:pPr>
      <w:r>
        <w:rPr>
          <w:rFonts w:hint="eastAsia" w:ascii="黑体" w:eastAsia="黑体"/>
          <w:b/>
          <w:sz w:val="24"/>
          <w:szCs w:val="24"/>
        </w:rPr>
        <w:t xml:space="preserve">    职责分类绩效目标：</w:t>
      </w:r>
    </w:p>
    <w:p>
      <w:pPr>
        <w:spacing w:line="500" w:lineRule="exact"/>
        <w:ind w:firstLine="560"/>
        <w:rPr>
          <w:rFonts w:hint="eastAsia" w:ascii="黑体" w:eastAsia="黑体"/>
          <w:sz w:val="24"/>
          <w:szCs w:val="24"/>
        </w:rPr>
      </w:pPr>
      <w:r>
        <w:rPr>
          <w:rFonts w:hint="eastAsia" w:ascii="黑体" w:eastAsia="黑体"/>
          <w:sz w:val="24"/>
          <w:szCs w:val="24"/>
        </w:rPr>
        <w:t>加强机关行政效能建设，改进机关工作作风，提高办事效率，积极发挥职能作用。</w:t>
      </w:r>
    </w:p>
    <w:p>
      <w:pPr>
        <w:jc w:val="left"/>
        <w:rPr>
          <w:rFonts w:hint="eastAsia" w:ascii="黑体" w:eastAsia="黑体"/>
          <w:sz w:val="24"/>
          <w:szCs w:val="24"/>
        </w:rPr>
      </w:pPr>
      <w:r>
        <w:rPr>
          <w:rFonts w:hint="eastAsia" w:ascii="黑体" w:eastAsia="黑体"/>
          <w:sz w:val="24"/>
          <w:szCs w:val="24"/>
        </w:rPr>
        <w:t xml:space="preserve">    二、实现年度发展规划目标的保障措施</w:t>
      </w:r>
    </w:p>
    <w:p>
      <w:pPr>
        <w:spacing w:line="500" w:lineRule="exact"/>
        <w:ind w:firstLine="560"/>
        <w:rPr>
          <w:rFonts w:hint="eastAsia" w:ascii="黑体" w:eastAsia="黑体"/>
          <w:sz w:val="24"/>
          <w:szCs w:val="24"/>
        </w:rPr>
      </w:pPr>
      <w:r>
        <w:rPr>
          <w:rFonts w:hint="eastAsia" w:ascii="黑体" w:eastAsia="黑体"/>
          <w:sz w:val="24"/>
          <w:szCs w:val="24"/>
        </w:rPr>
        <w:t>积极保持中高速发展，增长速度高于平均水平，发展迈入中高端质量效益，生态环境显著改善，空气质量明显提高，区域经济实现增长。</w:t>
      </w:r>
    </w:p>
    <w:p>
      <w:pPr>
        <w:spacing w:line="500" w:lineRule="exact"/>
        <w:ind w:firstLine="560"/>
        <w:rPr>
          <w:rFonts w:hint="eastAsia" w:ascii="黑体" w:eastAsia="黑体"/>
          <w:sz w:val="24"/>
          <w:szCs w:val="24"/>
        </w:rPr>
      </w:pPr>
      <w:r>
        <w:rPr>
          <w:rFonts w:hint="eastAsia" w:ascii="黑体" w:eastAsia="黑体"/>
          <w:sz w:val="24"/>
          <w:szCs w:val="24"/>
        </w:rPr>
        <w:t>1、聚焦项目园区，增强协同发展的拉动力；</w:t>
      </w:r>
    </w:p>
    <w:p>
      <w:pPr>
        <w:spacing w:line="500" w:lineRule="exact"/>
        <w:ind w:firstLine="560"/>
        <w:rPr>
          <w:rFonts w:hint="eastAsia" w:ascii="黑体" w:eastAsia="黑体"/>
          <w:sz w:val="24"/>
          <w:szCs w:val="24"/>
        </w:rPr>
      </w:pPr>
      <w:r>
        <w:rPr>
          <w:rFonts w:hint="eastAsia" w:ascii="黑体" w:eastAsia="黑体"/>
          <w:sz w:val="24"/>
          <w:szCs w:val="24"/>
        </w:rPr>
        <w:t>2、聚焦城市建设，增强同城发展的承载力；</w:t>
      </w:r>
    </w:p>
    <w:p>
      <w:pPr>
        <w:spacing w:line="500" w:lineRule="exact"/>
        <w:ind w:firstLine="560"/>
        <w:rPr>
          <w:rFonts w:hint="eastAsia" w:ascii="黑体" w:eastAsia="黑体"/>
          <w:sz w:val="24"/>
          <w:szCs w:val="24"/>
        </w:rPr>
      </w:pPr>
      <w:r>
        <w:rPr>
          <w:rFonts w:hint="eastAsia" w:ascii="黑体" w:eastAsia="黑体"/>
          <w:sz w:val="24"/>
          <w:szCs w:val="24"/>
        </w:rPr>
        <w:t>3、聚焦生态旅游，增强绿色发展的支撑力；</w:t>
      </w:r>
    </w:p>
    <w:p>
      <w:pPr>
        <w:spacing w:line="500" w:lineRule="exact"/>
        <w:ind w:firstLine="560"/>
        <w:rPr>
          <w:rFonts w:hint="eastAsia" w:ascii="黑体" w:eastAsia="黑体"/>
          <w:sz w:val="24"/>
          <w:szCs w:val="24"/>
        </w:rPr>
      </w:pPr>
      <w:r>
        <w:rPr>
          <w:rFonts w:hint="eastAsia" w:ascii="黑体" w:eastAsia="黑体"/>
          <w:sz w:val="24"/>
          <w:szCs w:val="24"/>
        </w:rPr>
        <w:t>4、聚焦美丽乡村，增强统筹发展的凝聚力；</w:t>
      </w:r>
    </w:p>
    <w:p>
      <w:pPr>
        <w:spacing w:line="500" w:lineRule="exact"/>
        <w:ind w:firstLine="560"/>
        <w:rPr>
          <w:rFonts w:hint="eastAsia" w:ascii="黑体" w:eastAsia="黑体"/>
          <w:sz w:val="24"/>
          <w:szCs w:val="24"/>
        </w:rPr>
      </w:pPr>
      <w:r>
        <w:rPr>
          <w:rFonts w:hint="eastAsia" w:ascii="黑体" w:eastAsia="黑体"/>
          <w:sz w:val="24"/>
          <w:szCs w:val="24"/>
        </w:rPr>
        <w:t>5、聚焦民生事业，增强共享发展的向心力。</w:t>
      </w:r>
    </w:p>
    <w:p>
      <w:pPr>
        <w:spacing w:line="500" w:lineRule="exact"/>
        <w:ind w:firstLine="560"/>
        <w:rPr>
          <w:rFonts w:ascii="黑体" w:eastAsia="黑体"/>
          <w:sz w:val="24"/>
          <w:szCs w:val="24"/>
        </w:rPr>
        <w:sectPr>
          <w:headerReference r:id="rId4" w:type="default"/>
          <w:headerReference r:id="rId5" w:type="even"/>
          <w:pgSz w:w="11907" w:h="16839"/>
          <w:pgMar w:top="1531" w:right="1134" w:bottom="1474" w:left="1134" w:header="851" w:footer="992" w:gutter="0"/>
          <w:cols w:space="720" w:num="1"/>
          <w:docGrid w:linePitch="312" w:charSpace="0"/>
        </w:sectPr>
      </w:pPr>
    </w:p>
    <w:p>
      <w:pPr>
        <w:jc w:val="center"/>
        <w:outlineLvl w:val="0"/>
        <w:rPr>
          <w:rFonts w:ascii="方正小标宋_GBK" w:eastAsia="方正小标宋_GBK"/>
          <w:color w:val="FFFFFF"/>
          <w:sz w:val="32"/>
        </w:rPr>
      </w:pPr>
      <w:bookmarkStart w:id="1" w:name="_Toc3296435"/>
      <w:bookmarkStart w:id="2" w:name="_Toc508906465"/>
      <w:r>
        <w:rPr>
          <w:rFonts w:hint="eastAsia" w:ascii="方正小标宋_GBK" w:eastAsia="方正小标宋_GBK"/>
          <w:sz w:val="32"/>
        </w:rPr>
        <w:t>部门职责-工作活动绩效目标</w:t>
      </w:r>
      <w:r>
        <w:rPr>
          <w:rStyle w:val="12"/>
          <w:rFonts w:ascii="方正小标宋_GBK" w:eastAsia="方正小标宋_GBK"/>
          <w:color w:val="FFFFFF"/>
          <w:sz w:val="32"/>
        </w:rPr>
        <w:footnoteReference w:id="0" w:customMarkFollows="1"/>
        <w:sym w:font="Symbol" w:char="F020"/>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917</w:t>
            </w:r>
            <w:r>
              <w:rPr>
                <w:rFonts w:hint="eastAsia" w:ascii="方正小标宋_GBK" w:eastAsia="方正小标宋_GBK"/>
                <w:sz w:val="24"/>
              </w:rPr>
              <w:t>保定市满城区石井乡人民政府</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一、选举和任免</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、确保有关选举的法律法规符合实际，在充分考察调研的基础上，实施对其进行修改。</w:t>
            </w:r>
            <w:r>
              <w:rPr>
                <w:rFonts w:ascii="方正书宋_GBK" w:eastAsia="方正书宋_GBK"/>
              </w:rPr>
              <w:t>2</w:t>
            </w:r>
            <w:r>
              <w:rPr>
                <w:rFonts w:hint="eastAsia" w:ascii="方正书宋_GBK" w:eastAsia="方正书宋_GBK"/>
              </w:rPr>
              <w:t>、对乡镇政府组成人员和乡镇人民法院主要负责人进行目标责任监督，确保依法履行职责，完成目标任务。</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、换届选举及人事任免</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承担乡镇人大换届选举、乡镇区领导人的选举和常委会人事任免的服务工作；负责对乡镇政府组成人员和乡镇人民法院主要负责人的目标责任书、述职报告的督办工作。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提高法规质量，发挥人大的桥梁纽带作用，反映民意，促进依法履职</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执法检查和集中视察完成率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二、民族宗教事务管理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p>
            <w:pPr>
              <w:spacing w:line="300" w:lineRule="exact"/>
              <w:jc w:val="left"/>
              <w:rPr>
                <w:rFonts w:hint="eastAsia" w:ascii="方正书宋_GBK" w:eastAsia="方正书宋_GBK"/>
              </w:rPr>
            </w:pPr>
            <w:r>
              <w:rPr>
                <w:rFonts w:hint="eastAsia" w:ascii="方正书宋_GBK" w:eastAsia="方正书宋_GBK"/>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加强宗教事务管理工作，加强其他民族宗教综合性事务管理工作。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、民族宗教综合治理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spacing w:line="300" w:lineRule="exact"/>
              <w:jc w:val="left"/>
              <w:rPr>
                <w:rFonts w:hint="eastAsia" w:ascii="方正书宋_GBK" w:eastAsia="方正书宋_GBK"/>
              </w:rPr>
            </w:pPr>
            <w:r>
              <w:rPr>
                <w:rFonts w:hint="eastAsia" w:ascii="方正书宋_GBK" w:eastAsia="方正书宋_GBK"/>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保证会议顺利召开，完成会议议程</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会议活动完成率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三、政法综治稳定和国家安全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、贯彻实施国家安全战略，推进国家安全法制建设，贯彻落实国家安全工作方针，研究解决涉及国家安全工作的重大问题。</w:t>
            </w:r>
            <w:r>
              <w:rPr>
                <w:rFonts w:ascii="方正书宋_GBK" w:eastAsia="方正书宋_GBK"/>
              </w:rPr>
              <w:t>2</w:t>
            </w:r>
            <w:r>
              <w:rPr>
                <w:rFonts w:hint="eastAsia" w:ascii="方正书宋_GBK" w:eastAsia="方正书宋_GBK"/>
              </w:rPr>
              <w:t>、推进社会治安综合治理，维护社会稳定，有效地维护本乡镇的可持续稳定。同时抓好全民普法工作，推进依法治理。</w:t>
            </w:r>
            <w:r>
              <w:rPr>
                <w:rFonts w:ascii="方正书宋_GBK" w:eastAsia="方正书宋_GBK"/>
              </w:rPr>
              <w:t>3</w:t>
            </w:r>
            <w:r>
              <w:rPr>
                <w:rFonts w:hint="eastAsia" w:ascii="方正书宋_GBK" w:eastAsia="方正书宋_GBK"/>
              </w:rPr>
              <w:t>、加强政法队伍建设和领导班子建设。</w:t>
            </w:r>
            <w:r>
              <w:rPr>
                <w:rFonts w:ascii="方正书宋_GBK" w:eastAsia="方正书宋_GBK"/>
              </w:rPr>
              <w:t>4</w:t>
            </w:r>
            <w:r>
              <w:rPr>
                <w:rFonts w:hint="eastAsia" w:ascii="方正书宋_GBK" w:eastAsia="方正书宋_GBK"/>
              </w:rPr>
              <w:t>、受理并查处涉法信访案件工作，促进司法公正。</w:t>
            </w:r>
            <w:r>
              <w:rPr>
                <w:rFonts w:ascii="方正书宋_GBK" w:eastAsia="方正书宋_GBK"/>
              </w:rPr>
              <w:t>5</w:t>
            </w:r>
            <w:r>
              <w:rPr>
                <w:rFonts w:hint="eastAsia" w:ascii="方正书宋_GBK" w:eastAsia="方正书宋_GBK"/>
              </w:rPr>
              <w:t>、坚持社会治安综合治理属地管理原则；抓好目标管理责任制、责任追究和一票否决权等制度的落实，抓好中小学校的社会治安综合治理和所辖乡镇公路治安联防护路等工作。</w:t>
            </w:r>
            <w:r>
              <w:rPr>
                <w:rFonts w:ascii="方正书宋_GBK" w:eastAsia="方正书宋_GBK"/>
              </w:rPr>
              <w:t>6</w:t>
            </w:r>
            <w:r>
              <w:rPr>
                <w:rFonts w:hint="eastAsia" w:ascii="方正书宋_GBK" w:eastAsia="方正书宋_GBK"/>
              </w:rPr>
              <w:t>、依法打击并取缔各种非法宗教活动。</w:t>
            </w:r>
            <w:r>
              <w:rPr>
                <w:rFonts w:ascii="方正书宋_GBK" w:eastAsia="方正书宋_GBK"/>
              </w:rPr>
              <w:t>7</w:t>
            </w:r>
            <w:r>
              <w:rPr>
                <w:rFonts w:hint="eastAsia" w:ascii="方正书宋_GBK" w:eastAsia="方正书宋_GBK"/>
              </w:rPr>
              <w:t>、矛盾纠纷排查。</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抓好乡镇政法综治稳定工作，预防减少不稳定隐患、群体性事件和突发事件，维护国家安全工作。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、协调维护社会稳定和国家安全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排查、化解影响社会稳定的重大不稳定隐患、群体性事件和突发事件及影响国家安全的事件。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维护党纪国法尊严，坚决惩处腐败分子，遏制腐败现象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资金使用规范率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、涉法涉诉信访工作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认真做好群众来信来访工作，特别是涉及政法各部门的案件，信件，要及时准确的做好解释疏导工作，并转办（交办</w:t>
            </w:r>
            <w:r>
              <w:rPr>
                <w:rFonts w:ascii="方正书宋_GBK" w:eastAsia="方正书宋_GBK"/>
              </w:rPr>
              <w:t>)</w:t>
            </w:r>
            <w:r>
              <w:rPr>
                <w:rFonts w:hint="eastAsia" w:ascii="方正书宋_GBK" w:eastAsia="方正书宋_GBK"/>
              </w:rPr>
              <w:t>政法各部限期办理或督导检查落实情况，维护群众利益诉求。</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、矛盾纠纷排查化解</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完善矛盾纠纷排查机制，对乡镇内矛盾纠纷随时排查及时化解，做到小事不出村，大事不出乡镇，把矛盾化解在基层、化解在萌芽状态。</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、公路护路联防工作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组织开展好全国两会及其他重要时期公路护路联防工作，维护好公路的安全运行，保障公路运输及过往人员安全</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四、社会管理与服务</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447120.00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组织指导基层政权和村民委员会建设；推进社会工作人员队伍建设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推进乡镇社会组织健康发展，优化行政区划空间布局，建立健全城乡基层群众自治组织，逐步实现社会工作者专业化、职业化。</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、基层政权和村民委员会建设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447120.00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组织指导乡镇、村民委员会和基层群众自治组织；指导村民委员会民主选举、民主决策、民主管理和民主监督，村务公开；指导乡镇村民委员会建设及服务管理工作。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加强党风廉政建设，营造风清气正、干事创业的工作氛围，巡视监督工作常态化、全覆盖</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巡视工作完成率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教育活动落实率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五、政府专项工作服务与管理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政府采购、农村综合改革、政府债务、综合治税、政府购买服务、规范津补贴等政府专项工作的服务与管理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各专项工作依法规范管理，政策制度健全，执行程序规范，管控有力有效，各项政策落实，各项服务到位，业务风险有效控制，资金分配规范合理，经费使用节约。</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、政府债务管理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加强政府债券管理和土储融资审核；编制月季年报并上报分析材料；实施风险预警及专项检查与监督。</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提高群众法律意识和法律素质，增强法制化管理水平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普法宣传全覆盖</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六、水利水电项目建设与管理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水利水电项目的建设与维护管理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、水利工程运行与维护</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开展河道堤防、水库、排涝、水文等水利工程运行管理和加强对乡镇水利行业的安全生产监督、检查。对水利工程进行维修养护，确保工程安全运行。</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增强群众自觉实行计划生育的积极性，稳定适度低生育水平，遏制人口出生性别比偏高的问题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出生人口性别比</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计生奖扶落实率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、保障农村饮水安全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在全乡范围内通过实施农村饮水安全项目，解决农村居民饮水不安全问题。</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、农田水利建设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建设小型农田水利设施，实施节水灌溉、灌区续建配套与节水改造等，推广综合节水技术，农业水价综合改革，开展乡镇水利站建设。</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、水库移民安置及后期管理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落实水库移民政策，扶持移民发展生产，保持移民稳定。</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七、水利科技支撑和公共服务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组织开展乡镇水利事业建设的科技创新和技术示范推广，为水利事业科学发展提供公共支撑。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示范推广水利工程和管理技术，提高水利事业管理水平。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、防汛抗旱</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负责乡镇防汛抗旱组织建设，应急调度，建设应急度汛、抗旱应急、山洪灾害防治项目，储备管理防汛抗旱物资，建设水利信息化基础设施，提高乡镇抗御水旱灾害能力。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组织开展普查及专项统计调查工作，了解基层情况和动态提供统计信息和咨询建议，确保普查和专项统计调查工作顺利完成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普查和专项统计调查</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八、城乡建设管理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乡镇公用设施建设、安全和应急管理；落实村庄和小城镇建设政策；指导农村住房建设、住房安全和危房改造；改善小城镇和村庄人居环境。</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加强村镇建设，改善农村人居环境，实现城乡统筹发展。协调和指导推进城镇化工作，加快城镇化进程。</w:t>
            </w:r>
          </w:p>
          <w:p>
            <w:pPr>
              <w:spacing w:line="300" w:lineRule="exact"/>
              <w:jc w:val="left"/>
              <w:rPr>
                <w:rFonts w:hint="eastAsia" w:ascii="方正书宋_GBK" w:eastAsia="方正书宋_GBK"/>
              </w:rPr>
            </w:pPr>
            <w:r>
              <w:rPr>
                <w:rFonts w:hint="eastAsia" w:ascii="方正书宋_GBK" w:eastAsia="方正书宋_GBK"/>
              </w:rPr>
              <w:t>加</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、公用设施建设与管理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开展乡镇供水、节水、燃气、热力、环境设施、园林、污水处理、垃圾处理等设施建设，开展乡镇的绿化和生物多样性工作；组织实施乡镇绿道绿廊建设；进行公用设施安全和应急管理。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发挥财政职能，提高理财水平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财政人员培训率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、推进城镇化建设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推进城镇建设与旧城改造，推进小城镇和集镇人居环境改善，落实推进省市重点镇的建设；做好乡镇规划、环境质量、居住水平、产业聚集、风貌特色、综合管理、乡镇建设投融资等工作，全面推进乡镇建设上水平，推进城镇化工作。</w:t>
            </w:r>
          </w:p>
          <w:p>
            <w:pPr>
              <w:spacing w:line="300" w:lineRule="exact"/>
              <w:jc w:val="left"/>
              <w:rPr>
                <w:rFonts w:ascii="方正书宋_GBK" w:eastAsia="方正书宋_GBK"/>
              </w:rPr>
            </w:pPr>
            <w:r>
              <w:rPr>
                <w:rFonts w:hint="eastAsia" w:ascii="方正书宋_GBK" w:eastAsia="方正书宋_GBK"/>
              </w:rPr>
              <w:t>推进城镇建设与旧城改造，推进小城镇和集镇人居环境改善，落实推进省市重点镇的建设；做好乡镇规划、环境质量、居住水平、产业聚集、风貌特色、综合管理、乡镇建设投融资等工作，全面推进乡镇建设上水平，推进城镇化工作。</w:t>
            </w:r>
          </w:p>
          <w:p>
            <w:pPr>
              <w:spacing w:line="300" w:lineRule="exact"/>
              <w:jc w:val="left"/>
              <w:rPr>
                <w:rFonts w:hint="eastAsia" w:ascii="方正书宋_GBK" w:eastAsia="方正书宋_GBK"/>
              </w:rPr>
            </w:pPr>
            <w:r>
              <w:rPr>
                <w:rFonts w:hint="eastAsia" w:ascii="方正书宋_GBK" w:eastAsia="方正书宋_GBK"/>
              </w:rPr>
              <w:t>推进城镇建设与旧城改造，推进小城镇和集镇人居环境改善，落实推进省市重点镇的建设；做好乡镇规划、环境质量、居住水平、产业聚集、风貌特色、综合管理、乡镇建设投融资等工作，全面推进乡镇建设上水平，推进城镇化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合理有效使用预算资金发挥资金效能</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预算资金执行效能</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九、交通运输基础设施建设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完成交通基础设施投资；管理乡镇重点工程建设、工程质量和安全生产，对项目招投标活动进行监督管理。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投资建设普通公路及农村公路；进行场站建设；保障交通基础设施建设项目质量。</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、开展交通基础设施建设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监管乡镇公路，对公路有关重点工程建设、工程质量和安全生产及行业招投标活动进行监督和管理，做好建设过程中的协调管理工作。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做好对五保户、低保户、贫困户、大病医疗救助、防灾、减灾、救灾款项的及时发放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十、交通运输基础设施养护、维护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开展交通运输基础设施养护、维护，对项目招投标活动进行监督管理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完成路基路面大中型维修，加固桥梁，治理隐患；开展高速绿色廊道建设；农村公路养护实施</w:t>
            </w:r>
            <w:r>
              <w:rPr>
                <w:rFonts w:hint="cs" w:ascii="方正书宋_GBK" w:eastAsia="方正书宋_GBK"/>
                <w:cs/>
              </w:rPr>
              <w:t>“</w:t>
            </w:r>
            <w:r>
              <w:rPr>
                <w:rFonts w:hint="eastAsia" w:ascii="方正书宋_GBK" w:eastAsia="方正书宋_GBK"/>
              </w:rPr>
              <w:t>以奖代补</w:t>
            </w:r>
            <w:r>
              <w:rPr>
                <w:rFonts w:hint="cs" w:ascii="方正书宋_GBK" w:eastAsia="方正书宋_GBK"/>
                <w:cs/>
              </w:rPr>
              <w:t>”</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、公路建设管理养护基础数据采集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通过公路各项指标地理信息、数据采集及桥梁隧道检测、交通量调查等方式适时采集相关数据并及时更新；管理维护设备及数据采集信息系统。</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发挥党的模范带头作用，为民服务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党员培训率、基层组织健全</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、公路、水运工程养护监督和管理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十一、政务管理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1599643.00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承担系统综合业务管理和部门综合事务管理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促进乡镇机关事务管理工作科学发展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1569643.00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管理乡镇机关网络建设、运转维护和电子政务；机关标准化建设、保密、档案以及政务接待、公务。办公楼修缮、供水、供电、供暖以及机关环境绿化美化、卫生保洁、安全保卫。离退休干部慰问。党组织活动。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加强农村电力、交通、水利、经济活动场所建设，改善民生，助推经济发展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基础设施发展率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、信访活动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30000.00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处理人民群众来信、来访</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信息采集及上报及时，按时限完成各项工作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、信访活动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处理人民群众来信、来访</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接待和处理人民群众反映的情况和问题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信访案件处理率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十二、医疗保障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通过贯彻实施新型农村合作医疗、疾病应急救助、城乡居民大病保险以及公费医疗等制度，保障人民群众公平享有所需医疗服务权益。</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扩大各项保险的覆盖面，及时足额落实社会保险待遇。</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、新型农村合作医疗及城乡居民大病保险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组织、引导、支持，农民自愿参加新型农村合作医疗，提高农村居民的医疗保障水平；建立大病保险制度；对城乡居民因患大病发生的高额医疗费用给予报销。</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十三、计划生育</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提供各类计划生育技术服务，建立利益导向机制，开展出生人口性别比治理以及流动人口计划生育管理等各项工作。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稳定适度的低生育水平，有效保障计划生育家庭生活水平，提高妇女生殖健康水平，降低出生缺陷的发生，有效遏制出生人口性别比偏高问题。</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免费为农村计划怀孕夫妇实行孕前优生健康检查；免费为公民提供计划生育避孕节育基本技术服务；免费为农村已婚育龄妇女提供生殖健康检查服务。</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十四、农村文化建设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协助完成国家下达的广播直播卫星户户通工程、农村电影工作、数字影院升级改造、农家书屋建设、全民阅读活动、老放映员生活补助以及应急广播体系建设等任务目标。</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党的路线，方针、政策和上级工作部署，坚持正确舆论导向，发挥主流媒体作用；开展各类宣传工作；组织农村群众文化体育活动，负责乡镇广播电视微波电路正常运行和维护；负责相关设备的正常运行和维护；在乡镇建立广播电视安全播出保障体系，组织实施重大公益工程和公益活动，扶助老少边穷地区新闻出版广播影视建设和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、公共服务工程推广</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农家书屋建设、群众文化体育活动、全民阅读活动、老放映员生活补助以及应急广播体系建设等任务目标。</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十五、环境污染综合防治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贯彻落实大气、水体、固体废物、化学品、机动车等污染防治管理制度，开展饮用水水源地环境保护。</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加强大气、水体、机动车污染防治，加强固体废弃物、重金属等重点污染治理工程的防治工作。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、大气污染防治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重点对</w:t>
            </w:r>
            <w:r>
              <w:rPr>
                <w:rFonts w:ascii="方正书宋_GBK" w:eastAsia="方正书宋_GBK"/>
              </w:rPr>
              <w:t>PM</w:t>
            </w:r>
            <w:r>
              <w:rPr>
                <w:rFonts w:hint="eastAsia" w:ascii="方正书宋_GBK" w:eastAsia="方正书宋_GBK"/>
              </w:rPr>
              <w:t>、</w:t>
            </w:r>
            <w:r>
              <w:rPr>
                <w:rFonts w:ascii="方正书宋_GBK" w:eastAsia="方正书宋_GBK"/>
              </w:rPr>
              <w:t>VOC</w:t>
            </w:r>
            <w:r>
              <w:rPr>
                <w:rFonts w:hint="eastAsia" w:ascii="方正书宋_GBK" w:eastAsia="方正书宋_GBK"/>
              </w:rPr>
              <w:t>、二氧化硫等大气污染物进行综合防治，推动城镇环境空气质量改善。</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十六、自然生态保护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强化生态保护和监察监管，提高自然保护区建设水平，加强生物多样性保护力度，提升农村生态环境质量。</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加强自然生态保护</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解决影响群众生活和健康较为直接的饮用水安全保障、生活垃圾和污水治理、率领关于污染治理防治等突出环境问题，改善环境重点、敏感区域的农村人居和生态环境质量。</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十七、信访问题处理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负责正常信访、非访、突发性及群体性事件的办理；提供相关服务保障；协助区信访局处理群众进京上访；信访事项督查、复查、复核、听证。</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及时办理正常信访业务，妥善处置非访、突发性及群体性事件，对信访事项督查、复查、复核、听证。</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、办理正常信访业务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办理人民群众来信、来访、网上信访；处理乡镇群众进京上访。</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十八、民兵训练和专武干部培训</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加强后备力量建设，培养</w:t>
            </w:r>
            <w:r>
              <w:rPr>
                <w:rFonts w:hint="cs" w:ascii="方正书宋_GBK" w:eastAsia="方正书宋_GBK"/>
                <w:cs/>
              </w:rPr>
              <w:t>“</w:t>
            </w:r>
            <w:r>
              <w:rPr>
                <w:rFonts w:hint="eastAsia" w:ascii="方正书宋_GBK" w:eastAsia="方正书宋_GBK"/>
              </w:rPr>
              <w:t>劳武</w:t>
            </w:r>
            <w:r>
              <w:rPr>
                <w:rFonts w:hint="cs" w:ascii="方正书宋_GBK" w:eastAsia="方正书宋_GBK"/>
                <w:cs/>
              </w:rPr>
              <w:t>”</w:t>
            </w:r>
            <w:r>
              <w:rPr>
                <w:rFonts w:hint="eastAsia" w:ascii="方正书宋_GBK" w:eastAsia="方正书宋_GBK"/>
              </w:rPr>
              <w:t>两用人才的人民武装建设的基地。</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w:t>
            </w:r>
            <w:r>
              <w:rPr>
                <w:rFonts w:hint="cs" w:ascii="方正书宋_GBK" w:eastAsia="方正书宋_GBK"/>
                <w:cs/>
              </w:rPr>
              <w:t>“</w:t>
            </w:r>
            <w:r>
              <w:rPr>
                <w:rFonts w:hint="eastAsia" w:ascii="方正书宋_GBK" w:eastAsia="方正书宋_GBK"/>
              </w:rPr>
              <w:t>严格训练、严格要求</w:t>
            </w:r>
            <w:r>
              <w:rPr>
                <w:rFonts w:hint="cs" w:ascii="方正书宋_GBK" w:eastAsia="方正书宋_GBK"/>
                <w:cs/>
              </w:rPr>
              <w:t>”</w:t>
            </w:r>
            <w:r>
              <w:rPr>
                <w:rFonts w:hint="eastAsia" w:ascii="方正书宋_GBK" w:eastAsia="方正书宋_GBK"/>
              </w:rPr>
              <w:t>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、民兵训练和专武干部培训</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根据上级要求，认真制定基干民兵和专武干部培训计划和方案，严格组织人员按质按量完成训练任务。保证装备器材的良好状态，随时执行紧急拉动和应急任务。</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十九、义务教育</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以农村教育为重点，推进义务教育均衡发展，建立中小学校舍安全保障机制，改善薄弱学校办学条件，促进公共教育资源向农村和经济欠发达地区倾斜。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提高义务教育公用经费保障水平，改善办学条件，均衡配置基础教育资源，缩小城乡、区域、校际之间办学差距，落实学生资助政策。</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、改善薄弱学校办学条件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保障义务教育阶段薄弱学校基本教学条件，改善学校生活设施，办好必要的教学点，解决乡镇学校大班额问题，推进农村学校教育信息化</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二十、食品药品安全管理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对食品制作流通各环节进行监管，及时发现和排除食品安全问题，确保大型活动期间的餐饮安全。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、食品（含保健品）安全监管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通过对食品生产、流通、餐饮消费、保健食品的各个环节抽验和强力监管，及时发现和排除食品安全问题</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、重大活动餐饮服务食品安全保障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规范重大活动餐饮服务单位食品安全监管，确保大型政治、经济、文化、体育活动及举办各类大型会议、展览会和赛事等活动期间的餐饮服务食品安全</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强化监管手段，组织开展食品药品科研项目、监督、检查、检测、案件处置、统计分析、信息公开、宣传教育等各项综合业务工作</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二十一、安全生产综合监督管理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承担全乡安全生产综合监督管理责任，依法行使综合监督管理职权；根据《</w:t>
            </w:r>
            <w:r>
              <w:rPr>
                <w:rFonts w:hint="eastAsia" w:ascii="方正书宋_GBK" w:eastAsia="方正书宋_GBK"/>
                <w:lang w:eastAsia="zh-CN"/>
              </w:rPr>
              <w:t>中华人民共和国</w:t>
            </w:r>
            <w:bookmarkStart w:id="3" w:name="_GoBack"/>
            <w:bookmarkEnd w:id="3"/>
            <w:r>
              <w:rPr>
                <w:rFonts w:hint="eastAsia" w:ascii="方正书宋_GBK" w:eastAsia="方正书宋_GBK"/>
              </w:rPr>
              <w:t>安全生产法》、《安全生产违法行为行政处罚办法》等法律法规，依法开展执法检查工作，对发现的安全生产违法行为依法进行行政处罚，遏制重特大事故发生，确保全乡安全生产形势稳定好转。</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对重点行业和作业场所职业卫生安全生产加强行政执法监察；开展重大危险源执法检查工作；开展安全事故检查及安全生产宣传教育活动；促进企业全面落实安全生产诚信管理。</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、加强安全生产综合监督管理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定期组织在乡镇内开展安全生产检查活动，对重点行业和作业场所职业卫生安全生产进行检查；不断加强安全生产监管能力建设；组织开展安全生产教育活动，促进企业全面落实安全生产诚信管理。</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、加强重大危险源安全管理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加强重大危险源的监测、监控、辨识与评估及登记建档、备案与核销等安全管理；开展重大危险源执法检查工作。</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二十二、防灾减灾救灾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组织开展乡镇防灾减灾救灾工作；组织救灾捐赠工作，负责救灾捐赠款物的接收和分配。</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实施分类救助，保障受灾群众基本生活。</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、防灾减灾及救灾准备</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组织乡级防灾减灾及救灾活动；提高专业队伍业务素质。</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、灾民救助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统计、汇总、核查、会商灾情，统一发布灾情；组织协调紧急转移安置灾民；承办救灾款物分配和监管，物资调运，组织民房恢复重建及灾民生活救助，指导紧急救灾和灾后生产恢复。</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二十三、扶持农产品生产</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对生产者采取直接补贴的办法，支持推广优良品种、先进适用种养技术，实施科学管理，提高农产品质量、产量，提高生产经营效益。</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提高农产品产量和质量，优化农业产业结构，提高经济效益，增加农业收入。</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、实施良种补贴</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按照国家、省部署，对全乡主要粮食作物和猪、牛、羊、鸡等畜产品生产实施良种补贴。</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、实施菜篮子工程</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二十四、完善农村经营管理体制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、促进土地流转</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建设土地流转有形市场</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、土地确权登记</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根据国家要求开展农村土地承包经营确权登记试点，并逐步向全乡全面推开。</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、农村经营管理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支持农民专业合作组织规范、健康发展。建立健全农村集体</w:t>
            </w:r>
            <w:r>
              <w:rPr>
                <w:rFonts w:hint="cs" w:ascii="方正书宋_GBK" w:eastAsia="方正书宋_GBK"/>
                <w:cs/>
              </w:rPr>
              <w:t>“</w:t>
            </w:r>
            <w:r>
              <w:rPr>
                <w:rFonts w:hint="eastAsia" w:ascii="方正书宋_GBK" w:eastAsia="方正书宋_GBK"/>
              </w:rPr>
              <w:t>三资</w:t>
            </w:r>
            <w:r>
              <w:rPr>
                <w:rFonts w:hint="cs" w:ascii="方正书宋_GBK" w:eastAsia="方正书宋_GBK"/>
                <w:cs/>
              </w:rPr>
              <w:t>”</w:t>
            </w:r>
            <w:r>
              <w:rPr>
                <w:rFonts w:hint="eastAsia" w:ascii="方正书宋_GBK" w:eastAsia="方正书宋_GBK"/>
              </w:rPr>
              <w:t>管理制度，盘活集体存量资产资源，拓宽集体增收渠道，促进农村集体资产保值增值。</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二十五、林业生态建设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完成国家下达和省委省政府制定的造林任务及全区森林覆盖率考核目标。有效改善生态环境。</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贯彻落实国家、省有关标准和规程，指导公益林和商品林的培育，指导植树和造林绿化工作。承担乡镇绿化的日常工作</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二十六、推进新农村建设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通过实施农村面貌改造提升行动，加快建设社会主义新农村。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、农村面貌改造提升</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w:t>
            </w:r>
            <w:r>
              <w:rPr>
                <w:rFonts w:hint="cs" w:ascii="方正书宋_GBK" w:eastAsia="方正书宋_GBK"/>
                <w:cs/>
              </w:rPr>
              <w:t>“</w:t>
            </w:r>
            <w:r>
              <w:rPr>
                <w:rFonts w:hint="eastAsia" w:ascii="方正书宋_GBK" w:eastAsia="方正书宋_GBK"/>
              </w:rPr>
              <w:t>保持田园风光、增加现代设施、绿化村落庭院、传承优秀文化</w:t>
            </w:r>
            <w:r>
              <w:rPr>
                <w:rFonts w:hint="cs" w:ascii="方正书宋_GBK" w:eastAsia="方正书宋_GBK"/>
                <w:cs/>
              </w:rPr>
              <w:t>”</w:t>
            </w:r>
            <w:r>
              <w:rPr>
                <w:rFonts w:hint="eastAsia" w:ascii="方正书宋_GBK" w:eastAsia="方正书宋_GBK"/>
              </w:rPr>
              <w:t>为重点，组织实施农村面貌改造提升行动。</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、美丽乡村建设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按照市、县统筹城乡发展的要求，以</w:t>
            </w:r>
            <w:r>
              <w:rPr>
                <w:rFonts w:hint="cs" w:ascii="方正书宋_GBK" w:eastAsia="方正书宋_GBK"/>
                <w:cs/>
              </w:rPr>
              <w:t>“</w:t>
            </w:r>
            <w:r>
              <w:rPr>
                <w:rFonts w:hint="eastAsia" w:ascii="方正书宋_GBK" w:eastAsia="方正书宋_GBK"/>
              </w:rPr>
              <w:t>环境美、产业美、精神美、生态美</w:t>
            </w:r>
            <w:r>
              <w:rPr>
                <w:rFonts w:hint="cs" w:ascii="方正书宋_GBK" w:eastAsia="方正书宋_GBK"/>
                <w:cs/>
              </w:rPr>
              <w:t>”</w:t>
            </w:r>
            <w:r>
              <w:rPr>
                <w:rFonts w:hint="eastAsia" w:ascii="方正书宋_GBK" w:eastAsia="方正书宋_GBK"/>
              </w:rPr>
              <w:t>为重点，大力推进美丽乡村建设。</w:t>
            </w: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bookmarkEnd w:id="2"/>
    </w:tbl>
    <w:p>
      <w:pPr>
        <w:jc w:val="center"/>
        <w:outlineLvl w:val="0"/>
        <w:rPr>
          <w:rFonts w:hint="eastAsia" w:ascii="黑体" w:eastAsia="黑体"/>
          <w:sz w:val="24"/>
          <w:szCs w:val="24"/>
        </w:rPr>
      </w:pPr>
    </w:p>
    <w:p>
      <w:pPr>
        <w:jc w:val="center"/>
        <w:outlineLvl w:val="0"/>
        <w:rPr>
          <w:rFonts w:ascii="黑体" w:hAnsi="黑体" w:eastAsia="黑体"/>
          <w:sz w:val="32"/>
          <w:szCs w:val="32"/>
        </w:rPr>
        <w:sectPr>
          <w:pgSz w:w="16839" w:h="11907" w:orient="landscape"/>
          <w:pgMar w:top="1134" w:right="1531" w:bottom="1134" w:left="1474" w:header="851" w:footer="992" w:gutter="0"/>
          <w:cols w:space="720" w:num="1"/>
          <w:docGrid w:linePitch="312" w:charSpace="0"/>
        </w:sectPr>
      </w:pPr>
    </w:p>
    <w:p>
      <w:pPr>
        <w:jc w:val="center"/>
        <w:outlineLvl w:val="0"/>
        <w:rPr>
          <w:rFonts w:hint="eastAsia" w:ascii="黑体" w:hAnsi="宋体" w:eastAsia="黑体"/>
          <w:sz w:val="32"/>
          <w:szCs w:val="32"/>
        </w:rPr>
      </w:pPr>
      <w:r>
        <w:rPr>
          <w:rFonts w:hint="eastAsia" w:ascii="黑体" w:hAnsi="黑体" w:eastAsia="黑体"/>
          <w:sz w:val="32"/>
          <w:szCs w:val="32"/>
        </w:rPr>
        <w:t>第六部分：政府采购预算情况</w:t>
      </w:r>
    </w:p>
    <w:p>
      <w:pPr>
        <w:ind w:firstLine="240" w:firstLineChars="100"/>
        <w:jc w:val="left"/>
        <w:outlineLvl w:val="0"/>
        <w:rPr>
          <w:rFonts w:ascii="黑体" w:hAnsi="仿宋" w:eastAsia="黑体"/>
          <w:sz w:val="24"/>
          <w:szCs w:val="24"/>
        </w:rPr>
      </w:pPr>
    </w:p>
    <w:p>
      <w:pPr>
        <w:ind w:firstLine="240" w:firstLineChars="100"/>
        <w:jc w:val="left"/>
        <w:outlineLvl w:val="0"/>
        <w:rPr>
          <w:rFonts w:ascii="黑体" w:hAnsi="仿宋" w:eastAsia="黑体"/>
          <w:sz w:val="24"/>
          <w:szCs w:val="24"/>
        </w:rPr>
      </w:pPr>
      <w:r>
        <w:rPr>
          <w:rFonts w:hint="eastAsia" w:ascii="黑体" w:hAnsi="仿宋" w:eastAsia="黑体"/>
          <w:sz w:val="24"/>
          <w:szCs w:val="24"/>
        </w:rPr>
        <w:t>201</w:t>
      </w:r>
      <w:r>
        <w:rPr>
          <w:rFonts w:ascii="黑体" w:hAnsi="仿宋" w:eastAsia="黑体"/>
          <w:sz w:val="24"/>
          <w:szCs w:val="24"/>
        </w:rPr>
        <w:t>9</w:t>
      </w:r>
      <w:r>
        <w:rPr>
          <w:rFonts w:hint="eastAsia" w:ascii="黑体" w:hAnsi="仿宋" w:eastAsia="黑体"/>
          <w:sz w:val="24"/>
          <w:szCs w:val="24"/>
        </w:rPr>
        <w:t>年，本部门无政府采购预算，空表列示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ind w:firstLine="240" w:firstLineChars="100"/>
        <w:jc w:val="left"/>
        <w:outlineLvl w:val="0"/>
        <w:rPr>
          <w:rFonts w:hint="eastAsia" w:ascii="黑体" w:hAnsi="仿宋" w:eastAsia="黑体"/>
          <w:sz w:val="24"/>
          <w:szCs w:val="24"/>
        </w:rPr>
      </w:pPr>
    </w:p>
    <w:p>
      <w:pPr>
        <w:ind w:firstLine="360" w:firstLineChars="150"/>
        <w:jc w:val="left"/>
        <w:outlineLvl w:val="0"/>
        <w:rPr>
          <w:rFonts w:hint="eastAsia" w:ascii="黑体" w:hAnsi="仿宋" w:eastAsia="黑体"/>
          <w:sz w:val="24"/>
          <w:szCs w:val="24"/>
        </w:rPr>
      </w:pPr>
    </w:p>
    <w:p>
      <w:pPr>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spacing w:line="520" w:lineRule="exact"/>
        <w:ind w:firstLine="480" w:firstLineChars="200"/>
        <w:rPr>
          <w:rFonts w:hint="eastAsia" w:ascii="黑体" w:hAnsi="仿宋" w:eastAsia="黑体"/>
          <w:sz w:val="24"/>
          <w:szCs w:val="24"/>
        </w:rPr>
      </w:pPr>
      <w:r>
        <w:rPr>
          <w:rFonts w:hint="eastAsia" w:ascii="黑体" w:hAnsi="仿宋" w:eastAsia="黑体"/>
          <w:sz w:val="24"/>
          <w:szCs w:val="24"/>
        </w:rPr>
        <w:t>保定市满城区石井乡人民政府201</w:t>
      </w:r>
      <w:r>
        <w:rPr>
          <w:rFonts w:ascii="黑体" w:hAnsi="仿宋" w:eastAsia="黑体"/>
          <w:sz w:val="24"/>
          <w:szCs w:val="24"/>
        </w:rPr>
        <w:t>8</w:t>
      </w:r>
      <w:r>
        <w:rPr>
          <w:rFonts w:hint="eastAsia" w:ascii="黑体" w:hAnsi="仿宋" w:eastAsia="黑体"/>
          <w:sz w:val="24"/>
          <w:szCs w:val="24"/>
        </w:rPr>
        <w:t>年末固定资产总金额5</w:t>
      </w:r>
      <w:r>
        <w:rPr>
          <w:rFonts w:ascii="黑体" w:hAnsi="仿宋" w:eastAsia="黑体"/>
          <w:sz w:val="24"/>
          <w:szCs w:val="24"/>
        </w:rPr>
        <w:t>05.172668</w:t>
      </w:r>
      <w:r>
        <w:rPr>
          <w:rFonts w:hint="eastAsia" w:ascii="黑体" w:hAnsi="仿宋" w:eastAsia="黑体"/>
          <w:sz w:val="24"/>
          <w:szCs w:val="24"/>
        </w:rPr>
        <w:t>万元（详见下表）。 我部门201</w:t>
      </w:r>
      <w:r>
        <w:rPr>
          <w:rFonts w:ascii="黑体" w:hAnsi="仿宋" w:eastAsia="黑体"/>
          <w:sz w:val="24"/>
          <w:szCs w:val="24"/>
        </w:rPr>
        <w:t>9</w:t>
      </w:r>
      <w:r>
        <w:rPr>
          <w:rFonts w:hint="eastAsia" w:ascii="黑体" w:hAnsi="仿宋" w:eastAsia="黑体"/>
          <w:sz w:val="24"/>
          <w:szCs w:val="24"/>
        </w:rPr>
        <w:t>年无拟购置固定资产情况。</w:t>
      </w:r>
    </w:p>
    <w:tbl>
      <w:tblPr>
        <w:tblStyle w:val="9"/>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noWrap w:val="0"/>
            <w:vAlign w:val="center"/>
          </w:tcPr>
          <w:p>
            <w:pPr>
              <w:widowControl/>
              <w:rPr>
                <w:rFonts w:hint="eastAsia" w:ascii="黑体" w:hAnsi="仿宋" w:eastAsia="黑体"/>
                <w:sz w:val="24"/>
                <w:szCs w:val="24"/>
              </w:rPr>
            </w:pPr>
          </w:p>
          <w:p>
            <w:pPr>
              <w:widowControl/>
              <w:jc w:val="center"/>
              <w:rPr>
                <w:rFonts w:hint="eastAsia" w:ascii="黑体" w:hAnsi="宋体" w:eastAsia="黑体" w:cs="宋体"/>
                <w:color w:val="000000"/>
                <w:kern w:val="0"/>
                <w:sz w:val="24"/>
                <w:szCs w:val="24"/>
              </w:rPr>
            </w:pPr>
            <w:r>
              <w:rPr>
                <w:rFonts w:hint="eastAsia" w:ascii="黑体" w:hAnsi="仿宋" w:eastAsia="黑体"/>
                <w:sz w:val="24"/>
                <w:szCs w:val="24"/>
              </w:rPr>
              <w:t>保定市满城区石井乡人民政府固定资产占用情况表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bCs/>
                <w:color w:val="000000"/>
                <w:kern w:val="0"/>
                <w:sz w:val="24"/>
                <w:szCs w:val="24"/>
              </w:rPr>
              <w:t xml:space="preserve">                           截止时间：201</w:t>
            </w:r>
            <w:r>
              <w:rPr>
                <w:rFonts w:ascii="黑体" w:hAnsi="宋体" w:eastAsia="黑体" w:cs="宋体"/>
                <w:bCs/>
                <w:color w:val="000000"/>
                <w:kern w:val="0"/>
                <w:sz w:val="24"/>
                <w:szCs w:val="24"/>
              </w:rPr>
              <w:t>8</w:t>
            </w:r>
            <w:r>
              <w:rPr>
                <w:rFonts w:hint="eastAsia" w:ascii="黑体" w:hAnsi="宋体" w:eastAsia="黑体" w:cs="宋体"/>
                <w:bCs/>
                <w:color w:val="000000"/>
                <w:kern w:val="0"/>
                <w:sz w:val="24"/>
                <w:szCs w:val="24"/>
              </w:rPr>
              <w:t>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color w:val="000000"/>
                <w:kern w:val="0"/>
                <w:sz w:val="24"/>
                <w:szCs w:val="24"/>
              </w:rPr>
            </w:pPr>
            <w:r>
              <w:rPr>
                <w:rFonts w:hint="eastAsia" w:ascii="黑体" w:hAnsi="宋体" w:eastAsia="黑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b/>
                <w:bCs/>
                <w:color w:val="000000"/>
                <w:kern w:val="0"/>
                <w:sz w:val="24"/>
                <w:szCs w:val="24"/>
              </w:rPr>
            </w:pPr>
            <w:r>
              <w:rPr>
                <w:rFonts w:hint="eastAsia" w:ascii="黑体" w:hAnsi="宋体" w:eastAsia="黑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b/>
                <w:bCs/>
                <w:color w:val="000000"/>
                <w:kern w:val="0"/>
                <w:sz w:val="24"/>
                <w:szCs w:val="24"/>
              </w:rPr>
            </w:pPr>
            <w:r>
              <w:rPr>
                <w:rFonts w:hint="eastAsia" w:ascii="黑体" w:hAnsi="宋体" w:eastAsia="黑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color w:val="000000"/>
                <w:kern w:val="0"/>
                <w:sz w:val="24"/>
                <w:szCs w:val="24"/>
              </w:rPr>
            </w:pPr>
            <w:r>
              <w:rPr>
                <w:rFonts w:hint="eastAsia" w:ascii="黑体" w:hAnsi="宋体" w:eastAsia="黑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b/>
                <w:color w:val="000000"/>
                <w:kern w:val="0"/>
                <w:sz w:val="24"/>
                <w:szCs w:val="24"/>
              </w:rPr>
            </w:pPr>
            <w:r>
              <w:rPr>
                <w:rFonts w:ascii="黑体" w:hAnsi="宋体" w:eastAsia="黑体" w:cs="宋体"/>
                <w:b/>
                <w:color w:val="000000"/>
                <w:kern w:val="0"/>
                <w:sz w:val="24"/>
                <w:szCs w:val="24"/>
              </w:rPr>
              <w:t>505.172668</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3000</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ascii="黑体" w:hAnsi="宋体" w:eastAsia="黑体" w:cs="宋体"/>
                <w:color w:val="000000"/>
                <w:kern w:val="0"/>
                <w:sz w:val="24"/>
                <w:szCs w:val="24"/>
              </w:rPr>
              <w:t>381.08642</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3000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color w:val="000000"/>
                <w:kern w:val="0"/>
                <w:sz w:val="24"/>
                <w:szCs w:val="24"/>
              </w:rPr>
            </w:pPr>
            <w:r>
              <w:rPr>
                <w:rFonts w:ascii="黑体" w:hAnsi="宋体" w:eastAsia="黑体" w:cs="宋体"/>
                <w:color w:val="000000"/>
                <w:kern w:val="0"/>
                <w:sz w:val="24"/>
                <w:szCs w:val="24"/>
              </w:rPr>
              <w:t>381.08642</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ascii="黑体" w:hAnsi="宋体" w:eastAsia="黑体" w:cs="宋体"/>
                <w:color w:val="000000"/>
                <w:kern w:val="0"/>
                <w:sz w:val="24"/>
                <w:szCs w:val="24"/>
              </w:rPr>
              <w:t>28.309548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50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黑体" w:hAnsi="宋体" w:eastAsia="黑体" w:cs="宋体"/>
                <w:color w:val="000000"/>
                <w:kern w:val="0"/>
                <w:sz w:val="24"/>
                <w:szCs w:val="24"/>
              </w:rPr>
            </w:pPr>
            <w:r>
              <w:rPr>
                <w:rFonts w:ascii="黑体" w:hAnsi="宋体" w:eastAsia="黑体" w:cs="宋体"/>
                <w:color w:val="000000"/>
                <w:kern w:val="0"/>
                <w:sz w:val="24"/>
                <w:szCs w:val="24"/>
              </w:rPr>
              <w:t>45.7767</w:t>
            </w:r>
          </w:p>
        </w:tc>
      </w:tr>
    </w:tbl>
    <w:p>
      <w:pPr>
        <w:spacing w:line="520" w:lineRule="exact"/>
        <w:ind w:firstLine="480" w:firstLineChars="200"/>
        <w:jc w:val="center"/>
        <w:rPr>
          <w:rFonts w:ascii="黑体" w:hAnsi="黑体" w:eastAsia="黑体"/>
          <w:sz w:val="24"/>
          <w:szCs w:val="24"/>
        </w:rPr>
      </w:pPr>
    </w:p>
    <w:p>
      <w:pPr>
        <w:spacing w:line="520" w:lineRule="exact"/>
        <w:ind w:firstLine="480" w:firstLineChars="200"/>
        <w:jc w:val="center"/>
        <w:rPr>
          <w:rFonts w:hint="eastAsia" w:ascii="黑体" w:hAnsi="黑体" w:eastAsia="黑体"/>
          <w:sz w:val="24"/>
          <w:szCs w:val="24"/>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黑体" w:hAnsi="仿宋" w:eastAsia="黑体"/>
          <w:b/>
          <w:sz w:val="24"/>
          <w:szCs w:val="24"/>
        </w:rPr>
      </w:pPr>
    </w:p>
    <w:p>
      <w:pPr>
        <w:spacing w:line="500" w:lineRule="exact"/>
        <w:ind w:firstLine="482" w:firstLineChars="200"/>
        <w:jc w:val="left"/>
        <w:outlineLvl w:val="0"/>
        <w:rPr>
          <w:rFonts w:hint="eastAsia" w:ascii="黑体" w:hAnsi="仿宋" w:eastAsia="黑体"/>
          <w:sz w:val="24"/>
          <w:szCs w:val="24"/>
        </w:rPr>
      </w:pPr>
      <w:r>
        <w:rPr>
          <w:rFonts w:hint="eastAsia" w:ascii="黑体" w:hAnsi="仿宋" w:eastAsia="黑体"/>
          <w:b/>
          <w:sz w:val="24"/>
          <w:szCs w:val="24"/>
        </w:rPr>
        <w:t>1、财政拨款收入：</w:t>
      </w:r>
      <w:r>
        <w:rPr>
          <w:rFonts w:hint="eastAsia" w:ascii="黑体" w:hAnsi="仿宋" w:eastAsia="黑体"/>
          <w:sz w:val="24"/>
          <w:szCs w:val="24"/>
        </w:rPr>
        <w:t>指区 级财政当年拨付的资金。</w:t>
      </w:r>
    </w:p>
    <w:p>
      <w:pPr>
        <w:spacing w:line="500" w:lineRule="exact"/>
        <w:ind w:firstLine="482" w:firstLineChars="200"/>
        <w:jc w:val="left"/>
        <w:outlineLvl w:val="0"/>
        <w:rPr>
          <w:rFonts w:hint="eastAsia" w:ascii="黑体" w:hAnsi="仿宋" w:eastAsia="黑体"/>
          <w:sz w:val="24"/>
          <w:szCs w:val="24"/>
        </w:rPr>
      </w:pPr>
      <w:r>
        <w:rPr>
          <w:rFonts w:hint="eastAsia" w:ascii="黑体" w:hAnsi="仿宋" w:eastAsia="黑体"/>
          <w:b/>
          <w:sz w:val="24"/>
          <w:szCs w:val="24"/>
        </w:rPr>
        <w:t>2、基本支出：</w:t>
      </w:r>
      <w:r>
        <w:rPr>
          <w:rFonts w:hint="eastAsia" w:ascii="黑体" w:hAnsi="仿宋" w:eastAsia="黑体"/>
          <w:sz w:val="24"/>
          <w:szCs w:val="24"/>
        </w:rPr>
        <w:t>指为保障机构正常运转、完成日常工作任务而发生的人员支出和公用支出。</w:t>
      </w:r>
    </w:p>
    <w:p>
      <w:pPr>
        <w:spacing w:line="500" w:lineRule="exact"/>
        <w:ind w:firstLine="482" w:firstLineChars="200"/>
        <w:jc w:val="left"/>
        <w:outlineLvl w:val="0"/>
        <w:rPr>
          <w:rFonts w:hint="eastAsia" w:ascii="黑体" w:hAnsi="仿宋" w:eastAsia="黑体"/>
          <w:sz w:val="24"/>
          <w:szCs w:val="24"/>
        </w:rPr>
      </w:pPr>
      <w:r>
        <w:rPr>
          <w:rFonts w:hint="eastAsia" w:ascii="黑体" w:hAnsi="仿宋" w:eastAsia="黑体"/>
          <w:b/>
          <w:sz w:val="24"/>
          <w:szCs w:val="24"/>
        </w:rPr>
        <w:t>3、项目支出：</w:t>
      </w:r>
      <w:r>
        <w:rPr>
          <w:rFonts w:hint="eastAsia" w:ascii="黑体" w:hAnsi="仿宋" w:eastAsia="黑体"/>
          <w:sz w:val="24"/>
          <w:szCs w:val="24"/>
        </w:rPr>
        <w:t>指在基本支出之外为完成特定行政任务和事业发展目标所发生的支出。</w:t>
      </w:r>
    </w:p>
    <w:p>
      <w:pPr>
        <w:spacing w:line="500" w:lineRule="exact"/>
        <w:ind w:firstLine="482" w:firstLineChars="200"/>
        <w:jc w:val="left"/>
        <w:outlineLvl w:val="0"/>
        <w:rPr>
          <w:rFonts w:hint="eastAsia" w:ascii="黑体" w:hAnsi="仿宋" w:eastAsia="黑体"/>
          <w:sz w:val="24"/>
          <w:szCs w:val="24"/>
        </w:rPr>
      </w:pPr>
      <w:r>
        <w:rPr>
          <w:rFonts w:hint="eastAsia" w:ascii="黑体" w:hAnsi="仿宋" w:eastAsia="黑体"/>
          <w:b/>
          <w:sz w:val="24"/>
          <w:szCs w:val="24"/>
        </w:rPr>
        <w:t>4、“三公”经费：</w:t>
      </w:r>
      <w:r>
        <w:rPr>
          <w:rFonts w:hint="eastAsia" w:ascii="黑体" w:hAnsi="仿宋" w:eastAsia="黑体"/>
          <w:sz w:val="24"/>
          <w:szCs w:val="24"/>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02" w:firstLineChars="250"/>
        <w:rPr>
          <w:rFonts w:hint="eastAsia" w:ascii="黑体" w:hAnsi="仿宋" w:eastAsia="黑体"/>
          <w:sz w:val="24"/>
          <w:szCs w:val="24"/>
        </w:rPr>
      </w:pPr>
      <w:r>
        <w:rPr>
          <w:rFonts w:hint="eastAsia" w:ascii="黑体" w:hAnsi="仿宋" w:eastAsia="黑体"/>
          <w:b/>
          <w:sz w:val="24"/>
          <w:szCs w:val="24"/>
        </w:rPr>
        <w:t>5、公务费：</w:t>
      </w:r>
      <w:r>
        <w:rPr>
          <w:rFonts w:hint="eastAsia" w:ascii="黑体" w:hAnsi="仿宋" w:eastAsia="黑体"/>
          <w:sz w:val="24"/>
          <w:szCs w:val="24"/>
        </w:rPr>
        <w:t>包括办公费、水电费、邮电费、取暖费、交通费、一般会议费和物业管理费之和。</w:t>
      </w:r>
    </w:p>
    <w:p>
      <w:pPr>
        <w:spacing w:line="500" w:lineRule="exact"/>
        <w:ind w:firstLine="470" w:firstLineChars="196"/>
        <w:jc w:val="center"/>
        <w:outlineLvl w:val="0"/>
        <w:rPr>
          <w:rFonts w:hint="eastAsia" w:ascii="黑体" w:hAnsi="黑体" w:eastAsia="黑体"/>
          <w:sz w:val="24"/>
          <w:szCs w:val="24"/>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948" w:firstLineChars="395"/>
        <w:jc w:val="left"/>
        <w:outlineLvl w:val="0"/>
        <w:rPr>
          <w:rFonts w:hint="eastAsia" w:ascii="黑体" w:hAnsi="仿宋" w:eastAsia="黑体"/>
          <w:sz w:val="24"/>
          <w:szCs w:val="24"/>
        </w:rPr>
      </w:pPr>
    </w:p>
    <w:p>
      <w:pPr>
        <w:spacing w:line="500" w:lineRule="exact"/>
        <w:ind w:firstLine="480" w:firstLineChars="200"/>
        <w:jc w:val="left"/>
        <w:outlineLvl w:val="0"/>
        <w:rPr>
          <w:rFonts w:hint="eastAsia" w:ascii="黑体" w:hAnsi="黑体" w:eastAsia="黑体"/>
          <w:sz w:val="24"/>
          <w:szCs w:val="24"/>
        </w:rPr>
      </w:pPr>
      <w:r>
        <w:rPr>
          <w:rFonts w:hint="eastAsia" w:ascii="黑体" w:hAnsi="仿宋" w:eastAsia="黑体"/>
          <w:sz w:val="24"/>
          <w:szCs w:val="24"/>
        </w:rPr>
        <w:t>无其他需说明的事项。</w:t>
      </w:r>
    </w:p>
    <w:p>
      <w:pPr>
        <w:ind w:firstLine="600" w:firstLineChars="250"/>
        <w:rPr>
          <w:rFonts w:hint="eastAsia" w:ascii="黑体" w:hAnsi="仿宋" w:eastAsia="黑体"/>
          <w:sz w:val="24"/>
          <w:szCs w:val="24"/>
        </w:rPr>
      </w:pPr>
    </w:p>
    <w:p>
      <w:pPr>
        <w:rPr>
          <w:rFonts w:hint="eastAsia" w:ascii="黑体" w:hAnsi="仿宋" w:eastAsia="黑体"/>
          <w:sz w:val="24"/>
          <w:szCs w:val="24"/>
        </w:rPr>
      </w:pPr>
      <w:r>
        <w:rPr>
          <w:rFonts w:hint="eastAsia" w:ascii="黑体" w:hAnsi="仿宋" w:eastAsia="黑体"/>
          <w:sz w:val="24"/>
          <w:szCs w:val="24"/>
        </w:rPr>
        <w:t xml:space="preserve">                                     </w:t>
      </w:r>
    </w:p>
    <w:p>
      <w:pPr>
        <w:rPr>
          <w:rFonts w:hint="eastAsia" w:ascii="黑体" w:hAnsi="黑体" w:eastAsia="黑体"/>
          <w:b/>
          <w:sz w:val="24"/>
          <w:szCs w:val="24"/>
        </w:rPr>
      </w:pP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86"/>
    <w:family w:val="script"/>
    <w:pitch w:val="default"/>
    <w:sig w:usb0="00000001" w:usb1="080E0000" w:usb2="00000010" w:usb3="00000000" w:csb0="00040000" w:csb1="00000000"/>
  </w:font>
  <w:font w:name="方正小标宋_GBK">
    <w:altName w:val="宋体"/>
    <w:panose1 w:val="00000000000000000000"/>
    <w:charset w:val="86"/>
    <w:family w:val="roman"/>
    <w:pitch w:val="default"/>
    <w:sig w:usb0="00000001" w:usb1="080E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ind w:firstLine="440"/>
        <w:rPr>
          <w:rFonts w:hint="eastAsia"/>
        </w:rPr>
      </w:pPr>
      <w:r>
        <w:rPr>
          <w:rStyle w:val="12"/>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zk4ODZkNTMwYTFhZWU4YmE1NDRlZjQ0ODA4NjMifQ=="/>
  </w:docVars>
  <w:rsids>
    <w:rsidRoot w:val="00CB60A0"/>
    <w:rsid w:val="00000211"/>
    <w:rsid w:val="00011A8A"/>
    <w:rsid w:val="00012B0F"/>
    <w:rsid w:val="00027501"/>
    <w:rsid w:val="00041562"/>
    <w:rsid w:val="0004319F"/>
    <w:rsid w:val="00055D38"/>
    <w:rsid w:val="00060E04"/>
    <w:rsid w:val="0007278A"/>
    <w:rsid w:val="000A01E2"/>
    <w:rsid w:val="000B1C25"/>
    <w:rsid w:val="000B34B9"/>
    <w:rsid w:val="000C161A"/>
    <w:rsid w:val="000C1F05"/>
    <w:rsid w:val="000D7B39"/>
    <w:rsid w:val="000E0ED8"/>
    <w:rsid w:val="000E5258"/>
    <w:rsid w:val="000E70BD"/>
    <w:rsid w:val="000F2552"/>
    <w:rsid w:val="000F517B"/>
    <w:rsid w:val="00101A80"/>
    <w:rsid w:val="00103B47"/>
    <w:rsid w:val="00107751"/>
    <w:rsid w:val="00107BFB"/>
    <w:rsid w:val="00115443"/>
    <w:rsid w:val="001157C4"/>
    <w:rsid w:val="00126654"/>
    <w:rsid w:val="0013407A"/>
    <w:rsid w:val="00153E57"/>
    <w:rsid w:val="0015667A"/>
    <w:rsid w:val="001604BE"/>
    <w:rsid w:val="00161A7A"/>
    <w:rsid w:val="00165822"/>
    <w:rsid w:val="001859C6"/>
    <w:rsid w:val="00186033"/>
    <w:rsid w:val="00197010"/>
    <w:rsid w:val="001B23DF"/>
    <w:rsid w:val="001C2686"/>
    <w:rsid w:val="001D3ECF"/>
    <w:rsid w:val="001E42EC"/>
    <w:rsid w:val="001F004F"/>
    <w:rsid w:val="002042DF"/>
    <w:rsid w:val="002064A6"/>
    <w:rsid w:val="00245F9B"/>
    <w:rsid w:val="0026376F"/>
    <w:rsid w:val="00277861"/>
    <w:rsid w:val="00280335"/>
    <w:rsid w:val="00280E47"/>
    <w:rsid w:val="0029157F"/>
    <w:rsid w:val="002B5880"/>
    <w:rsid w:val="002C6748"/>
    <w:rsid w:val="002D4820"/>
    <w:rsid w:val="002D4851"/>
    <w:rsid w:val="002E7948"/>
    <w:rsid w:val="00326CE0"/>
    <w:rsid w:val="00332EED"/>
    <w:rsid w:val="00340D57"/>
    <w:rsid w:val="0034678A"/>
    <w:rsid w:val="00364B26"/>
    <w:rsid w:val="00367481"/>
    <w:rsid w:val="0037153C"/>
    <w:rsid w:val="0037794C"/>
    <w:rsid w:val="0038080D"/>
    <w:rsid w:val="003816EE"/>
    <w:rsid w:val="003923FF"/>
    <w:rsid w:val="003A4D73"/>
    <w:rsid w:val="003B1792"/>
    <w:rsid w:val="003C642B"/>
    <w:rsid w:val="003D524A"/>
    <w:rsid w:val="003F6C09"/>
    <w:rsid w:val="004066B9"/>
    <w:rsid w:val="004152E7"/>
    <w:rsid w:val="0041797A"/>
    <w:rsid w:val="004226CB"/>
    <w:rsid w:val="00432126"/>
    <w:rsid w:val="00450606"/>
    <w:rsid w:val="00453B31"/>
    <w:rsid w:val="00462BFF"/>
    <w:rsid w:val="00474A00"/>
    <w:rsid w:val="00475055"/>
    <w:rsid w:val="004755DD"/>
    <w:rsid w:val="00485D64"/>
    <w:rsid w:val="0049258C"/>
    <w:rsid w:val="00493109"/>
    <w:rsid w:val="004B65CB"/>
    <w:rsid w:val="004D0FA7"/>
    <w:rsid w:val="004D7BFB"/>
    <w:rsid w:val="004D7FBB"/>
    <w:rsid w:val="004E5C35"/>
    <w:rsid w:val="004F0372"/>
    <w:rsid w:val="004F7499"/>
    <w:rsid w:val="00506EF7"/>
    <w:rsid w:val="005078A5"/>
    <w:rsid w:val="00515345"/>
    <w:rsid w:val="005217EF"/>
    <w:rsid w:val="005244FE"/>
    <w:rsid w:val="00525ECE"/>
    <w:rsid w:val="00546E02"/>
    <w:rsid w:val="005477A5"/>
    <w:rsid w:val="005620BB"/>
    <w:rsid w:val="00570168"/>
    <w:rsid w:val="005703C7"/>
    <w:rsid w:val="005821CD"/>
    <w:rsid w:val="00583A3F"/>
    <w:rsid w:val="005875EB"/>
    <w:rsid w:val="0059176B"/>
    <w:rsid w:val="00594ED3"/>
    <w:rsid w:val="005A3988"/>
    <w:rsid w:val="005B36CF"/>
    <w:rsid w:val="005C321B"/>
    <w:rsid w:val="005C668C"/>
    <w:rsid w:val="00613898"/>
    <w:rsid w:val="00620BF9"/>
    <w:rsid w:val="006238F8"/>
    <w:rsid w:val="006267D4"/>
    <w:rsid w:val="0063487B"/>
    <w:rsid w:val="006366FA"/>
    <w:rsid w:val="0063740A"/>
    <w:rsid w:val="00664D70"/>
    <w:rsid w:val="006835FA"/>
    <w:rsid w:val="006C3105"/>
    <w:rsid w:val="006D20BD"/>
    <w:rsid w:val="006D6061"/>
    <w:rsid w:val="006F411E"/>
    <w:rsid w:val="00700AF5"/>
    <w:rsid w:val="007304E6"/>
    <w:rsid w:val="00733A6D"/>
    <w:rsid w:val="00733E67"/>
    <w:rsid w:val="007416A8"/>
    <w:rsid w:val="00742AF8"/>
    <w:rsid w:val="00747EA9"/>
    <w:rsid w:val="00761AA7"/>
    <w:rsid w:val="00761B0E"/>
    <w:rsid w:val="007A4376"/>
    <w:rsid w:val="007B0706"/>
    <w:rsid w:val="007C3325"/>
    <w:rsid w:val="007D0633"/>
    <w:rsid w:val="007D06DD"/>
    <w:rsid w:val="007E09DA"/>
    <w:rsid w:val="007E0EEC"/>
    <w:rsid w:val="007E3316"/>
    <w:rsid w:val="007E3323"/>
    <w:rsid w:val="007F50D2"/>
    <w:rsid w:val="00816DC4"/>
    <w:rsid w:val="00837790"/>
    <w:rsid w:val="008472F5"/>
    <w:rsid w:val="00855707"/>
    <w:rsid w:val="00877B58"/>
    <w:rsid w:val="00881D86"/>
    <w:rsid w:val="00883EA2"/>
    <w:rsid w:val="008875A9"/>
    <w:rsid w:val="008B3C8D"/>
    <w:rsid w:val="008D5125"/>
    <w:rsid w:val="008D7C32"/>
    <w:rsid w:val="008E42D3"/>
    <w:rsid w:val="008E5BEC"/>
    <w:rsid w:val="008F54EE"/>
    <w:rsid w:val="009000D8"/>
    <w:rsid w:val="00911344"/>
    <w:rsid w:val="0093004D"/>
    <w:rsid w:val="00936ED9"/>
    <w:rsid w:val="009454AA"/>
    <w:rsid w:val="00952279"/>
    <w:rsid w:val="009546B2"/>
    <w:rsid w:val="00966566"/>
    <w:rsid w:val="00975856"/>
    <w:rsid w:val="00977DA6"/>
    <w:rsid w:val="0098187A"/>
    <w:rsid w:val="00986A49"/>
    <w:rsid w:val="009910E0"/>
    <w:rsid w:val="009A2658"/>
    <w:rsid w:val="009A2781"/>
    <w:rsid w:val="009A61C0"/>
    <w:rsid w:val="009B38ED"/>
    <w:rsid w:val="009C0521"/>
    <w:rsid w:val="009C699D"/>
    <w:rsid w:val="009D545F"/>
    <w:rsid w:val="009D6ACA"/>
    <w:rsid w:val="009E16AC"/>
    <w:rsid w:val="009E5FAA"/>
    <w:rsid w:val="009F0CB7"/>
    <w:rsid w:val="009F179E"/>
    <w:rsid w:val="009F2532"/>
    <w:rsid w:val="009F4E7B"/>
    <w:rsid w:val="009F50BB"/>
    <w:rsid w:val="00A03B9F"/>
    <w:rsid w:val="00A06E3B"/>
    <w:rsid w:val="00A56FE6"/>
    <w:rsid w:val="00A66421"/>
    <w:rsid w:val="00A66840"/>
    <w:rsid w:val="00A7420E"/>
    <w:rsid w:val="00A81EEB"/>
    <w:rsid w:val="00A9383D"/>
    <w:rsid w:val="00A94AC4"/>
    <w:rsid w:val="00A9757D"/>
    <w:rsid w:val="00AC0ECD"/>
    <w:rsid w:val="00AD2902"/>
    <w:rsid w:val="00B16276"/>
    <w:rsid w:val="00B320A0"/>
    <w:rsid w:val="00B37AC5"/>
    <w:rsid w:val="00B44AFA"/>
    <w:rsid w:val="00B45B2D"/>
    <w:rsid w:val="00B46537"/>
    <w:rsid w:val="00B7328C"/>
    <w:rsid w:val="00B745D4"/>
    <w:rsid w:val="00B74648"/>
    <w:rsid w:val="00B84A64"/>
    <w:rsid w:val="00B8632B"/>
    <w:rsid w:val="00BA079F"/>
    <w:rsid w:val="00BA4AE4"/>
    <w:rsid w:val="00BD48FA"/>
    <w:rsid w:val="00BD641C"/>
    <w:rsid w:val="00BD77F4"/>
    <w:rsid w:val="00BD7FD3"/>
    <w:rsid w:val="00BF2E53"/>
    <w:rsid w:val="00BF5162"/>
    <w:rsid w:val="00BF61B8"/>
    <w:rsid w:val="00C02023"/>
    <w:rsid w:val="00C17DE3"/>
    <w:rsid w:val="00C3689C"/>
    <w:rsid w:val="00C43053"/>
    <w:rsid w:val="00C46F7D"/>
    <w:rsid w:val="00C51C06"/>
    <w:rsid w:val="00C67481"/>
    <w:rsid w:val="00C803F0"/>
    <w:rsid w:val="00C86F43"/>
    <w:rsid w:val="00CA347C"/>
    <w:rsid w:val="00CA742F"/>
    <w:rsid w:val="00CB60A0"/>
    <w:rsid w:val="00CC6EAD"/>
    <w:rsid w:val="00CE1D8A"/>
    <w:rsid w:val="00CF12F5"/>
    <w:rsid w:val="00CF1C55"/>
    <w:rsid w:val="00D048A8"/>
    <w:rsid w:val="00D155C8"/>
    <w:rsid w:val="00D31C2C"/>
    <w:rsid w:val="00D364CE"/>
    <w:rsid w:val="00D36A55"/>
    <w:rsid w:val="00D41703"/>
    <w:rsid w:val="00D500CD"/>
    <w:rsid w:val="00D520E9"/>
    <w:rsid w:val="00D55C67"/>
    <w:rsid w:val="00D64A8A"/>
    <w:rsid w:val="00D662D1"/>
    <w:rsid w:val="00D82A1A"/>
    <w:rsid w:val="00D92117"/>
    <w:rsid w:val="00DC36BC"/>
    <w:rsid w:val="00DD36BA"/>
    <w:rsid w:val="00DF08F9"/>
    <w:rsid w:val="00E143C3"/>
    <w:rsid w:val="00E214DE"/>
    <w:rsid w:val="00E263CE"/>
    <w:rsid w:val="00E54661"/>
    <w:rsid w:val="00E5699D"/>
    <w:rsid w:val="00E56CA4"/>
    <w:rsid w:val="00E6451C"/>
    <w:rsid w:val="00EB256A"/>
    <w:rsid w:val="00EB4F74"/>
    <w:rsid w:val="00ED1FE2"/>
    <w:rsid w:val="00ED2511"/>
    <w:rsid w:val="00ED3A41"/>
    <w:rsid w:val="00ED78F4"/>
    <w:rsid w:val="00F0083B"/>
    <w:rsid w:val="00F02138"/>
    <w:rsid w:val="00F05FC0"/>
    <w:rsid w:val="00F2740B"/>
    <w:rsid w:val="00F41157"/>
    <w:rsid w:val="00F529D8"/>
    <w:rsid w:val="00F621EA"/>
    <w:rsid w:val="00F65F33"/>
    <w:rsid w:val="00F66C9F"/>
    <w:rsid w:val="00F74519"/>
    <w:rsid w:val="00F841A4"/>
    <w:rsid w:val="00F92312"/>
    <w:rsid w:val="00FD5DD2"/>
    <w:rsid w:val="00FE0BC9"/>
    <w:rsid w:val="00FE6C6A"/>
    <w:rsid w:val="026631F1"/>
    <w:rsid w:val="2F7B0A67"/>
    <w:rsid w:val="5F6E3B42"/>
    <w:rsid w:val="68356C4F"/>
    <w:rsid w:val="7DCD39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Indent"/>
    <w:basedOn w:val="1"/>
    <w:link w:val="13"/>
    <w:uiPriority w:val="0"/>
    <w:pPr>
      <w:spacing w:line="420" w:lineRule="exact"/>
      <w:ind w:firstLine="630"/>
    </w:pPr>
    <w:rPr>
      <w:rFonts w:ascii="Times New Roman" w:hAnsi="Times New Roman" w:eastAsia="仿宋_GB2312"/>
      <w:sz w:val="32"/>
      <w:szCs w:val="24"/>
    </w:rPr>
  </w:style>
  <w:style w:type="paragraph" w:styleId="3">
    <w:name w:val="Balloon Text"/>
    <w:basedOn w:val="1"/>
    <w:link w:val="14"/>
    <w:unhideWhenUsed/>
    <w:uiPriority w:val="99"/>
    <w:rPr>
      <w:sz w:val="18"/>
      <w:szCs w:val="18"/>
    </w:rPr>
  </w:style>
  <w:style w:type="paragraph" w:styleId="4">
    <w:name w:val="footer"/>
    <w:basedOn w:val="1"/>
    <w:link w:val="15"/>
    <w:unhideWhenUsed/>
    <w:uiPriority w:val="0"/>
    <w:pPr>
      <w:tabs>
        <w:tab w:val="center" w:pos="4153"/>
        <w:tab w:val="right" w:pos="8306"/>
      </w:tabs>
      <w:snapToGrid w:val="0"/>
      <w:jc w:val="left"/>
    </w:pPr>
    <w:rPr>
      <w:kern w:val="0"/>
      <w:sz w:val="18"/>
      <w:szCs w:val="18"/>
    </w:rPr>
  </w:style>
  <w:style w:type="paragraph" w:styleId="5">
    <w:name w:val="header"/>
    <w:basedOn w:val="1"/>
    <w:link w:val="16"/>
    <w:unhideWhenUsed/>
    <w:uiPriority w:val="0"/>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uiPriority w:val="0"/>
  </w:style>
  <w:style w:type="paragraph" w:styleId="7">
    <w:name w:val="footnote text"/>
    <w:basedOn w:val="1"/>
    <w:link w:val="17"/>
    <w:semiHidden/>
    <w:uiPriority w:val="0"/>
    <w:pPr>
      <w:snapToGrid w:val="0"/>
      <w:jc w:val="left"/>
    </w:pPr>
    <w:rPr>
      <w:rFonts w:ascii="Times New Roman" w:hAnsi="Times New Roman"/>
      <w:sz w:val="18"/>
      <w:szCs w:val="18"/>
    </w:rPr>
  </w:style>
  <w:style w:type="paragraph" w:styleId="8">
    <w:name w:val="toc 2"/>
    <w:basedOn w:val="1"/>
    <w:next w:val="1"/>
    <w:unhideWhenUsed/>
    <w:uiPriority w:val="0"/>
    <w:pPr>
      <w:ind w:left="420" w:leftChars="200"/>
    </w:pPr>
  </w:style>
  <w:style w:type="character" w:styleId="11">
    <w:name w:val="Hyperlink"/>
    <w:uiPriority w:val="0"/>
    <w:rPr>
      <w:color w:val="0000FF"/>
      <w:u w:val="single"/>
    </w:rPr>
  </w:style>
  <w:style w:type="character" w:styleId="12">
    <w:name w:val="footnote reference"/>
    <w:semiHidden/>
    <w:uiPriority w:val="0"/>
    <w:rPr>
      <w:vertAlign w:val="superscript"/>
    </w:rPr>
  </w:style>
  <w:style w:type="character" w:customStyle="1" w:styleId="13">
    <w:name w:val="正文文本缩进 字符"/>
    <w:link w:val="2"/>
    <w:uiPriority w:val="0"/>
    <w:rPr>
      <w:rFonts w:ascii="Times New Roman" w:hAnsi="Times New Roman" w:eastAsia="仿宋_GB2312"/>
      <w:kern w:val="2"/>
      <w:sz w:val="32"/>
      <w:szCs w:val="24"/>
    </w:rPr>
  </w:style>
  <w:style w:type="character" w:customStyle="1" w:styleId="14">
    <w:name w:val="批注框文本 字符"/>
    <w:link w:val="3"/>
    <w:semiHidden/>
    <w:uiPriority w:val="99"/>
    <w:rPr>
      <w:kern w:val="2"/>
      <w:sz w:val="18"/>
      <w:szCs w:val="18"/>
    </w:rPr>
  </w:style>
  <w:style w:type="character" w:customStyle="1" w:styleId="15">
    <w:name w:val="页脚 字符"/>
    <w:link w:val="4"/>
    <w:uiPriority w:val="99"/>
    <w:rPr>
      <w:sz w:val="18"/>
      <w:szCs w:val="18"/>
    </w:rPr>
  </w:style>
  <w:style w:type="character" w:customStyle="1" w:styleId="16">
    <w:name w:val="页眉 字符"/>
    <w:link w:val="5"/>
    <w:uiPriority w:val="99"/>
    <w:rPr>
      <w:sz w:val="18"/>
      <w:szCs w:val="18"/>
    </w:rPr>
  </w:style>
  <w:style w:type="character" w:customStyle="1" w:styleId="17">
    <w:name w:val="脚注文本 字符"/>
    <w:link w:val="7"/>
    <w:semiHidden/>
    <w:uiPriority w:val="0"/>
    <w:rPr>
      <w:rFonts w:ascii="Times New Roman" w:hAnsi="Times New Roman"/>
      <w:kern w:val="2"/>
      <w:sz w:val="18"/>
      <w:szCs w:val="18"/>
    </w:rPr>
  </w:style>
  <w:style w:type="paragraph" w:customStyle="1" w:styleId="18">
    <w:name w:val="列出段落"/>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9">
    <w:name w:val="[Normal]"/>
    <w:uiPriority w:val="99"/>
    <w:pPr>
      <w:widowControl w:val="0"/>
      <w:autoSpaceDE w:val="0"/>
      <w:autoSpaceDN w:val="0"/>
      <w:adjustRightInd w:val="0"/>
    </w:pPr>
    <w:rPr>
      <w:rFonts w:ascii="宋体" w:hAnsi="Times New Roman"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1641</Words>
  <Characters>9354</Characters>
  <Lines>77</Lines>
  <Paragraphs>21</Paragraphs>
  <TotalTime>0</TotalTime>
  <ScaleCrop>false</ScaleCrop>
  <LinksUpToDate>false</LinksUpToDate>
  <CharactersWithSpaces>10974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2021-05-29T01:08:00Z</dcterms:created>
  <dc:creator>suix</dc:creator>
  <cp:lastModifiedBy>Administrator</cp:lastModifiedBy>
  <cp:lastPrinted>2017-06-21T08:26:00Z</cp:lastPrinted>
  <dcterms:modified xsi:type="dcterms:W3CDTF">2024-01-04T07:56:04Z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F6ECA88092824CACA3C11D2B5071604F</vt:lpwstr>
  </property>
</Properties>
</file>