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val="0"/>
          <w:bCs/>
          <w:kern w:val="1"/>
          <w:sz w:val="36"/>
          <w:szCs w:val="36"/>
        </w:rPr>
      </w:pPr>
      <w:bookmarkStart w:id="36" w:name="_GoBack"/>
      <w:r>
        <w:rPr>
          <w:rFonts w:hint="eastAsia" w:ascii="宋体" w:hAnsi="宋体" w:cs="宋体"/>
          <w:b w:val="0"/>
          <w:bCs/>
          <w:kern w:val="1"/>
          <w:sz w:val="36"/>
          <w:szCs w:val="36"/>
        </w:rPr>
        <w:t>保定市</w:t>
      </w:r>
      <w:r>
        <w:rPr>
          <w:rFonts w:ascii="宋体" w:hAnsi="宋体" w:cs="宋体"/>
          <w:b w:val="0"/>
          <w:bCs/>
          <w:kern w:val="1"/>
          <w:sz w:val="36"/>
          <w:szCs w:val="36"/>
        </w:rPr>
        <w:t>自然资源和规划局满城区分局</w:t>
      </w:r>
    </w:p>
    <w:p>
      <w:pPr>
        <w:jc w:val="center"/>
        <w:rPr>
          <w:rFonts w:ascii="宋体" w:hAnsi="宋体" w:cs="宋体"/>
          <w:b w:val="0"/>
          <w:bCs/>
          <w:kern w:val="1"/>
          <w:sz w:val="36"/>
          <w:szCs w:val="36"/>
        </w:rPr>
      </w:pPr>
      <w:r>
        <w:rPr>
          <w:rFonts w:ascii="宋体" w:hAnsi="宋体" w:cs="宋体"/>
          <w:b w:val="0"/>
          <w:bCs/>
          <w:kern w:val="1"/>
          <w:sz w:val="36"/>
          <w:szCs w:val="36"/>
        </w:rPr>
        <w:t>20</w:t>
      </w:r>
      <w:r>
        <w:rPr>
          <w:rFonts w:hint="eastAsia" w:ascii="宋体" w:hAnsi="宋体" w:cs="宋体"/>
          <w:b w:val="0"/>
          <w:bCs/>
          <w:kern w:val="1"/>
          <w:sz w:val="36"/>
          <w:szCs w:val="36"/>
        </w:rPr>
        <w:t>21</w:t>
      </w:r>
      <w:r>
        <w:rPr>
          <w:rFonts w:ascii="宋体" w:hAnsi="宋体" w:cs="宋体"/>
          <w:b w:val="0"/>
          <w:bCs/>
          <w:kern w:val="1"/>
          <w:sz w:val="36"/>
          <w:szCs w:val="36"/>
        </w:rPr>
        <w:t>年部门预算信息公开</w:t>
      </w:r>
      <w:bookmarkEnd w:id="36"/>
    </w:p>
    <w:p>
      <w:pPr>
        <w:spacing w:line="520" w:lineRule="exact"/>
        <w:ind w:firstLine="640"/>
        <w:jc w:val="left"/>
        <w:rPr>
          <w:rFonts w:ascii="宋体" w:hAnsi="宋体" w:cs="Times New Roman"/>
          <w:b w:val="0"/>
          <w:bCs/>
          <w:kern w:val="1"/>
          <w:sz w:val="32"/>
          <w:szCs w:val="32"/>
        </w:rPr>
      </w:pPr>
    </w:p>
    <w:p>
      <w:pPr>
        <w:spacing w:line="640" w:lineRule="exact"/>
        <w:ind w:firstLine="640"/>
        <w:jc w:val="left"/>
        <w:rPr>
          <w:rFonts w:ascii="宋体" w:hAnsi="宋体" w:cs="仿宋_GB2312"/>
          <w:b w:val="0"/>
          <w:bCs/>
          <w:kern w:val="1"/>
          <w:sz w:val="28"/>
          <w:szCs w:val="28"/>
        </w:rPr>
      </w:pPr>
      <w:r>
        <w:rPr>
          <w:rFonts w:ascii="宋体" w:hAnsi="宋体" w:cs="仿宋_GB2312"/>
          <w:b w:val="0"/>
          <w:bCs/>
          <w:kern w:val="1"/>
          <w:sz w:val="28"/>
          <w:szCs w:val="28"/>
        </w:rPr>
        <w:t>按照《</w:t>
      </w:r>
      <w:r>
        <w:rPr>
          <w:rFonts w:hint="eastAsia" w:ascii="宋体" w:hAnsi="宋体" w:cs="仿宋_GB2312"/>
          <w:b w:val="0"/>
          <w:bCs/>
          <w:kern w:val="1"/>
          <w:sz w:val="28"/>
          <w:szCs w:val="28"/>
          <w:lang w:eastAsia="zh-CN"/>
        </w:rPr>
        <w:t>中华人民共和国预算法</w:t>
      </w:r>
      <w:r>
        <w:rPr>
          <w:rFonts w:ascii="宋体" w:hAnsi="宋体" w:cs="仿宋_GB2312"/>
          <w:b w:val="0"/>
          <w:bCs/>
          <w:kern w:val="1"/>
          <w:sz w:val="28"/>
          <w:szCs w:val="28"/>
        </w:rPr>
        <w:t>》、</w:t>
      </w:r>
      <w:r>
        <w:rPr>
          <w:rFonts w:ascii="宋体" w:hAnsi="宋体" w:cs="宋体"/>
          <w:b w:val="0"/>
          <w:bCs/>
          <w:kern w:val="1"/>
          <w:sz w:val="28"/>
          <w:szCs w:val="28"/>
        </w:rPr>
        <w:t>《地方预决算公开操作规程》和《河北省省级预算公开办法》</w:t>
      </w:r>
      <w:r>
        <w:rPr>
          <w:rFonts w:ascii="宋体" w:hAnsi="宋体" w:cs="仿宋_GB2312"/>
          <w:b w:val="0"/>
          <w:bCs/>
          <w:kern w:val="1"/>
          <w:sz w:val="28"/>
          <w:szCs w:val="28"/>
        </w:rPr>
        <w:t>规定，现将保定市满城区</w:t>
      </w:r>
      <w:r>
        <w:rPr>
          <w:rFonts w:hint="eastAsia" w:ascii="宋体" w:hAnsi="宋体" w:cs="仿宋_GB2312"/>
          <w:b w:val="0"/>
          <w:bCs/>
          <w:kern w:val="1"/>
          <w:sz w:val="28"/>
          <w:szCs w:val="28"/>
        </w:rPr>
        <w:t>自规局</w:t>
      </w:r>
      <w:r>
        <w:rPr>
          <w:rFonts w:ascii="宋体" w:hAnsi="宋体" w:cs="仿宋_GB2312"/>
          <w:b w:val="0"/>
          <w:bCs/>
          <w:kern w:val="1"/>
          <w:sz w:val="28"/>
          <w:szCs w:val="28"/>
        </w:rPr>
        <w:t>20</w:t>
      </w:r>
      <w:r>
        <w:rPr>
          <w:rFonts w:hint="eastAsia" w:ascii="宋体" w:hAnsi="宋体" w:cs="仿宋_GB2312"/>
          <w:b w:val="0"/>
          <w:bCs/>
          <w:kern w:val="1"/>
          <w:sz w:val="28"/>
          <w:szCs w:val="28"/>
        </w:rPr>
        <w:t>21</w:t>
      </w:r>
      <w:r>
        <w:rPr>
          <w:rFonts w:ascii="宋体" w:hAnsi="宋体" w:cs="仿宋_GB2312"/>
          <w:b w:val="0"/>
          <w:bCs/>
          <w:kern w:val="1"/>
          <w:sz w:val="28"/>
          <w:szCs w:val="28"/>
        </w:rPr>
        <w:t>年部门预算公开如下：</w:t>
      </w:r>
    </w:p>
    <w:p>
      <w:pPr>
        <w:spacing w:line="640" w:lineRule="exact"/>
        <w:ind w:firstLine="643"/>
        <w:jc w:val="center"/>
        <w:rPr>
          <w:rFonts w:ascii="宋体" w:hAnsi="宋体" w:cs="宋体"/>
          <w:b w:val="0"/>
          <w:bCs/>
          <w:kern w:val="1"/>
          <w:sz w:val="28"/>
          <w:szCs w:val="28"/>
        </w:rPr>
      </w:pPr>
      <w:r>
        <w:rPr>
          <w:rFonts w:ascii="宋体" w:hAnsi="宋体" w:cs="宋体"/>
          <w:b w:val="0"/>
          <w:bCs/>
          <w:kern w:val="1"/>
          <w:sz w:val="28"/>
          <w:szCs w:val="28"/>
        </w:rPr>
        <w:t>第一部分:部门职责及机构设置情况</w:t>
      </w:r>
    </w:p>
    <w:p>
      <w:pPr>
        <w:spacing w:line="640" w:lineRule="exact"/>
        <w:ind w:firstLine="643"/>
        <w:rPr>
          <w:rFonts w:ascii="宋体" w:hAnsi="宋体" w:cs="宋体"/>
          <w:b w:val="0"/>
          <w:bCs/>
          <w:kern w:val="1"/>
          <w:sz w:val="28"/>
          <w:szCs w:val="28"/>
        </w:rPr>
      </w:pPr>
      <w:r>
        <w:rPr>
          <w:rFonts w:ascii="宋体" w:hAnsi="宋体" w:cs="宋体"/>
          <w:b w:val="0"/>
          <w:bCs/>
          <w:kern w:val="1"/>
          <w:sz w:val="28"/>
          <w:szCs w:val="28"/>
        </w:rPr>
        <w:t>一、部门职责</w:t>
      </w:r>
    </w:p>
    <w:p>
      <w:pPr>
        <w:spacing w:line="640" w:lineRule="exact"/>
        <w:ind w:firstLine="560" w:firstLineChars="200"/>
        <w:jc w:val="left"/>
        <w:rPr>
          <w:rFonts w:hint="eastAsia" w:ascii="宋体" w:hAnsi="宋体" w:cs="Times New Roman"/>
          <w:b w:val="0"/>
          <w:bCs/>
          <w:color w:val="auto"/>
          <w:kern w:val="2"/>
          <w:sz w:val="28"/>
          <w:szCs w:val="28"/>
        </w:rPr>
      </w:pPr>
      <w:r>
        <w:rPr>
          <w:rFonts w:hint="eastAsia" w:ascii="宋体" w:hAnsi="宋体" w:cs="Times New Roman"/>
          <w:b w:val="0"/>
          <w:bCs/>
          <w:color w:val="auto"/>
          <w:kern w:val="2"/>
          <w:sz w:val="28"/>
          <w:szCs w:val="28"/>
        </w:rPr>
        <w:t>根据《保定市自然资源和规划局满城区分局职能配置、内设机构和人员编制规定》， 保定市自然资源和规划局满城区分局的主要职责是：</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2021年，我们将认真贯彻落实区委、区政府的安排部署，强化措施，明确责任，合力攻坚，确保完成各项工作任务。</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一是用足用好法规政策，积极组卷报批用地手续，为重点项目建设提供用地支撑。</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二是加大矿山停产整治力度，推进露天矿山企业主动关闭退出工作。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三是加大土地供应力度，加快推进批而未供土地处置工作，提高土地调控和服务重点项目的能力，加快完善旅发项目用地手续。</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四是加大土地整治力度。</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五是保持高压态势，强化管控措施，严格行政执法程序，依法依规严厉打击各类违法行为。</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六是积极谋划完成满城区新一轮《林地保护利用规划》的编制工作。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七是加大工作力度，加快推进“两权”发证工作。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八是不断深化不动产登记便民利民举措，认真贯彻执行“一窗受理、并行办理”。</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九是认真做好2021年汛期地质灾害防治工作，确保安全度汛。</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十是进一步强化森林防火工作。</w:t>
      </w:r>
    </w:p>
    <w:p>
      <w:pPr>
        <w:spacing w:line="640" w:lineRule="exact"/>
        <w:ind w:firstLine="560" w:firstLineChars="200"/>
        <w:jc w:val="left"/>
        <w:rPr>
          <w:rFonts w:ascii="宋体" w:hAnsi="宋体" w:cs="Times New Roman"/>
          <w:b w:val="0"/>
          <w:bCs/>
          <w:color w:val="auto"/>
          <w:kern w:val="2"/>
          <w:sz w:val="28"/>
          <w:szCs w:val="28"/>
        </w:rPr>
      </w:pPr>
      <w:r>
        <w:rPr>
          <w:rFonts w:ascii="宋体" w:hAnsi="宋体" w:cs="Times New Roman"/>
          <w:b w:val="0"/>
          <w:bCs/>
          <w:color w:val="auto"/>
          <w:kern w:val="2"/>
          <w:sz w:val="28"/>
          <w:szCs w:val="28"/>
        </w:rPr>
        <w:t>十一是加强苗木供应及良种基地建设。</w:t>
      </w:r>
    </w:p>
    <w:p>
      <w:pPr>
        <w:pStyle w:val="16"/>
        <w:widowControl/>
        <w:spacing w:line="640" w:lineRule="exact"/>
        <w:ind w:firstLine="640"/>
        <w:jc w:val="both"/>
        <w:rPr>
          <w:rFonts w:cs="仿宋_GB2312"/>
          <w:b w:val="0"/>
          <w:bCs/>
          <w:sz w:val="28"/>
          <w:szCs w:val="28"/>
        </w:rPr>
      </w:pPr>
    </w:p>
    <w:p>
      <w:pPr>
        <w:pStyle w:val="17"/>
        <w:spacing w:line="640" w:lineRule="exact"/>
        <w:ind w:firstLine="739"/>
        <w:rPr>
          <w:rFonts w:ascii="宋体" w:hAnsi="宋体" w:eastAsia="宋体" w:cs="宋体"/>
          <w:b w:val="0"/>
          <w:bCs/>
          <w:sz w:val="28"/>
          <w:szCs w:val="28"/>
        </w:rPr>
      </w:pPr>
      <w:r>
        <w:rPr>
          <w:rFonts w:ascii="宋体" w:hAnsi="宋体" w:eastAsia="宋体" w:cs="仿宋_GB2312"/>
          <w:b w:val="0"/>
          <w:bCs/>
          <w:sz w:val="28"/>
          <w:szCs w:val="28"/>
        </w:rPr>
        <w:t>二、</w:t>
      </w:r>
      <w:r>
        <w:rPr>
          <w:rFonts w:ascii="宋体" w:hAnsi="宋体" w:eastAsia="宋体" w:cs="宋体"/>
          <w:b w:val="0"/>
          <w:bCs/>
          <w:sz w:val="28"/>
          <w:szCs w:val="28"/>
        </w:rPr>
        <w:t>机构设置</w:t>
      </w:r>
    </w:p>
    <w:tbl>
      <w:tblPr>
        <w:tblStyle w:val="9"/>
        <w:tblW w:w="9796" w:type="dxa"/>
        <w:tblInd w:w="93" w:type="dxa"/>
        <w:tblLayout w:type="fixed"/>
        <w:tblCellMar>
          <w:top w:w="0" w:type="dxa"/>
          <w:left w:w="108" w:type="dxa"/>
          <w:bottom w:w="0" w:type="dxa"/>
          <w:right w:w="108" w:type="dxa"/>
        </w:tblCellMar>
      </w:tblPr>
      <w:tblGrid>
        <w:gridCol w:w="1080"/>
        <w:gridCol w:w="2904"/>
        <w:gridCol w:w="1536"/>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spacing w:line="640" w:lineRule="exact"/>
              <w:jc w:val="center"/>
              <w:rPr>
                <w:rFonts w:hint="eastAsia" w:ascii="宋体" w:hAnsi="宋体" w:cs="宋体"/>
                <w:b w:val="0"/>
                <w:bCs/>
                <w:sz w:val="28"/>
                <w:szCs w:val="28"/>
              </w:rPr>
            </w:pPr>
            <w:r>
              <w:rPr>
                <w:rFonts w:hint="eastAsia" w:ascii="宋体" w:hAnsi="宋体" w:cs="宋体"/>
                <w:b w:val="0"/>
                <w:bCs/>
                <w:sz w:val="28"/>
                <w:szCs w:val="28"/>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序号</w:t>
            </w:r>
          </w:p>
        </w:tc>
        <w:tc>
          <w:tcPr>
            <w:tcW w:w="2904" w:type="dxa"/>
            <w:vMerge w:val="restart"/>
            <w:tcBorders>
              <w:top w:val="nil"/>
              <w:left w:val="single" w:color="auto" w:sz="4" w:space="0"/>
              <w:bottom w:val="single" w:color="000000"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单位名称</w:t>
            </w:r>
          </w:p>
        </w:tc>
        <w:tc>
          <w:tcPr>
            <w:tcW w:w="1536" w:type="dxa"/>
            <w:vMerge w:val="restart"/>
            <w:tcBorders>
              <w:top w:val="nil"/>
              <w:left w:val="single" w:color="auto" w:sz="4" w:space="0"/>
              <w:bottom w:val="single" w:color="000000"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经费保障形式</w:t>
            </w:r>
          </w:p>
        </w:tc>
      </w:tr>
      <w:tr>
        <w:tblPrEx>
          <w:tblCellMar>
            <w:top w:w="0" w:type="dxa"/>
            <w:left w:w="108" w:type="dxa"/>
            <w:bottom w:w="0" w:type="dxa"/>
            <w:right w:w="108" w:type="dxa"/>
          </w:tblCellMar>
        </w:tblPrEx>
        <w:trPr>
          <w:trHeight w:val="640"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640" w:lineRule="exact"/>
              <w:jc w:val="left"/>
              <w:rPr>
                <w:rFonts w:hint="eastAsia" w:ascii="宋体" w:hAnsi="宋体" w:cs="宋体"/>
                <w:b w:val="0"/>
                <w:bCs/>
                <w:sz w:val="24"/>
                <w:szCs w:val="24"/>
              </w:rPr>
            </w:pPr>
          </w:p>
        </w:tc>
        <w:tc>
          <w:tcPr>
            <w:tcW w:w="2904" w:type="dxa"/>
            <w:vMerge w:val="continue"/>
            <w:tcBorders>
              <w:top w:val="nil"/>
              <w:left w:val="single" w:color="auto" w:sz="4" w:space="0"/>
              <w:bottom w:val="single" w:color="000000" w:sz="4" w:space="0"/>
              <w:right w:val="single" w:color="auto" w:sz="4" w:space="0"/>
            </w:tcBorders>
            <w:noWrap w:val="0"/>
            <w:vAlign w:val="center"/>
          </w:tcPr>
          <w:p>
            <w:pPr>
              <w:widowControl/>
              <w:spacing w:line="640" w:lineRule="exact"/>
              <w:jc w:val="left"/>
              <w:rPr>
                <w:rFonts w:hint="eastAsia" w:ascii="宋体" w:hAnsi="宋体" w:cs="宋体"/>
                <w:b w:val="0"/>
                <w:bCs/>
                <w:sz w:val="24"/>
                <w:szCs w:val="24"/>
              </w:rPr>
            </w:pPr>
          </w:p>
        </w:tc>
        <w:tc>
          <w:tcPr>
            <w:tcW w:w="1536" w:type="dxa"/>
            <w:vMerge w:val="continue"/>
            <w:tcBorders>
              <w:top w:val="nil"/>
              <w:left w:val="single" w:color="auto" w:sz="4" w:space="0"/>
              <w:bottom w:val="single" w:color="000000" w:sz="4" w:space="0"/>
              <w:right w:val="single" w:color="auto" w:sz="4" w:space="0"/>
            </w:tcBorders>
            <w:noWrap w:val="0"/>
            <w:vAlign w:val="center"/>
          </w:tcPr>
          <w:p>
            <w:pPr>
              <w:widowControl/>
              <w:spacing w:line="640" w:lineRule="exact"/>
              <w:jc w:val="left"/>
              <w:rPr>
                <w:rFonts w:hint="eastAsia" w:ascii="宋体" w:hAnsi="宋体" w:cs="宋体"/>
                <w:b w:val="0"/>
                <w:bCs/>
                <w:sz w:val="24"/>
                <w:szCs w:val="24"/>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spacing w:line="640" w:lineRule="exact"/>
              <w:jc w:val="left"/>
              <w:rPr>
                <w:rFonts w:hint="eastAsia" w:ascii="宋体" w:hAnsi="宋体" w:cs="宋体"/>
                <w:b w:val="0"/>
                <w:bCs/>
                <w:sz w:val="24"/>
                <w:szCs w:val="24"/>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spacing w:line="640" w:lineRule="exact"/>
              <w:jc w:val="left"/>
              <w:rPr>
                <w:rFonts w:hint="eastAsia" w:ascii="宋体" w:hAnsi="宋体" w:cs="宋体"/>
                <w:b w:val="0"/>
                <w:bCs/>
                <w:sz w:val="24"/>
                <w:szCs w:val="24"/>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1</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办公室</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2</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执法监察股</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3</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保护利用股</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4</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地籍规划股</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5</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矿产管理股</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ind w:firstLine="120"/>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6</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测绘勘查股</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7</w:t>
            </w:r>
          </w:p>
        </w:tc>
        <w:tc>
          <w:tcPr>
            <w:tcW w:w="2904"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hint="eastAsia" w:ascii="宋体" w:hAnsi="宋体" w:cs="宋体"/>
                <w:b w:val="0"/>
                <w:bCs/>
                <w:color w:val="auto"/>
                <w:kern w:val="2"/>
                <w:sz w:val="24"/>
                <w:szCs w:val="24"/>
              </w:rPr>
              <w:t>保定市自然资源和规划局满城区分局</w:t>
            </w:r>
            <w:r>
              <w:rPr>
                <w:rFonts w:ascii="宋体" w:hAnsi="宋体" w:cs="宋体"/>
                <w:b w:val="0"/>
                <w:bCs/>
                <w:color w:val="auto"/>
                <w:kern w:val="2"/>
                <w:sz w:val="24"/>
                <w:szCs w:val="24"/>
              </w:rPr>
              <w:t>不动产登记股</w:t>
            </w:r>
          </w:p>
        </w:tc>
        <w:tc>
          <w:tcPr>
            <w:tcW w:w="153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行政</w:t>
            </w:r>
          </w:p>
        </w:tc>
        <w:tc>
          <w:tcPr>
            <w:tcW w:w="1900"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股级</w:t>
            </w:r>
          </w:p>
        </w:tc>
        <w:tc>
          <w:tcPr>
            <w:tcW w:w="2376" w:type="dxa"/>
            <w:tcBorders>
              <w:top w:val="nil"/>
              <w:left w:val="nil"/>
              <w:bottom w:val="single" w:color="auto" w:sz="4" w:space="0"/>
              <w:right w:val="single" w:color="auto" w:sz="4" w:space="0"/>
            </w:tcBorders>
            <w:noWrap w:val="0"/>
            <w:vAlign w:val="center"/>
          </w:tcPr>
          <w:p>
            <w:pPr>
              <w:widowControl/>
              <w:spacing w:line="640" w:lineRule="exact"/>
              <w:jc w:val="center"/>
              <w:rPr>
                <w:rFonts w:ascii="宋体" w:hAnsi="宋体" w:cs="宋体"/>
                <w:b w:val="0"/>
                <w:bCs/>
                <w:color w:val="auto"/>
                <w:kern w:val="2"/>
                <w:sz w:val="24"/>
                <w:szCs w:val="24"/>
              </w:rPr>
            </w:pPr>
            <w:r>
              <w:rPr>
                <w:rFonts w:ascii="宋体" w:hAnsi="宋体" w:cs="宋体"/>
                <w:b w:val="0"/>
                <w:bCs/>
                <w:color w:val="auto"/>
                <w:kern w:val="2"/>
                <w:sz w:val="24"/>
                <w:szCs w:val="24"/>
              </w:rPr>
              <w:t>财政拨款</w:t>
            </w:r>
          </w:p>
        </w:tc>
      </w:tr>
    </w:tbl>
    <w:p>
      <w:pPr>
        <w:spacing w:line="640" w:lineRule="exact"/>
        <w:jc w:val="left"/>
        <w:rPr>
          <w:rFonts w:hint="eastAsia" w:ascii="宋体" w:hAnsi="宋体" w:cs="Times New Roman"/>
          <w:b w:val="0"/>
          <w:bCs/>
          <w:color w:val="auto"/>
          <w:kern w:val="2"/>
          <w:sz w:val="24"/>
          <w:szCs w:val="24"/>
        </w:rPr>
      </w:pPr>
    </w:p>
    <w:p>
      <w:pPr>
        <w:spacing w:line="640" w:lineRule="exact"/>
        <w:jc w:val="center"/>
        <w:rPr>
          <w:rFonts w:ascii="宋体" w:hAnsi="宋体" w:cs="宋体"/>
          <w:b w:val="0"/>
          <w:bCs/>
          <w:kern w:val="1"/>
          <w:sz w:val="28"/>
          <w:szCs w:val="28"/>
        </w:rPr>
      </w:pPr>
      <w:r>
        <w:rPr>
          <w:rFonts w:ascii="宋体" w:hAnsi="宋体" w:cs="宋体"/>
          <w:b w:val="0"/>
          <w:bCs/>
          <w:kern w:val="1"/>
          <w:sz w:val="28"/>
          <w:szCs w:val="28"/>
        </w:rPr>
        <w:t>第二部分：部门预算安排的总体情况</w:t>
      </w:r>
    </w:p>
    <w:p>
      <w:pPr>
        <w:spacing w:line="640" w:lineRule="exact"/>
        <w:ind w:firstLine="560" w:firstLineChars="200"/>
        <w:rPr>
          <w:rFonts w:ascii="宋体" w:hAnsi="宋体" w:cs="宋体"/>
          <w:b w:val="0"/>
          <w:bCs/>
          <w:kern w:val="1"/>
          <w:sz w:val="28"/>
          <w:szCs w:val="28"/>
        </w:rPr>
      </w:pPr>
      <w:r>
        <w:rPr>
          <w:rFonts w:hint="eastAsia" w:ascii="宋体" w:hAnsi="宋体" w:cs="宋体"/>
          <w:b w:val="0"/>
          <w:bCs/>
          <w:kern w:val="1"/>
          <w:sz w:val="28"/>
          <w:szCs w:val="28"/>
        </w:rPr>
        <w:t>一</w:t>
      </w:r>
      <w:r>
        <w:rPr>
          <w:rFonts w:ascii="宋体" w:hAnsi="宋体" w:cs="宋体"/>
          <w:b w:val="0"/>
          <w:bCs/>
          <w:kern w:val="1"/>
          <w:sz w:val="28"/>
          <w:szCs w:val="28"/>
        </w:rPr>
        <w:t>、收入说明</w:t>
      </w:r>
    </w:p>
    <w:p>
      <w:pPr>
        <w:spacing w:line="640" w:lineRule="exact"/>
        <w:ind w:firstLine="640"/>
        <w:rPr>
          <w:rFonts w:hint="eastAsia" w:ascii="宋体" w:hAnsi="宋体" w:cs="宋体"/>
          <w:b w:val="0"/>
          <w:bCs/>
          <w:kern w:val="1"/>
          <w:sz w:val="28"/>
          <w:szCs w:val="28"/>
        </w:rPr>
      </w:pPr>
      <w:r>
        <w:rPr>
          <w:rFonts w:ascii="宋体" w:hAnsi="宋体" w:cs="宋体"/>
          <w:b w:val="0"/>
          <w:bCs/>
          <w:kern w:val="1"/>
          <w:sz w:val="28"/>
          <w:szCs w:val="28"/>
        </w:rPr>
        <w:t xml:space="preserve">    20</w:t>
      </w:r>
      <w:r>
        <w:rPr>
          <w:rFonts w:hint="eastAsia" w:ascii="宋体" w:hAnsi="宋体" w:cs="宋体"/>
          <w:b w:val="0"/>
          <w:bCs/>
          <w:kern w:val="1"/>
          <w:sz w:val="28"/>
          <w:szCs w:val="28"/>
        </w:rPr>
        <w:t>21</w:t>
      </w:r>
      <w:r>
        <w:rPr>
          <w:rFonts w:ascii="宋体" w:hAnsi="宋体" w:cs="宋体"/>
          <w:b w:val="0"/>
          <w:bCs/>
          <w:kern w:val="1"/>
          <w:sz w:val="28"/>
          <w:szCs w:val="28"/>
        </w:rPr>
        <w:t>年保定市满城区</w:t>
      </w:r>
      <w:r>
        <w:rPr>
          <w:rFonts w:hint="eastAsia" w:ascii="宋体" w:hAnsi="宋体" w:cs="宋体"/>
          <w:b w:val="0"/>
          <w:bCs/>
          <w:kern w:val="1"/>
          <w:sz w:val="28"/>
          <w:szCs w:val="28"/>
        </w:rPr>
        <w:t>自规局</w:t>
      </w:r>
      <w:r>
        <w:rPr>
          <w:rFonts w:ascii="宋体" w:hAnsi="宋体" w:cs="宋体"/>
          <w:b w:val="0"/>
          <w:bCs/>
          <w:kern w:val="1"/>
          <w:sz w:val="28"/>
          <w:szCs w:val="28"/>
        </w:rPr>
        <w:t>收入</w:t>
      </w:r>
      <w:r>
        <w:rPr>
          <w:rFonts w:hint="eastAsia" w:ascii="宋体" w:hAnsi="宋体" w:cs="宋体"/>
          <w:b w:val="0"/>
          <w:bCs/>
          <w:kern w:val="1"/>
          <w:sz w:val="28"/>
          <w:szCs w:val="28"/>
        </w:rPr>
        <w:t>71484.09</w:t>
      </w:r>
      <w:r>
        <w:rPr>
          <w:rFonts w:ascii="宋体" w:hAnsi="宋体" w:cs="宋体"/>
          <w:b w:val="0"/>
          <w:bCs/>
          <w:kern w:val="1"/>
          <w:sz w:val="28"/>
          <w:szCs w:val="28"/>
        </w:rPr>
        <w:t>万元.</w:t>
      </w:r>
    </w:p>
    <w:p>
      <w:pPr>
        <w:spacing w:line="640" w:lineRule="exact"/>
        <w:ind w:firstLine="1960" w:firstLineChars="700"/>
        <w:rPr>
          <w:rFonts w:hint="eastAsia" w:ascii="宋体" w:hAnsi="宋体" w:cs="宋体"/>
          <w:b w:val="0"/>
          <w:bCs/>
          <w:kern w:val="1"/>
          <w:sz w:val="28"/>
          <w:szCs w:val="28"/>
        </w:rPr>
      </w:pPr>
      <w:r>
        <w:rPr>
          <w:rFonts w:hint="eastAsia" w:ascii="宋体" w:hAnsi="宋体" w:cs="宋体"/>
          <w:b w:val="0"/>
          <w:bCs/>
          <w:kern w:val="1"/>
          <w:sz w:val="28"/>
          <w:szCs w:val="28"/>
        </w:rPr>
        <w:t>其中：一般公共预算收入17106.68万元</w:t>
      </w:r>
    </w:p>
    <w:p>
      <w:pPr>
        <w:spacing w:line="520" w:lineRule="exact"/>
        <w:ind w:firstLine="2520" w:firstLineChars="900"/>
        <w:rPr>
          <w:rFonts w:hint="eastAsia" w:ascii="宋体" w:hAnsi="宋体" w:cs="宋体"/>
          <w:b w:val="0"/>
          <w:bCs/>
          <w:kern w:val="1"/>
          <w:sz w:val="28"/>
          <w:szCs w:val="28"/>
        </w:rPr>
      </w:pPr>
      <w:r>
        <w:rPr>
          <w:rFonts w:hint="eastAsia" w:ascii="宋体" w:hAnsi="宋体" w:cs="宋体"/>
          <w:b w:val="0"/>
          <w:bCs/>
          <w:kern w:val="1"/>
          <w:sz w:val="28"/>
          <w:szCs w:val="28"/>
        </w:rPr>
        <w:t xml:space="preserve"> </w:t>
      </w:r>
      <w:r>
        <w:rPr>
          <w:rFonts w:hint="eastAsia" w:ascii="宋体" w:hAnsi="宋体" w:cs="宋体"/>
          <w:b w:val="0"/>
          <w:bCs/>
          <w:color w:val="auto"/>
          <w:kern w:val="1"/>
          <w:sz w:val="28"/>
          <w:szCs w:val="28"/>
        </w:rPr>
        <w:t>政府性基金预算收入54377.41万元。</w:t>
      </w:r>
    </w:p>
    <w:p>
      <w:pPr>
        <w:spacing w:line="640" w:lineRule="exact"/>
        <w:ind w:firstLine="560" w:firstLineChars="200"/>
        <w:rPr>
          <w:rFonts w:ascii="宋体" w:hAnsi="宋体" w:cs="宋体"/>
          <w:b w:val="0"/>
          <w:bCs/>
          <w:kern w:val="1"/>
          <w:sz w:val="28"/>
          <w:szCs w:val="28"/>
        </w:rPr>
      </w:pPr>
      <w:r>
        <w:rPr>
          <w:rFonts w:hint="eastAsia" w:ascii="宋体" w:hAnsi="宋体" w:cs="宋体"/>
          <w:b w:val="0"/>
          <w:bCs/>
          <w:kern w:val="1"/>
          <w:sz w:val="28"/>
          <w:szCs w:val="28"/>
        </w:rPr>
        <w:t>二</w:t>
      </w:r>
      <w:r>
        <w:rPr>
          <w:rFonts w:ascii="宋体" w:hAnsi="宋体" w:cs="宋体"/>
          <w:b w:val="0"/>
          <w:bCs/>
          <w:kern w:val="1"/>
          <w:sz w:val="28"/>
          <w:szCs w:val="28"/>
        </w:rPr>
        <w:t>、支出说明</w:t>
      </w:r>
    </w:p>
    <w:p>
      <w:pPr>
        <w:spacing w:line="640" w:lineRule="exact"/>
        <w:ind w:firstLine="1120" w:firstLineChars="400"/>
        <w:rPr>
          <w:rFonts w:ascii="宋体" w:hAnsi="宋体" w:cs="宋体"/>
          <w:b w:val="0"/>
          <w:bCs/>
          <w:kern w:val="1"/>
          <w:sz w:val="28"/>
          <w:szCs w:val="28"/>
        </w:rPr>
      </w:pPr>
      <w:r>
        <w:rPr>
          <w:rFonts w:ascii="宋体" w:hAnsi="宋体" w:cs="宋体"/>
          <w:b w:val="0"/>
          <w:bCs/>
          <w:kern w:val="1"/>
          <w:sz w:val="28"/>
          <w:szCs w:val="28"/>
        </w:rPr>
        <w:t>20</w:t>
      </w:r>
      <w:r>
        <w:rPr>
          <w:rFonts w:hint="eastAsia" w:ascii="宋体" w:hAnsi="宋体" w:cs="宋体"/>
          <w:b w:val="0"/>
          <w:bCs/>
          <w:kern w:val="1"/>
          <w:sz w:val="28"/>
          <w:szCs w:val="28"/>
        </w:rPr>
        <w:t>21</w:t>
      </w:r>
      <w:r>
        <w:rPr>
          <w:rFonts w:ascii="宋体" w:hAnsi="宋体" w:cs="宋体"/>
          <w:b w:val="0"/>
          <w:bCs/>
          <w:kern w:val="1"/>
          <w:sz w:val="28"/>
          <w:szCs w:val="28"/>
        </w:rPr>
        <w:t>年度预算支出</w:t>
      </w:r>
      <w:r>
        <w:rPr>
          <w:rFonts w:hint="eastAsia" w:ascii="宋体" w:hAnsi="宋体" w:cs="宋体"/>
          <w:b w:val="0"/>
          <w:bCs/>
          <w:kern w:val="1"/>
          <w:sz w:val="28"/>
          <w:szCs w:val="28"/>
        </w:rPr>
        <w:t>71484.09</w:t>
      </w:r>
      <w:r>
        <w:rPr>
          <w:rFonts w:ascii="宋体" w:hAnsi="宋体" w:cs="宋体"/>
          <w:b w:val="0"/>
          <w:bCs/>
          <w:kern w:val="1"/>
          <w:sz w:val="28"/>
          <w:szCs w:val="28"/>
        </w:rPr>
        <w:t>万元</w:t>
      </w:r>
      <w:r>
        <w:rPr>
          <w:rFonts w:hint="eastAsia" w:ascii="宋体" w:hAnsi="宋体" w:cs="宋体"/>
          <w:b w:val="0"/>
          <w:bCs/>
          <w:kern w:val="1"/>
          <w:sz w:val="28"/>
          <w:szCs w:val="28"/>
        </w:rPr>
        <w:t>。</w:t>
      </w:r>
    </w:p>
    <w:p>
      <w:pPr>
        <w:spacing w:line="640" w:lineRule="exact"/>
        <w:ind w:firstLine="640"/>
        <w:rPr>
          <w:rFonts w:hint="eastAsia" w:ascii="宋体" w:hAnsi="宋体" w:cs="宋体"/>
          <w:b w:val="0"/>
          <w:bCs/>
          <w:kern w:val="1"/>
          <w:sz w:val="28"/>
          <w:szCs w:val="28"/>
        </w:rPr>
      </w:pPr>
      <w:r>
        <w:rPr>
          <w:rFonts w:hint="eastAsia" w:ascii="宋体" w:hAnsi="宋体" w:cs="宋体"/>
          <w:b w:val="0"/>
          <w:bCs/>
          <w:kern w:val="1"/>
          <w:sz w:val="28"/>
          <w:szCs w:val="28"/>
        </w:rPr>
        <w:t xml:space="preserve">       1、基本支出2456.87万元</w:t>
      </w:r>
    </w:p>
    <w:p>
      <w:pPr>
        <w:spacing w:line="640" w:lineRule="exact"/>
        <w:ind w:firstLine="2240" w:firstLineChars="800"/>
        <w:rPr>
          <w:rFonts w:ascii="宋体" w:hAnsi="宋体" w:cs="宋体"/>
          <w:b w:val="0"/>
          <w:bCs/>
          <w:kern w:val="1"/>
          <w:sz w:val="28"/>
          <w:szCs w:val="28"/>
        </w:rPr>
      </w:pPr>
      <w:r>
        <w:rPr>
          <w:rFonts w:hint="eastAsia" w:ascii="宋体" w:hAnsi="宋体" w:cs="宋体"/>
          <w:b w:val="0"/>
          <w:bCs/>
          <w:kern w:val="1"/>
          <w:sz w:val="28"/>
          <w:szCs w:val="28"/>
        </w:rPr>
        <w:t>其中：</w:t>
      </w:r>
      <w:r>
        <w:rPr>
          <w:rFonts w:ascii="宋体" w:hAnsi="宋体" w:cs="宋体"/>
          <w:b w:val="0"/>
          <w:bCs/>
          <w:kern w:val="1"/>
          <w:sz w:val="28"/>
          <w:szCs w:val="28"/>
        </w:rPr>
        <w:t>人员经费支出</w:t>
      </w:r>
      <w:r>
        <w:rPr>
          <w:rFonts w:hint="eastAsia" w:ascii="宋体" w:hAnsi="宋体" w:cs="宋体"/>
          <w:b w:val="0"/>
          <w:bCs/>
          <w:kern w:val="1"/>
          <w:sz w:val="28"/>
          <w:szCs w:val="28"/>
        </w:rPr>
        <w:t>2345.93</w:t>
      </w:r>
      <w:r>
        <w:rPr>
          <w:rFonts w:ascii="宋体" w:hAnsi="宋体" w:cs="宋体"/>
          <w:b w:val="0"/>
          <w:bCs/>
          <w:kern w:val="1"/>
          <w:sz w:val="28"/>
          <w:szCs w:val="28"/>
        </w:rPr>
        <w:t>万元</w:t>
      </w:r>
      <w:r>
        <w:rPr>
          <w:rFonts w:hint="eastAsia" w:ascii="宋体" w:hAnsi="宋体" w:cs="宋体"/>
          <w:b w:val="0"/>
          <w:bCs/>
          <w:kern w:val="1"/>
          <w:sz w:val="28"/>
          <w:szCs w:val="28"/>
        </w:rPr>
        <w:t>；</w:t>
      </w:r>
    </w:p>
    <w:p>
      <w:pPr>
        <w:spacing w:line="640" w:lineRule="exact"/>
        <w:ind w:firstLine="640"/>
        <w:rPr>
          <w:rFonts w:ascii="宋体" w:hAnsi="宋体" w:cs="宋体"/>
          <w:b w:val="0"/>
          <w:bCs/>
          <w:kern w:val="1"/>
          <w:sz w:val="28"/>
          <w:szCs w:val="28"/>
        </w:rPr>
      </w:pPr>
      <w:r>
        <w:rPr>
          <w:rFonts w:ascii="宋体" w:hAnsi="宋体" w:cs="宋体"/>
          <w:b w:val="0"/>
          <w:bCs/>
          <w:kern w:val="1"/>
          <w:sz w:val="24"/>
          <w:szCs w:val="24"/>
        </w:rPr>
        <w:t xml:space="preserve">      </w:t>
      </w:r>
      <w:r>
        <w:rPr>
          <w:rFonts w:hint="eastAsia" w:ascii="宋体" w:hAnsi="宋体" w:cs="宋体"/>
          <w:b w:val="0"/>
          <w:bCs/>
          <w:kern w:val="1"/>
          <w:sz w:val="24"/>
          <w:szCs w:val="24"/>
        </w:rPr>
        <w:t xml:space="preserve">        </w:t>
      </w:r>
      <w:r>
        <w:rPr>
          <w:rFonts w:hint="eastAsia" w:ascii="宋体" w:hAnsi="宋体" w:cs="宋体"/>
          <w:b w:val="0"/>
          <w:bCs/>
          <w:kern w:val="1"/>
          <w:sz w:val="28"/>
          <w:szCs w:val="28"/>
        </w:rPr>
        <w:t xml:space="preserve">     </w:t>
      </w:r>
      <w:r>
        <w:rPr>
          <w:rFonts w:ascii="宋体" w:hAnsi="宋体" w:cs="宋体"/>
          <w:b w:val="0"/>
          <w:bCs/>
          <w:kern w:val="1"/>
          <w:sz w:val="28"/>
          <w:szCs w:val="28"/>
        </w:rPr>
        <w:t>日常公用经费</w:t>
      </w:r>
      <w:r>
        <w:rPr>
          <w:rFonts w:hint="eastAsia" w:ascii="宋体" w:hAnsi="宋体" w:cs="宋体"/>
          <w:b w:val="0"/>
          <w:bCs/>
          <w:kern w:val="1"/>
          <w:sz w:val="28"/>
          <w:szCs w:val="28"/>
        </w:rPr>
        <w:t>110.94</w:t>
      </w:r>
      <w:r>
        <w:rPr>
          <w:rFonts w:ascii="宋体" w:hAnsi="宋体" w:cs="宋体"/>
          <w:b w:val="0"/>
          <w:bCs/>
          <w:kern w:val="1"/>
          <w:sz w:val="28"/>
          <w:szCs w:val="28"/>
        </w:rPr>
        <w:t>万元</w:t>
      </w:r>
      <w:r>
        <w:rPr>
          <w:rFonts w:hint="eastAsia" w:ascii="宋体" w:hAnsi="宋体" w:cs="宋体"/>
          <w:b w:val="0"/>
          <w:bCs/>
          <w:kern w:val="1"/>
          <w:sz w:val="28"/>
          <w:szCs w:val="28"/>
        </w:rPr>
        <w:t>。</w:t>
      </w:r>
    </w:p>
    <w:p>
      <w:pPr>
        <w:rPr>
          <w:rFonts w:ascii="宋体" w:hAnsi="宋体" w:cs="宋体"/>
          <w:b w:val="0"/>
          <w:bCs/>
          <w:color w:val="auto"/>
          <w:sz w:val="18"/>
          <w:szCs w:val="18"/>
        </w:rPr>
      </w:pPr>
      <w:r>
        <w:rPr>
          <w:rFonts w:ascii="宋体" w:hAnsi="宋体" w:cs="宋体"/>
          <w:b w:val="0"/>
          <w:bCs/>
          <w:kern w:val="1"/>
          <w:sz w:val="28"/>
          <w:szCs w:val="28"/>
        </w:rPr>
        <w:t xml:space="preserve">      </w:t>
      </w:r>
      <w:r>
        <w:rPr>
          <w:rFonts w:hint="eastAsia" w:ascii="宋体" w:hAnsi="宋体" w:cs="宋体"/>
          <w:b w:val="0"/>
          <w:bCs/>
          <w:kern w:val="1"/>
          <w:sz w:val="28"/>
          <w:szCs w:val="28"/>
        </w:rPr>
        <w:t xml:space="preserve">      2</w:t>
      </w:r>
      <w:r>
        <w:rPr>
          <w:rFonts w:ascii="宋体" w:hAnsi="宋体" w:cs="宋体"/>
          <w:b w:val="0"/>
          <w:bCs/>
          <w:kern w:val="1"/>
          <w:sz w:val="28"/>
          <w:szCs w:val="28"/>
        </w:rPr>
        <w:t>、项目支出</w:t>
      </w:r>
      <w:r>
        <w:rPr>
          <w:rFonts w:hint="eastAsia" w:ascii="宋体" w:hAnsi="宋体" w:cs="宋体"/>
          <w:b w:val="0"/>
          <w:bCs/>
          <w:color w:val="auto"/>
          <w:sz w:val="28"/>
          <w:szCs w:val="28"/>
        </w:rPr>
        <w:t>69027.22</w:t>
      </w:r>
      <w:r>
        <w:rPr>
          <w:rFonts w:ascii="宋体" w:hAnsi="宋体" w:cs="宋体"/>
          <w:b w:val="0"/>
          <w:bCs/>
          <w:kern w:val="1"/>
          <w:sz w:val="28"/>
          <w:szCs w:val="28"/>
        </w:rPr>
        <w:t>万元</w:t>
      </w:r>
      <w:r>
        <w:rPr>
          <w:rFonts w:hint="eastAsia" w:ascii="宋体" w:hAnsi="宋体" w:cs="宋体"/>
          <w:b w:val="0"/>
          <w:bCs/>
          <w:kern w:val="1"/>
          <w:sz w:val="28"/>
          <w:szCs w:val="28"/>
        </w:rPr>
        <w:t>。</w:t>
      </w:r>
    </w:p>
    <w:p>
      <w:pPr>
        <w:spacing w:line="640" w:lineRule="exact"/>
        <w:ind w:firstLine="640"/>
        <w:rPr>
          <w:rFonts w:ascii="宋体" w:hAnsi="宋体" w:cs="宋体"/>
          <w:b w:val="0"/>
          <w:bCs/>
          <w:kern w:val="1"/>
          <w:sz w:val="28"/>
          <w:szCs w:val="28"/>
        </w:rPr>
      </w:pPr>
      <w:r>
        <w:rPr>
          <w:rFonts w:hint="eastAsia" w:ascii="宋体" w:hAnsi="宋体" w:cs="宋体"/>
          <w:b w:val="0"/>
          <w:bCs/>
          <w:kern w:val="1"/>
          <w:sz w:val="28"/>
          <w:szCs w:val="28"/>
        </w:rPr>
        <w:t xml:space="preserve"> 三</w:t>
      </w:r>
      <w:r>
        <w:rPr>
          <w:rFonts w:ascii="宋体" w:hAnsi="宋体" w:cs="宋体"/>
          <w:b w:val="0"/>
          <w:bCs/>
          <w:kern w:val="1"/>
          <w:sz w:val="28"/>
          <w:szCs w:val="28"/>
        </w:rPr>
        <w:t>、比上年增减情况</w:t>
      </w:r>
    </w:p>
    <w:p>
      <w:pPr>
        <w:tabs>
          <w:tab w:val="left" w:pos="916"/>
        </w:tabs>
        <w:spacing w:line="640" w:lineRule="exact"/>
        <w:ind w:left="840" w:hanging="840" w:hangingChars="300"/>
        <w:jc w:val="left"/>
        <w:rPr>
          <w:rFonts w:ascii="宋体" w:hAnsi="宋体" w:cs="宋体"/>
          <w:b w:val="0"/>
          <w:bCs/>
          <w:kern w:val="1"/>
          <w:sz w:val="28"/>
          <w:szCs w:val="28"/>
        </w:rPr>
      </w:pPr>
      <w:r>
        <w:rPr>
          <w:rFonts w:hint="eastAsia" w:ascii="宋体" w:hAnsi="宋体" w:cs="宋体"/>
          <w:b w:val="0"/>
          <w:bCs/>
          <w:kern w:val="1"/>
          <w:sz w:val="28"/>
          <w:szCs w:val="28"/>
        </w:rPr>
        <w:t xml:space="preserve">         </w:t>
      </w:r>
      <w:r>
        <w:rPr>
          <w:rFonts w:ascii="宋体" w:hAnsi="宋体" w:cs="宋体"/>
          <w:b w:val="0"/>
          <w:bCs/>
          <w:kern w:val="1"/>
          <w:sz w:val="28"/>
          <w:szCs w:val="28"/>
        </w:rPr>
        <w:t>本年度预算收支安排</w:t>
      </w:r>
      <w:r>
        <w:rPr>
          <w:rFonts w:hint="eastAsia" w:ascii="宋体" w:hAnsi="宋体" w:cs="宋体"/>
          <w:b w:val="0"/>
          <w:bCs/>
          <w:kern w:val="1"/>
          <w:sz w:val="28"/>
          <w:szCs w:val="28"/>
        </w:rPr>
        <w:t>71484.09</w:t>
      </w:r>
      <w:r>
        <w:rPr>
          <w:rFonts w:ascii="宋体" w:hAnsi="宋体" w:cs="宋体"/>
          <w:b w:val="0"/>
          <w:bCs/>
          <w:kern w:val="1"/>
          <w:sz w:val="28"/>
          <w:szCs w:val="28"/>
        </w:rPr>
        <w:t>万元，较上年</w:t>
      </w:r>
      <w:r>
        <w:rPr>
          <w:rFonts w:hint="eastAsia" w:ascii="宋体" w:hAnsi="宋体" w:cs="宋体"/>
          <w:b w:val="0"/>
          <w:bCs/>
          <w:kern w:val="1"/>
          <w:sz w:val="28"/>
          <w:szCs w:val="28"/>
        </w:rPr>
        <w:t>减少2061.63</w:t>
      </w:r>
      <w:r>
        <w:rPr>
          <w:rFonts w:ascii="宋体" w:hAnsi="宋体" w:cs="宋体"/>
          <w:b w:val="0"/>
          <w:bCs/>
          <w:kern w:val="1"/>
          <w:sz w:val="28"/>
          <w:szCs w:val="28"/>
        </w:rPr>
        <w:t>万元</w:t>
      </w:r>
      <w:r>
        <w:rPr>
          <w:rFonts w:hint="eastAsia" w:ascii="宋体" w:hAnsi="宋体" w:cs="宋体"/>
          <w:b w:val="0"/>
          <w:bCs/>
          <w:kern w:val="1"/>
          <w:sz w:val="28"/>
          <w:szCs w:val="28"/>
        </w:rPr>
        <w:t>，</w:t>
      </w:r>
      <w:r>
        <w:rPr>
          <w:rFonts w:ascii="宋体" w:hAnsi="宋体" w:cs="宋体"/>
          <w:b w:val="0"/>
          <w:bCs/>
          <w:kern w:val="1"/>
          <w:sz w:val="28"/>
          <w:szCs w:val="28"/>
        </w:rPr>
        <w:t>其中</w:t>
      </w:r>
      <w:r>
        <w:rPr>
          <w:rFonts w:hint="eastAsia" w:ascii="宋体" w:hAnsi="宋体" w:cs="宋体"/>
          <w:b w:val="0"/>
          <w:bCs/>
          <w:kern w:val="1"/>
          <w:sz w:val="28"/>
          <w:szCs w:val="28"/>
        </w:rPr>
        <w:t>：</w:t>
      </w:r>
      <w:r>
        <w:rPr>
          <w:rFonts w:ascii="宋体" w:hAnsi="宋体" w:cs="宋体"/>
          <w:b w:val="0"/>
          <w:bCs/>
          <w:kern w:val="1"/>
          <w:sz w:val="28"/>
          <w:szCs w:val="28"/>
        </w:rPr>
        <w:t>基本支出减少</w:t>
      </w:r>
      <w:r>
        <w:rPr>
          <w:rFonts w:hint="eastAsia" w:ascii="宋体" w:hAnsi="宋体" w:cs="宋体"/>
          <w:b w:val="0"/>
          <w:bCs/>
          <w:kern w:val="1"/>
          <w:sz w:val="28"/>
          <w:szCs w:val="28"/>
        </w:rPr>
        <w:t>1794.74万元；因为机构改革，人员减少，所以经费支出减少；项目支出减少266.89万元，</w:t>
      </w:r>
      <w:r>
        <w:rPr>
          <w:rFonts w:ascii="宋体" w:hAnsi="宋体" w:cs="宋体"/>
          <w:b w:val="0"/>
          <w:bCs/>
          <w:kern w:val="1"/>
          <w:sz w:val="28"/>
          <w:szCs w:val="28"/>
        </w:rPr>
        <w:t>由于土地出让挂牌</w:t>
      </w:r>
      <w:r>
        <w:rPr>
          <w:rFonts w:hint="eastAsia" w:ascii="宋体" w:hAnsi="宋体" w:cs="宋体"/>
          <w:b w:val="0"/>
          <w:bCs/>
          <w:kern w:val="1"/>
          <w:sz w:val="28"/>
          <w:szCs w:val="28"/>
        </w:rPr>
        <w:t>减少</w:t>
      </w:r>
      <w:r>
        <w:rPr>
          <w:rFonts w:ascii="宋体" w:hAnsi="宋体" w:cs="宋体"/>
          <w:b w:val="0"/>
          <w:bCs/>
          <w:kern w:val="1"/>
          <w:sz w:val="28"/>
          <w:szCs w:val="28"/>
        </w:rPr>
        <w:t>，所以造成</w:t>
      </w:r>
      <w:r>
        <w:rPr>
          <w:rFonts w:hint="eastAsia" w:ascii="宋体" w:hAnsi="宋体" w:cs="宋体"/>
          <w:b w:val="0"/>
          <w:bCs/>
          <w:kern w:val="1"/>
          <w:sz w:val="28"/>
          <w:szCs w:val="28"/>
        </w:rPr>
        <w:t>支出减少</w:t>
      </w:r>
      <w:r>
        <w:rPr>
          <w:rFonts w:ascii="宋体" w:hAnsi="宋体" w:cs="宋体"/>
          <w:b w:val="0"/>
          <w:bCs/>
          <w:kern w:val="1"/>
          <w:sz w:val="28"/>
          <w:szCs w:val="28"/>
        </w:rPr>
        <w:t>。</w:t>
      </w:r>
    </w:p>
    <w:p>
      <w:pPr>
        <w:spacing w:line="640" w:lineRule="exact"/>
        <w:jc w:val="center"/>
        <w:outlineLvl w:val="0"/>
        <w:rPr>
          <w:rFonts w:ascii="宋体" w:hAnsi="宋体" w:cs="宋体"/>
          <w:b w:val="0"/>
          <w:bCs/>
          <w:kern w:val="1"/>
          <w:sz w:val="28"/>
          <w:szCs w:val="28"/>
        </w:rPr>
      </w:pPr>
      <w:r>
        <w:rPr>
          <w:rFonts w:ascii="宋体" w:hAnsi="宋体" w:cs="宋体"/>
          <w:b w:val="0"/>
          <w:bCs/>
          <w:kern w:val="1"/>
          <w:sz w:val="28"/>
          <w:szCs w:val="28"/>
        </w:rPr>
        <w:t>第三部分：机关运行经费安排情况</w:t>
      </w:r>
    </w:p>
    <w:p>
      <w:pPr>
        <w:spacing w:line="640" w:lineRule="exact"/>
        <w:ind w:firstLine="624"/>
        <w:outlineLvl w:val="0"/>
        <w:rPr>
          <w:rFonts w:hint="eastAsia" w:ascii="宋体" w:hAnsi="宋体" w:cs="宋体"/>
          <w:b w:val="0"/>
          <w:bCs/>
          <w:color w:val="auto"/>
          <w:kern w:val="1"/>
          <w:sz w:val="28"/>
          <w:szCs w:val="28"/>
        </w:rPr>
      </w:pPr>
      <w:r>
        <w:rPr>
          <w:rFonts w:ascii="宋体" w:hAnsi="宋体" w:cs="宋体"/>
          <w:b w:val="0"/>
          <w:bCs/>
          <w:kern w:val="1"/>
          <w:sz w:val="28"/>
          <w:szCs w:val="28"/>
        </w:rPr>
        <w:t>保定</w:t>
      </w:r>
      <w:r>
        <w:rPr>
          <w:rFonts w:ascii="宋体" w:hAnsi="宋体" w:cs="宋体"/>
          <w:b w:val="0"/>
          <w:bCs/>
          <w:color w:val="auto"/>
          <w:kern w:val="1"/>
          <w:sz w:val="28"/>
          <w:szCs w:val="28"/>
        </w:rPr>
        <w:t>市满城区</w:t>
      </w:r>
      <w:r>
        <w:rPr>
          <w:rFonts w:hint="eastAsia" w:ascii="宋体" w:hAnsi="宋体" w:cs="宋体"/>
          <w:b w:val="0"/>
          <w:bCs/>
          <w:color w:val="auto"/>
          <w:kern w:val="1"/>
          <w:sz w:val="28"/>
          <w:szCs w:val="28"/>
        </w:rPr>
        <w:t>自规局</w:t>
      </w:r>
      <w:r>
        <w:rPr>
          <w:rFonts w:ascii="宋体" w:hAnsi="宋体" w:cs="宋体"/>
          <w:b w:val="0"/>
          <w:bCs/>
          <w:color w:val="auto"/>
          <w:kern w:val="1"/>
          <w:sz w:val="28"/>
          <w:szCs w:val="28"/>
        </w:rPr>
        <w:t>机关运行经费的安排</w:t>
      </w:r>
      <w:r>
        <w:rPr>
          <w:rFonts w:hint="eastAsia" w:ascii="宋体" w:hAnsi="宋体" w:cs="宋体"/>
          <w:b w:val="0"/>
          <w:bCs/>
          <w:color w:val="auto"/>
          <w:kern w:val="1"/>
          <w:sz w:val="28"/>
          <w:szCs w:val="28"/>
        </w:rPr>
        <w:t>110.94</w:t>
      </w:r>
      <w:r>
        <w:rPr>
          <w:rFonts w:ascii="宋体" w:hAnsi="宋体" w:cs="宋体"/>
          <w:b w:val="0"/>
          <w:bCs/>
          <w:color w:val="auto"/>
          <w:kern w:val="1"/>
          <w:sz w:val="28"/>
          <w:szCs w:val="28"/>
        </w:rPr>
        <w:t>万元，其中办公费</w:t>
      </w:r>
      <w:r>
        <w:rPr>
          <w:rFonts w:hint="eastAsia" w:ascii="宋体" w:hAnsi="宋体" w:cs="宋体"/>
          <w:b w:val="0"/>
          <w:bCs/>
          <w:color w:val="auto"/>
          <w:kern w:val="1"/>
          <w:sz w:val="28"/>
          <w:szCs w:val="28"/>
        </w:rPr>
        <w:t>13.09</w:t>
      </w:r>
      <w:r>
        <w:rPr>
          <w:rFonts w:ascii="宋体" w:hAnsi="宋体" w:cs="宋体"/>
          <w:b w:val="0"/>
          <w:bCs/>
          <w:color w:val="auto"/>
          <w:kern w:val="1"/>
          <w:sz w:val="28"/>
          <w:szCs w:val="28"/>
        </w:rPr>
        <w:t>万元；水费</w:t>
      </w:r>
      <w:r>
        <w:rPr>
          <w:rFonts w:hint="eastAsia" w:ascii="宋体" w:hAnsi="宋体" w:cs="宋体"/>
          <w:b w:val="0"/>
          <w:bCs/>
          <w:color w:val="auto"/>
          <w:kern w:val="1"/>
          <w:sz w:val="28"/>
          <w:szCs w:val="28"/>
        </w:rPr>
        <w:t>2.81万元，电费9.35万元，</w:t>
      </w:r>
      <w:r>
        <w:rPr>
          <w:rFonts w:ascii="宋体" w:hAnsi="宋体" w:cs="宋体"/>
          <w:b w:val="0"/>
          <w:bCs/>
          <w:color w:val="auto"/>
          <w:kern w:val="1"/>
          <w:sz w:val="28"/>
          <w:szCs w:val="28"/>
        </w:rPr>
        <w:t>邮电费</w:t>
      </w:r>
      <w:r>
        <w:rPr>
          <w:rFonts w:hint="eastAsia" w:ascii="宋体" w:hAnsi="宋体" w:cs="宋体"/>
          <w:b w:val="0"/>
          <w:bCs/>
          <w:color w:val="auto"/>
          <w:kern w:val="1"/>
          <w:sz w:val="28"/>
          <w:szCs w:val="28"/>
        </w:rPr>
        <w:t>9.54</w:t>
      </w:r>
      <w:r>
        <w:rPr>
          <w:rFonts w:ascii="宋体" w:hAnsi="宋体" w:cs="宋体"/>
          <w:b w:val="0"/>
          <w:bCs/>
          <w:color w:val="auto"/>
          <w:kern w:val="1"/>
          <w:sz w:val="28"/>
          <w:szCs w:val="28"/>
        </w:rPr>
        <w:t>万元；取暖费17.18万元；</w:t>
      </w:r>
      <w:r>
        <w:rPr>
          <w:rFonts w:hint="eastAsia" w:ascii="宋体" w:hAnsi="宋体" w:cs="宋体"/>
          <w:b w:val="0"/>
          <w:bCs/>
          <w:color w:val="auto"/>
          <w:kern w:val="1"/>
          <w:sz w:val="28"/>
          <w:szCs w:val="28"/>
        </w:rPr>
        <w:t>差旅</w:t>
      </w:r>
      <w:r>
        <w:rPr>
          <w:rFonts w:ascii="宋体" w:hAnsi="宋体" w:cs="宋体"/>
          <w:b w:val="0"/>
          <w:bCs/>
          <w:color w:val="auto"/>
          <w:kern w:val="1"/>
          <w:sz w:val="28"/>
          <w:szCs w:val="28"/>
        </w:rPr>
        <w:t>费</w:t>
      </w:r>
      <w:r>
        <w:rPr>
          <w:rFonts w:hint="eastAsia" w:ascii="宋体" w:hAnsi="宋体" w:cs="宋体"/>
          <w:b w:val="0"/>
          <w:bCs/>
          <w:color w:val="auto"/>
          <w:kern w:val="1"/>
          <w:sz w:val="28"/>
          <w:szCs w:val="28"/>
        </w:rPr>
        <w:t>2.81</w:t>
      </w:r>
      <w:r>
        <w:rPr>
          <w:rFonts w:ascii="宋体" w:hAnsi="宋体" w:cs="宋体"/>
          <w:b w:val="0"/>
          <w:bCs/>
          <w:color w:val="auto"/>
          <w:kern w:val="1"/>
          <w:sz w:val="28"/>
          <w:szCs w:val="28"/>
        </w:rPr>
        <w:t>万元；公务接待费</w:t>
      </w:r>
      <w:r>
        <w:rPr>
          <w:rFonts w:hint="eastAsia" w:ascii="宋体" w:hAnsi="宋体" w:cs="宋体"/>
          <w:b w:val="0"/>
          <w:bCs/>
          <w:color w:val="auto"/>
          <w:kern w:val="1"/>
          <w:sz w:val="28"/>
          <w:szCs w:val="28"/>
        </w:rPr>
        <w:t>1.17万元，福利费16.48万元，</w:t>
      </w:r>
      <w:r>
        <w:rPr>
          <w:rFonts w:ascii="宋体" w:hAnsi="宋体" w:cs="宋体"/>
          <w:b w:val="0"/>
          <w:bCs/>
          <w:color w:val="auto"/>
          <w:kern w:val="1"/>
          <w:sz w:val="28"/>
          <w:szCs w:val="28"/>
        </w:rPr>
        <w:t>公务用车运行维护费</w:t>
      </w:r>
      <w:r>
        <w:rPr>
          <w:rFonts w:hint="eastAsia" w:ascii="宋体" w:hAnsi="宋体" w:cs="宋体"/>
          <w:b w:val="0"/>
          <w:bCs/>
          <w:color w:val="auto"/>
          <w:kern w:val="1"/>
          <w:sz w:val="28"/>
          <w:szCs w:val="28"/>
        </w:rPr>
        <w:t>18</w:t>
      </w:r>
      <w:r>
        <w:rPr>
          <w:rFonts w:ascii="宋体" w:hAnsi="宋体" w:cs="宋体"/>
          <w:b w:val="0"/>
          <w:bCs/>
          <w:color w:val="auto"/>
          <w:kern w:val="1"/>
          <w:sz w:val="28"/>
          <w:szCs w:val="28"/>
        </w:rPr>
        <w:t>万元</w:t>
      </w:r>
      <w:r>
        <w:rPr>
          <w:rFonts w:hint="eastAsia" w:ascii="宋体" w:hAnsi="宋体" w:cs="宋体"/>
          <w:b w:val="0"/>
          <w:bCs/>
          <w:color w:val="auto"/>
          <w:kern w:val="1"/>
          <w:sz w:val="28"/>
          <w:szCs w:val="28"/>
        </w:rPr>
        <w:t>，其他20.51万元。</w:t>
      </w:r>
    </w:p>
    <w:p>
      <w:pPr>
        <w:spacing w:line="640" w:lineRule="exact"/>
        <w:jc w:val="center"/>
        <w:outlineLvl w:val="0"/>
        <w:rPr>
          <w:rFonts w:ascii="宋体" w:hAnsi="宋体" w:cs="宋体"/>
          <w:b w:val="0"/>
          <w:bCs/>
          <w:color w:val="auto"/>
          <w:kern w:val="1"/>
          <w:sz w:val="28"/>
          <w:szCs w:val="28"/>
        </w:rPr>
      </w:pPr>
      <w:r>
        <w:rPr>
          <w:rFonts w:ascii="宋体" w:hAnsi="宋体" w:cs="宋体"/>
          <w:b w:val="0"/>
          <w:bCs/>
          <w:color w:val="auto"/>
          <w:kern w:val="1"/>
          <w:sz w:val="28"/>
          <w:szCs w:val="28"/>
        </w:rPr>
        <w:t>第四部分：财政拨款“三公”经费预算情况及增减变化原因</w:t>
      </w:r>
    </w:p>
    <w:p>
      <w:pPr>
        <w:spacing w:line="640" w:lineRule="exact"/>
        <w:outlineLvl w:val="0"/>
        <w:rPr>
          <w:rFonts w:ascii="宋体" w:hAnsi="宋体" w:cs="宋体"/>
          <w:b w:val="0"/>
          <w:bCs/>
          <w:kern w:val="1"/>
          <w:sz w:val="28"/>
          <w:szCs w:val="28"/>
        </w:rPr>
      </w:pPr>
    </w:p>
    <w:tbl>
      <w:tblPr>
        <w:tblStyle w:val="9"/>
        <w:tblW w:w="5000" w:type="pct"/>
        <w:tblInd w:w="0" w:type="dxa"/>
        <w:tblLayout w:type="fixed"/>
        <w:tblCellMar>
          <w:top w:w="0" w:type="dxa"/>
          <w:left w:w="108" w:type="dxa"/>
          <w:bottom w:w="0" w:type="dxa"/>
          <w:right w:w="108" w:type="dxa"/>
        </w:tblCellMar>
      </w:tblPr>
      <w:tblGrid>
        <w:gridCol w:w="1275"/>
        <w:gridCol w:w="1506"/>
        <w:gridCol w:w="1082"/>
        <w:gridCol w:w="1440"/>
        <w:gridCol w:w="4552"/>
      </w:tblGrid>
      <w:tr>
        <w:tblPrEx>
          <w:tblCellMar>
            <w:top w:w="0" w:type="dxa"/>
            <w:left w:w="108" w:type="dxa"/>
            <w:bottom w:w="0" w:type="dxa"/>
            <w:right w:w="108" w:type="dxa"/>
          </w:tblCellMar>
        </w:tblPrEx>
        <w:trPr>
          <w:trHeight w:val="405" w:hRule="atLeast"/>
        </w:trPr>
        <w:tc>
          <w:tcPr>
            <w:tcW w:w="5000" w:type="pct"/>
            <w:gridSpan w:val="5"/>
            <w:noWrap w:val="0"/>
            <w:vAlign w:val="center"/>
          </w:tcPr>
          <w:p>
            <w:pPr>
              <w:widowControl/>
              <w:spacing w:line="640" w:lineRule="exact"/>
              <w:jc w:val="center"/>
              <w:rPr>
                <w:rFonts w:ascii="宋体" w:hAnsi="宋体" w:cs="宋体"/>
                <w:b w:val="0"/>
                <w:bCs/>
                <w:sz w:val="28"/>
                <w:szCs w:val="28"/>
              </w:rPr>
            </w:pPr>
            <w:r>
              <w:rPr>
                <w:rFonts w:ascii="宋体" w:hAnsi="宋体" w:cs="宋体"/>
                <w:b w:val="0"/>
                <w:bCs/>
                <w:kern w:val="1"/>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646" w:type="pct"/>
            <w:noWrap w:val="0"/>
            <w:vAlign w:val="center"/>
          </w:tcPr>
          <w:p>
            <w:pPr>
              <w:widowControl/>
              <w:spacing w:line="640" w:lineRule="exact"/>
              <w:jc w:val="left"/>
              <w:rPr>
                <w:rFonts w:ascii="宋体" w:hAnsi="宋体" w:cs="宋体"/>
                <w:b w:val="0"/>
                <w:bCs/>
                <w:sz w:val="24"/>
                <w:szCs w:val="24"/>
              </w:rPr>
            </w:pPr>
          </w:p>
        </w:tc>
        <w:tc>
          <w:tcPr>
            <w:tcW w:w="764" w:type="pct"/>
            <w:noWrap w:val="0"/>
            <w:vAlign w:val="center"/>
          </w:tcPr>
          <w:p>
            <w:pPr>
              <w:widowControl/>
              <w:spacing w:line="640" w:lineRule="exact"/>
              <w:jc w:val="left"/>
              <w:rPr>
                <w:rFonts w:ascii="宋体" w:hAnsi="宋体" w:cs="宋体"/>
                <w:b w:val="0"/>
                <w:bCs/>
                <w:sz w:val="24"/>
                <w:szCs w:val="24"/>
              </w:rPr>
            </w:pPr>
          </w:p>
        </w:tc>
        <w:tc>
          <w:tcPr>
            <w:tcW w:w="548" w:type="pct"/>
            <w:noWrap w:val="0"/>
            <w:vAlign w:val="center"/>
          </w:tcPr>
          <w:p>
            <w:pPr>
              <w:widowControl/>
              <w:spacing w:line="640" w:lineRule="exact"/>
              <w:jc w:val="left"/>
              <w:rPr>
                <w:rFonts w:ascii="宋体" w:hAnsi="宋体" w:cs="宋体"/>
                <w:b w:val="0"/>
                <w:bCs/>
                <w:sz w:val="24"/>
                <w:szCs w:val="24"/>
              </w:rPr>
            </w:pPr>
          </w:p>
        </w:tc>
        <w:tc>
          <w:tcPr>
            <w:tcW w:w="730" w:type="pct"/>
            <w:noWrap w:val="0"/>
            <w:vAlign w:val="center"/>
          </w:tcPr>
          <w:p>
            <w:pPr>
              <w:widowControl/>
              <w:spacing w:line="640" w:lineRule="exact"/>
              <w:jc w:val="left"/>
              <w:rPr>
                <w:rFonts w:ascii="宋体" w:hAnsi="宋体" w:cs="宋体"/>
                <w:b w:val="0"/>
                <w:bCs/>
                <w:sz w:val="24"/>
                <w:szCs w:val="24"/>
              </w:rPr>
            </w:pPr>
          </w:p>
        </w:tc>
        <w:tc>
          <w:tcPr>
            <w:tcW w:w="2309" w:type="pct"/>
            <w:noWrap w:val="0"/>
            <w:vAlign w:val="center"/>
          </w:tcPr>
          <w:p>
            <w:pPr>
              <w:widowControl/>
              <w:spacing w:line="640" w:lineRule="exact"/>
              <w:jc w:val="right"/>
              <w:rPr>
                <w:rFonts w:ascii="宋体" w:hAnsi="宋体" w:cs="宋体"/>
                <w:b w:val="0"/>
                <w:bCs/>
                <w:sz w:val="24"/>
                <w:szCs w:val="24"/>
              </w:rPr>
            </w:pPr>
            <w:r>
              <w:rPr>
                <w:rFonts w:ascii="宋体" w:hAnsi="宋体" w:cs="宋体"/>
                <w:b w:val="0"/>
                <w:bCs/>
                <w:sz w:val="24"/>
                <w:szCs w:val="24"/>
              </w:rPr>
              <w:t>单位：万元</w:t>
            </w:r>
          </w:p>
        </w:tc>
      </w:tr>
      <w:tr>
        <w:tblPrEx>
          <w:tblCellMar>
            <w:top w:w="0" w:type="dxa"/>
            <w:left w:w="108" w:type="dxa"/>
            <w:bottom w:w="0" w:type="dxa"/>
            <w:right w:w="108" w:type="dxa"/>
          </w:tblCellMar>
        </w:tblPrEx>
        <w:trPr>
          <w:trHeight w:val="285" w:hRule="atLeast"/>
        </w:trPr>
        <w:tc>
          <w:tcPr>
            <w:tcW w:w="6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项目名称</w:t>
            </w:r>
          </w:p>
        </w:tc>
        <w:tc>
          <w:tcPr>
            <w:tcW w:w="764" w:type="pct"/>
            <w:tcBorders>
              <w:top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20</w:t>
            </w:r>
            <w:r>
              <w:rPr>
                <w:rFonts w:hint="eastAsia" w:ascii="宋体" w:hAnsi="宋体" w:cs="宋体"/>
                <w:b w:val="0"/>
                <w:bCs/>
                <w:sz w:val="24"/>
                <w:szCs w:val="24"/>
              </w:rPr>
              <w:t>20</w:t>
            </w:r>
            <w:r>
              <w:rPr>
                <w:rFonts w:ascii="宋体" w:hAnsi="宋体" w:cs="宋体"/>
                <w:b w:val="0"/>
                <w:bCs/>
                <w:sz w:val="24"/>
                <w:szCs w:val="24"/>
              </w:rPr>
              <w:t>年度预算</w:t>
            </w:r>
          </w:p>
        </w:tc>
        <w:tc>
          <w:tcPr>
            <w:tcW w:w="548" w:type="pct"/>
            <w:tcBorders>
              <w:top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20</w:t>
            </w:r>
            <w:r>
              <w:rPr>
                <w:rFonts w:hint="eastAsia" w:ascii="宋体" w:hAnsi="宋体" w:cs="宋体"/>
                <w:b w:val="0"/>
                <w:bCs/>
                <w:sz w:val="24"/>
                <w:szCs w:val="24"/>
              </w:rPr>
              <w:t>21</w:t>
            </w:r>
            <w:r>
              <w:rPr>
                <w:rFonts w:ascii="宋体" w:hAnsi="宋体" w:cs="宋体"/>
                <w:b w:val="0"/>
                <w:bCs/>
                <w:sz w:val="24"/>
                <w:szCs w:val="24"/>
              </w:rPr>
              <w:t>年度预算</w:t>
            </w:r>
          </w:p>
        </w:tc>
        <w:tc>
          <w:tcPr>
            <w:tcW w:w="730" w:type="pct"/>
            <w:tcBorders>
              <w:top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rPr>
              <w:t>减少</w:t>
            </w:r>
            <w:r>
              <w:rPr>
                <w:rFonts w:ascii="宋体" w:hAnsi="宋体" w:cs="宋体"/>
                <w:b w:val="0"/>
                <w:bCs/>
                <w:sz w:val="24"/>
                <w:szCs w:val="24"/>
              </w:rPr>
              <w:t>金额</w:t>
            </w:r>
          </w:p>
        </w:tc>
        <w:tc>
          <w:tcPr>
            <w:tcW w:w="2309" w:type="pct"/>
            <w:tcBorders>
              <w:top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lang w:eastAsia="zh-CN"/>
              </w:rPr>
              <w:t>增减变化原因</w:t>
            </w:r>
          </w:p>
        </w:tc>
      </w:tr>
      <w:tr>
        <w:tblPrEx>
          <w:tblCellMar>
            <w:top w:w="0" w:type="dxa"/>
            <w:left w:w="108" w:type="dxa"/>
            <w:bottom w:w="0" w:type="dxa"/>
            <w:right w:w="108" w:type="dxa"/>
          </w:tblCellMar>
        </w:tblPrEx>
        <w:trPr>
          <w:trHeight w:val="285" w:hRule="atLeast"/>
        </w:trPr>
        <w:tc>
          <w:tcPr>
            <w:tcW w:w="646" w:type="pct"/>
            <w:tcBorders>
              <w:left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因公出国经费</w:t>
            </w:r>
          </w:p>
        </w:tc>
        <w:tc>
          <w:tcPr>
            <w:tcW w:w="764"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0</w:t>
            </w:r>
          </w:p>
        </w:tc>
        <w:tc>
          <w:tcPr>
            <w:tcW w:w="548"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0</w:t>
            </w:r>
          </w:p>
        </w:tc>
        <w:tc>
          <w:tcPr>
            <w:tcW w:w="730"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0</w:t>
            </w:r>
          </w:p>
        </w:tc>
        <w:tc>
          <w:tcPr>
            <w:tcW w:w="2309" w:type="pct"/>
            <w:tcBorders>
              <w:bottom w:val="single" w:color="000000" w:sz="4" w:space="0"/>
              <w:right w:val="single" w:color="000000" w:sz="4" w:space="0"/>
            </w:tcBorders>
            <w:noWrap w:val="0"/>
            <w:vAlign w:val="center"/>
          </w:tcPr>
          <w:p>
            <w:pPr>
              <w:widowControl/>
              <w:spacing w:line="640" w:lineRule="exact"/>
              <w:jc w:val="left"/>
              <w:rPr>
                <w:rFonts w:ascii="宋体" w:hAnsi="宋体" w:cs="宋体"/>
                <w:b w:val="0"/>
                <w:bCs/>
                <w:sz w:val="24"/>
                <w:szCs w:val="24"/>
              </w:rPr>
            </w:pPr>
            <w:r>
              <w:rPr>
                <w:rFonts w:ascii="宋体" w:hAnsi="宋体" w:cs="宋体"/>
                <w:b w:val="0"/>
                <w:bCs/>
                <w:sz w:val="24"/>
                <w:szCs w:val="24"/>
              </w:rPr>
              <w:t>无增减变化</w:t>
            </w:r>
          </w:p>
        </w:tc>
      </w:tr>
      <w:tr>
        <w:tblPrEx>
          <w:tblCellMar>
            <w:top w:w="0" w:type="dxa"/>
            <w:left w:w="108" w:type="dxa"/>
            <w:bottom w:w="0" w:type="dxa"/>
            <w:right w:w="108" w:type="dxa"/>
          </w:tblCellMar>
        </w:tblPrEx>
        <w:trPr>
          <w:trHeight w:val="285" w:hRule="atLeast"/>
        </w:trPr>
        <w:tc>
          <w:tcPr>
            <w:tcW w:w="646" w:type="pct"/>
            <w:tcBorders>
              <w:left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公务用车购置经费</w:t>
            </w:r>
          </w:p>
        </w:tc>
        <w:tc>
          <w:tcPr>
            <w:tcW w:w="764"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0</w:t>
            </w:r>
          </w:p>
        </w:tc>
        <w:tc>
          <w:tcPr>
            <w:tcW w:w="548"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0</w:t>
            </w:r>
          </w:p>
        </w:tc>
        <w:tc>
          <w:tcPr>
            <w:tcW w:w="730"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0</w:t>
            </w:r>
          </w:p>
        </w:tc>
        <w:tc>
          <w:tcPr>
            <w:tcW w:w="2309" w:type="pct"/>
            <w:tcBorders>
              <w:bottom w:val="single" w:color="000000" w:sz="4" w:space="0"/>
              <w:right w:val="single" w:color="000000" w:sz="4" w:space="0"/>
            </w:tcBorders>
            <w:noWrap w:val="0"/>
            <w:vAlign w:val="center"/>
          </w:tcPr>
          <w:p>
            <w:pPr>
              <w:widowControl/>
              <w:spacing w:line="640" w:lineRule="exact"/>
              <w:jc w:val="left"/>
              <w:rPr>
                <w:rFonts w:ascii="宋体" w:hAnsi="宋体" w:cs="宋体"/>
                <w:b w:val="0"/>
                <w:bCs/>
                <w:sz w:val="24"/>
                <w:szCs w:val="24"/>
              </w:rPr>
            </w:pPr>
            <w:r>
              <w:rPr>
                <w:rFonts w:ascii="宋体" w:hAnsi="宋体" w:cs="宋体"/>
                <w:b w:val="0"/>
                <w:bCs/>
                <w:sz w:val="24"/>
                <w:szCs w:val="24"/>
              </w:rPr>
              <w:t>无增减变化</w:t>
            </w:r>
          </w:p>
        </w:tc>
      </w:tr>
      <w:tr>
        <w:tblPrEx>
          <w:tblCellMar>
            <w:top w:w="0" w:type="dxa"/>
            <w:left w:w="108" w:type="dxa"/>
            <w:bottom w:w="0" w:type="dxa"/>
            <w:right w:w="108" w:type="dxa"/>
          </w:tblCellMar>
        </w:tblPrEx>
        <w:trPr>
          <w:trHeight w:val="570" w:hRule="atLeast"/>
        </w:trPr>
        <w:tc>
          <w:tcPr>
            <w:tcW w:w="646" w:type="pct"/>
            <w:tcBorders>
              <w:left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公务用车运行经费</w:t>
            </w:r>
          </w:p>
        </w:tc>
        <w:tc>
          <w:tcPr>
            <w:tcW w:w="764"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rPr>
              <w:t>30</w:t>
            </w:r>
          </w:p>
        </w:tc>
        <w:tc>
          <w:tcPr>
            <w:tcW w:w="548"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rPr>
              <w:t>18</w:t>
            </w:r>
          </w:p>
        </w:tc>
        <w:tc>
          <w:tcPr>
            <w:tcW w:w="730"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lang w:val="en-US" w:eastAsia="zh-CN"/>
              </w:rPr>
              <w:t>-</w:t>
            </w:r>
            <w:r>
              <w:rPr>
                <w:rFonts w:hint="eastAsia" w:ascii="宋体" w:hAnsi="宋体" w:cs="宋体"/>
                <w:b w:val="0"/>
                <w:bCs/>
                <w:sz w:val="24"/>
                <w:szCs w:val="24"/>
              </w:rPr>
              <w:t>12</w:t>
            </w:r>
          </w:p>
        </w:tc>
        <w:tc>
          <w:tcPr>
            <w:tcW w:w="2309" w:type="pct"/>
            <w:tcBorders>
              <w:bottom w:val="single" w:color="000000" w:sz="4" w:space="0"/>
              <w:right w:val="single" w:color="000000" w:sz="4" w:space="0"/>
            </w:tcBorders>
            <w:noWrap w:val="0"/>
            <w:vAlign w:val="center"/>
          </w:tcPr>
          <w:p>
            <w:pPr>
              <w:widowControl/>
              <w:spacing w:line="640" w:lineRule="exact"/>
              <w:jc w:val="left"/>
              <w:rPr>
                <w:rFonts w:ascii="宋体" w:hAnsi="宋体" w:cs="宋体"/>
                <w:b w:val="0"/>
                <w:bCs/>
                <w:sz w:val="24"/>
                <w:szCs w:val="24"/>
              </w:rPr>
            </w:pPr>
            <w:r>
              <w:rPr>
                <w:rFonts w:hint="eastAsia" w:ascii="宋体" w:hAnsi="宋体" w:cs="宋体"/>
                <w:b w:val="0"/>
                <w:bCs/>
                <w:sz w:val="24"/>
                <w:szCs w:val="24"/>
              </w:rPr>
              <w:t>因为组织机构改革，</w:t>
            </w:r>
            <w:r>
              <w:rPr>
                <w:rFonts w:ascii="宋体" w:hAnsi="宋体" w:cs="宋体"/>
                <w:b w:val="0"/>
                <w:bCs/>
                <w:sz w:val="24"/>
                <w:szCs w:val="24"/>
              </w:rPr>
              <w:t>车辆</w:t>
            </w:r>
            <w:r>
              <w:rPr>
                <w:rFonts w:hint="eastAsia" w:ascii="宋体" w:hAnsi="宋体" w:cs="宋体"/>
                <w:b w:val="0"/>
                <w:bCs/>
                <w:sz w:val="24"/>
                <w:szCs w:val="24"/>
              </w:rPr>
              <w:t>减少，</w:t>
            </w:r>
            <w:r>
              <w:rPr>
                <w:rFonts w:ascii="宋体" w:hAnsi="宋体" w:cs="宋体"/>
                <w:b w:val="0"/>
                <w:bCs/>
                <w:sz w:val="24"/>
                <w:szCs w:val="24"/>
              </w:rPr>
              <w:t>所以经费</w:t>
            </w:r>
            <w:r>
              <w:rPr>
                <w:rFonts w:hint="eastAsia" w:ascii="宋体" w:hAnsi="宋体" w:cs="宋体"/>
                <w:b w:val="0"/>
                <w:bCs/>
                <w:sz w:val="24"/>
                <w:szCs w:val="24"/>
              </w:rPr>
              <w:t>减少。</w:t>
            </w:r>
          </w:p>
        </w:tc>
      </w:tr>
      <w:tr>
        <w:tblPrEx>
          <w:tblCellMar>
            <w:top w:w="0" w:type="dxa"/>
            <w:left w:w="108" w:type="dxa"/>
            <w:bottom w:w="0" w:type="dxa"/>
            <w:right w:w="108" w:type="dxa"/>
          </w:tblCellMar>
        </w:tblPrEx>
        <w:trPr>
          <w:trHeight w:val="855" w:hRule="atLeast"/>
        </w:trPr>
        <w:tc>
          <w:tcPr>
            <w:tcW w:w="646" w:type="pct"/>
            <w:tcBorders>
              <w:left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公务接待费支出</w:t>
            </w:r>
          </w:p>
        </w:tc>
        <w:tc>
          <w:tcPr>
            <w:tcW w:w="764"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rPr>
              <w:t>1.3</w:t>
            </w:r>
          </w:p>
        </w:tc>
        <w:tc>
          <w:tcPr>
            <w:tcW w:w="548"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rPr>
              <w:t>1.17</w:t>
            </w:r>
          </w:p>
        </w:tc>
        <w:tc>
          <w:tcPr>
            <w:tcW w:w="730"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lang w:val="en-US" w:eastAsia="zh-CN"/>
              </w:rPr>
              <w:t>-</w:t>
            </w:r>
            <w:r>
              <w:rPr>
                <w:rFonts w:hint="eastAsia" w:ascii="宋体" w:hAnsi="宋体" w:cs="宋体"/>
                <w:b w:val="0"/>
                <w:bCs/>
                <w:sz w:val="24"/>
                <w:szCs w:val="24"/>
              </w:rPr>
              <w:t>0.13</w:t>
            </w:r>
          </w:p>
        </w:tc>
        <w:tc>
          <w:tcPr>
            <w:tcW w:w="2309" w:type="pct"/>
            <w:tcBorders>
              <w:bottom w:val="single" w:color="000000" w:sz="4" w:space="0"/>
              <w:right w:val="single" w:color="000000" w:sz="4" w:space="0"/>
            </w:tcBorders>
            <w:noWrap w:val="0"/>
            <w:vAlign w:val="center"/>
          </w:tcPr>
          <w:p>
            <w:pPr>
              <w:widowControl/>
              <w:spacing w:line="640" w:lineRule="exact"/>
              <w:jc w:val="left"/>
              <w:rPr>
                <w:rFonts w:hint="eastAsia" w:ascii="宋体" w:hAnsi="宋体" w:eastAsia="宋体" w:cs="宋体"/>
                <w:b w:val="0"/>
                <w:bCs/>
                <w:sz w:val="24"/>
                <w:szCs w:val="24"/>
                <w:lang w:eastAsia="zh-CN"/>
              </w:rPr>
            </w:pPr>
            <w:r>
              <w:rPr>
                <w:rFonts w:hint="eastAsia" w:ascii="宋体" w:hAnsi="宋体" w:cs="宋体"/>
                <w:b w:val="0"/>
                <w:bCs/>
                <w:sz w:val="24"/>
                <w:szCs w:val="24"/>
                <w:lang w:eastAsia="zh-CN"/>
              </w:rPr>
              <w:t>按比例计提</w:t>
            </w:r>
          </w:p>
        </w:tc>
      </w:tr>
      <w:tr>
        <w:tblPrEx>
          <w:tblCellMar>
            <w:top w:w="0" w:type="dxa"/>
            <w:left w:w="108" w:type="dxa"/>
            <w:bottom w:w="0" w:type="dxa"/>
            <w:right w:w="108" w:type="dxa"/>
          </w:tblCellMar>
        </w:tblPrEx>
        <w:trPr>
          <w:trHeight w:val="1140" w:hRule="atLeast"/>
        </w:trPr>
        <w:tc>
          <w:tcPr>
            <w:tcW w:w="646" w:type="pct"/>
            <w:tcBorders>
              <w:left w:val="single" w:color="000000" w:sz="4" w:space="0"/>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ascii="宋体" w:hAnsi="宋体" w:cs="宋体"/>
                <w:b w:val="0"/>
                <w:bCs/>
                <w:sz w:val="24"/>
                <w:szCs w:val="24"/>
              </w:rPr>
              <w:t>合计</w:t>
            </w:r>
          </w:p>
        </w:tc>
        <w:tc>
          <w:tcPr>
            <w:tcW w:w="764"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rPr>
              <w:t>31.3</w:t>
            </w:r>
          </w:p>
        </w:tc>
        <w:tc>
          <w:tcPr>
            <w:tcW w:w="548" w:type="pct"/>
            <w:tcBorders>
              <w:bottom w:val="single" w:color="000000" w:sz="4" w:space="0"/>
              <w:right w:val="single" w:color="000000" w:sz="4" w:space="0"/>
            </w:tcBorders>
            <w:noWrap w:val="0"/>
            <w:vAlign w:val="center"/>
          </w:tcPr>
          <w:p>
            <w:pPr>
              <w:widowControl/>
              <w:spacing w:line="640" w:lineRule="exact"/>
              <w:jc w:val="center"/>
              <w:rPr>
                <w:rFonts w:hint="eastAsia" w:ascii="宋体" w:hAnsi="宋体" w:cs="宋体"/>
                <w:b w:val="0"/>
                <w:bCs/>
                <w:sz w:val="24"/>
                <w:szCs w:val="24"/>
              </w:rPr>
            </w:pPr>
            <w:r>
              <w:rPr>
                <w:rFonts w:hint="eastAsia" w:ascii="宋体" w:hAnsi="宋体" w:cs="宋体"/>
                <w:b w:val="0"/>
                <w:bCs/>
                <w:sz w:val="24"/>
                <w:szCs w:val="24"/>
              </w:rPr>
              <w:t>19.17</w:t>
            </w:r>
          </w:p>
          <w:p>
            <w:pPr>
              <w:widowControl/>
              <w:spacing w:line="640" w:lineRule="exact"/>
              <w:jc w:val="center"/>
              <w:rPr>
                <w:rFonts w:ascii="宋体" w:hAnsi="宋体" w:cs="宋体"/>
                <w:b w:val="0"/>
                <w:bCs/>
                <w:sz w:val="24"/>
                <w:szCs w:val="24"/>
              </w:rPr>
            </w:pPr>
          </w:p>
        </w:tc>
        <w:tc>
          <w:tcPr>
            <w:tcW w:w="730" w:type="pct"/>
            <w:tcBorders>
              <w:bottom w:val="single" w:color="000000" w:sz="4" w:space="0"/>
              <w:right w:val="single" w:color="000000" w:sz="4" w:space="0"/>
            </w:tcBorders>
            <w:noWrap w:val="0"/>
            <w:vAlign w:val="center"/>
          </w:tcPr>
          <w:p>
            <w:pPr>
              <w:widowControl/>
              <w:spacing w:line="640" w:lineRule="exact"/>
              <w:jc w:val="center"/>
              <w:rPr>
                <w:rFonts w:ascii="宋体" w:hAnsi="宋体" w:cs="宋体"/>
                <w:b w:val="0"/>
                <w:bCs/>
                <w:sz w:val="24"/>
                <w:szCs w:val="24"/>
              </w:rPr>
            </w:pPr>
            <w:r>
              <w:rPr>
                <w:rFonts w:hint="eastAsia" w:ascii="宋体" w:hAnsi="宋体" w:cs="宋体"/>
                <w:b w:val="0"/>
                <w:bCs/>
                <w:sz w:val="24"/>
                <w:szCs w:val="24"/>
                <w:lang w:val="en-US" w:eastAsia="zh-CN"/>
              </w:rPr>
              <w:t>-</w:t>
            </w:r>
            <w:r>
              <w:rPr>
                <w:rFonts w:hint="eastAsia" w:ascii="宋体" w:hAnsi="宋体" w:cs="宋体"/>
                <w:b w:val="0"/>
                <w:bCs/>
                <w:sz w:val="24"/>
                <w:szCs w:val="24"/>
              </w:rPr>
              <w:t>12.13</w:t>
            </w:r>
          </w:p>
        </w:tc>
        <w:tc>
          <w:tcPr>
            <w:tcW w:w="2309" w:type="pct"/>
            <w:tcBorders>
              <w:bottom w:val="single" w:color="000000" w:sz="4" w:space="0"/>
              <w:right w:val="single" w:color="000000" w:sz="4" w:space="0"/>
            </w:tcBorders>
            <w:noWrap w:val="0"/>
            <w:vAlign w:val="center"/>
          </w:tcPr>
          <w:p>
            <w:pPr>
              <w:widowControl/>
              <w:spacing w:line="640" w:lineRule="exact"/>
              <w:jc w:val="left"/>
              <w:rPr>
                <w:rFonts w:ascii="宋体" w:hAnsi="宋体" w:cs="宋体"/>
                <w:b w:val="0"/>
                <w:bCs/>
                <w:sz w:val="24"/>
                <w:szCs w:val="24"/>
              </w:rPr>
            </w:pPr>
            <w:r>
              <w:rPr>
                <w:rFonts w:hint="eastAsia" w:ascii="宋体" w:hAnsi="宋体" w:cs="宋体"/>
                <w:b w:val="0"/>
                <w:bCs/>
                <w:sz w:val="24"/>
                <w:szCs w:val="24"/>
              </w:rPr>
              <w:t>因为组织机构改革，</w:t>
            </w:r>
            <w:r>
              <w:rPr>
                <w:rFonts w:ascii="宋体" w:hAnsi="宋体" w:cs="宋体"/>
                <w:b w:val="0"/>
                <w:bCs/>
                <w:sz w:val="24"/>
                <w:szCs w:val="24"/>
              </w:rPr>
              <w:t>车辆</w:t>
            </w:r>
            <w:r>
              <w:rPr>
                <w:rFonts w:hint="eastAsia" w:ascii="宋体" w:hAnsi="宋体" w:cs="宋体"/>
                <w:b w:val="0"/>
                <w:bCs/>
                <w:sz w:val="24"/>
                <w:szCs w:val="24"/>
              </w:rPr>
              <w:t>减少，</w:t>
            </w:r>
            <w:r>
              <w:rPr>
                <w:rFonts w:ascii="宋体" w:hAnsi="宋体" w:cs="宋体"/>
                <w:b w:val="0"/>
                <w:bCs/>
                <w:sz w:val="24"/>
                <w:szCs w:val="24"/>
              </w:rPr>
              <w:t>所以经费</w:t>
            </w:r>
            <w:r>
              <w:rPr>
                <w:rFonts w:hint="eastAsia" w:ascii="宋体" w:hAnsi="宋体" w:cs="宋体"/>
                <w:b w:val="0"/>
                <w:bCs/>
                <w:sz w:val="24"/>
                <w:szCs w:val="24"/>
              </w:rPr>
              <w:t>减少</w:t>
            </w:r>
            <w:r>
              <w:rPr>
                <w:rFonts w:hint="eastAsia" w:ascii="宋体" w:hAnsi="宋体" w:cs="宋体"/>
                <w:b w:val="0"/>
                <w:bCs/>
                <w:sz w:val="24"/>
                <w:szCs w:val="24"/>
                <w:lang w:eastAsia="zh-CN"/>
              </w:rPr>
              <w:t>，公务接待费按比例计提</w:t>
            </w:r>
            <w:r>
              <w:rPr>
                <w:rFonts w:hint="eastAsia" w:ascii="宋体" w:hAnsi="宋体" w:cs="宋体"/>
                <w:b w:val="0"/>
                <w:bCs/>
                <w:sz w:val="24"/>
                <w:szCs w:val="24"/>
              </w:rPr>
              <w:t>。</w:t>
            </w:r>
          </w:p>
        </w:tc>
      </w:tr>
    </w:tbl>
    <w:p>
      <w:pPr>
        <w:spacing w:line="640" w:lineRule="exact"/>
        <w:jc w:val="center"/>
        <w:outlineLvl w:val="0"/>
        <w:rPr>
          <w:rFonts w:hint="eastAsia" w:ascii="宋体" w:hAnsi="宋体" w:cs="宋体"/>
          <w:b w:val="0"/>
          <w:bCs/>
          <w:kern w:val="1"/>
          <w:sz w:val="32"/>
          <w:szCs w:val="32"/>
        </w:rPr>
      </w:pPr>
    </w:p>
    <w:p>
      <w:pPr>
        <w:spacing w:line="640" w:lineRule="exact"/>
        <w:jc w:val="center"/>
        <w:outlineLvl w:val="0"/>
        <w:rPr>
          <w:rFonts w:hint="eastAsia" w:ascii="宋体" w:hAnsi="宋体" w:cs="宋体"/>
          <w:b w:val="0"/>
          <w:bCs/>
          <w:kern w:val="1"/>
          <w:sz w:val="32"/>
          <w:szCs w:val="32"/>
        </w:rPr>
      </w:pPr>
    </w:p>
    <w:p>
      <w:pPr>
        <w:spacing w:line="640" w:lineRule="exact"/>
        <w:jc w:val="center"/>
        <w:outlineLvl w:val="0"/>
        <w:rPr>
          <w:rFonts w:ascii="宋体" w:hAnsi="宋体" w:cs="宋体"/>
          <w:b w:val="0"/>
          <w:bCs/>
          <w:kern w:val="1"/>
          <w:sz w:val="32"/>
          <w:szCs w:val="32"/>
        </w:rPr>
      </w:pPr>
      <w:r>
        <w:rPr>
          <w:rFonts w:ascii="宋体" w:hAnsi="宋体" w:cs="宋体"/>
          <w:b w:val="0"/>
          <w:bCs/>
          <w:kern w:val="1"/>
          <w:sz w:val="32"/>
          <w:szCs w:val="32"/>
        </w:rPr>
        <w:t>第五部分：绩效预算信息</w:t>
      </w:r>
    </w:p>
    <w:p>
      <w:pPr>
        <w:numPr>
          <w:ilvl w:val="0"/>
          <w:numId w:val="1"/>
        </w:numPr>
        <w:spacing w:line="640" w:lineRule="exact"/>
        <w:outlineLvl w:val="0"/>
        <w:rPr>
          <w:rFonts w:hint="eastAsia" w:ascii="宋体" w:hAnsi="宋体" w:cs="仿宋"/>
          <w:b w:val="0"/>
          <w:bCs/>
          <w:kern w:val="1"/>
          <w:sz w:val="28"/>
          <w:szCs w:val="28"/>
        </w:rPr>
      </w:pPr>
      <w:r>
        <w:rPr>
          <w:rFonts w:hint="eastAsia" w:ascii="宋体" w:hAnsi="宋体" w:cs="仿宋"/>
          <w:b w:val="0"/>
          <w:bCs/>
          <w:kern w:val="1"/>
          <w:sz w:val="28"/>
          <w:szCs w:val="28"/>
        </w:rPr>
        <w:t>总体绩效目标</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20</w:t>
      </w:r>
      <w:r>
        <w:rPr>
          <w:rFonts w:hint="eastAsia" w:ascii="宋体" w:hAnsi="宋体" w:cs="仿宋"/>
          <w:b w:val="0"/>
          <w:bCs/>
          <w:kern w:val="1"/>
          <w:sz w:val="28"/>
          <w:szCs w:val="28"/>
        </w:rPr>
        <w:t>21</w:t>
      </w:r>
      <w:r>
        <w:rPr>
          <w:rFonts w:ascii="宋体" w:hAnsi="宋体" w:cs="仿宋"/>
          <w:b w:val="0"/>
          <w:bCs/>
          <w:kern w:val="1"/>
          <w:sz w:val="28"/>
          <w:szCs w:val="28"/>
        </w:rPr>
        <w:t>年是落实</w:t>
      </w:r>
      <w:r>
        <w:rPr>
          <w:rFonts w:hint="eastAsia" w:ascii="宋体" w:hAnsi="宋体" w:cs="仿宋"/>
          <w:b w:val="0"/>
          <w:bCs/>
          <w:kern w:val="1"/>
          <w:sz w:val="28"/>
          <w:szCs w:val="28"/>
          <w:lang w:eastAsia="zh-CN"/>
        </w:rPr>
        <w:t>党的</w:t>
      </w:r>
      <w:r>
        <w:rPr>
          <w:rFonts w:hint="eastAsia" w:ascii="宋体" w:hAnsi="宋体" w:cs="仿宋"/>
          <w:b w:val="0"/>
          <w:bCs/>
          <w:kern w:val="1"/>
          <w:sz w:val="28"/>
          <w:szCs w:val="28"/>
        </w:rPr>
        <w:t>十九大精神的</w:t>
      </w:r>
      <w:r>
        <w:rPr>
          <w:rFonts w:ascii="宋体" w:hAnsi="宋体" w:cs="仿宋"/>
          <w:b w:val="0"/>
          <w:bCs/>
          <w:kern w:val="1"/>
          <w:sz w:val="28"/>
          <w:szCs w:val="28"/>
        </w:rPr>
        <w:t>重要一年，也是京津冀协同发展全面推进的关键之年，也是打造保定西花园、建设京南保西魅力新区的夯基固本之年。我们要围绕区委区政府中心工作和省厅的部署要求，牢固树立和贯彻落实新发展理念，适应把握引领经济发展新常态，坚持尽职尽责保护国土资源、节约集约利用国土资源、尽心尽力维护群众权益，加强管理，深化改革，扎实开展作风整顿，为“把保定建设成为创新驱动经济强市、实现保定崛起和复兴”</w:t>
      </w:r>
      <w:r>
        <w:rPr>
          <w:rFonts w:hint="eastAsia" w:ascii="宋体" w:hAnsi="宋体" w:cs="仿宋"/>
          <w:b w:val="0"/>
          <w:bCs/>
          <w:kern w:val="1"/>
          <w:sz w:val="28"/>
          <w:szCs w:val="28"/>
          <w:lang w:eastAsia="zh-CN"/>
        </w:rPr>
        <w:t>作出更大贡献</w:t>
      </w:r>
      <w:r>
        <w:rPr>
          <w:rFonts w:ascii="宋体" w:hAnsi="宋体" w:cs="仿宋"/>
          <w:b w:val="0"/>
          <w:bCs/>
          <w:kern w:val="1"/>
          <w:sz w:val="28"/>
          <w:szCs w:val="28"/>
        </w:rPr>
        <w:t>。</w:t>
      </w:r>
    </w:p>
    <w:p>
      <w:pPr>
        <w:spacing w:line="640" w:lineRule="exact"/>
        <w:ind w:firstLine="280" w:firstLineChars="100"/>
        <w:outlineLvl w:val="0"/>
        <w:rPr>
          <w:rFonts w:ascii="宋体" w:hAnsi="宋体" w:cs="仿宋"/>
          <w:b w:val="0"/>
          <w:bCs/>
          <w:kern w:val="1"/>
          <w:sz w:val="28"/>
          <w:szCs w:val="28"/>
        </w:rPr>
      </w:pPr>
      <w:r>
        <w:rPr>
          <w:rFonts w:ascii="宋体" w:hAnsi="宋体" w:cs="仿宋"/>
          <w:b w:val="0"/>
          <w:bCs/>
          <w:kern w:val="1"/>
          <w:sz w:val="28"/>
          <w:szCs w:val="28"/>
        </w:rPr>
        <w:t>（一）关于土地整治工作。</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1、认真贯彻落实《中共中央国务院关于加强耕地保护和改进占补平衡的意见》，坚持补充耕地数量与提高质量并重的原则，严格落实耕地占补平衡主体责任，强化补充耕地任务，对没立项的抓紧立项，已立项的占补项目要确保质量、抓紧实施，拓展补充耕地渠道，统筹实施土地整治，新增耕地经核定后可用于落实补充耕地任务。</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2、要做好基本农田保护工作。全面落实永久基本农田划定“落地块、明责任、设标志、建表册、入图库”五项任务，及时做好数据库审核备案。</w:t>
      </w:r>
    </w:p>
    <w:p>
      <w:pPr>
        <w:spacing w:line="640" w:lineRule="exact"/>
        <w:outlineLvl w:val="0"/>
        <w:rPr>
          <w:rFonts w:ascii="宋体" w:hAnsi="宋体" w:cs="仿宋"/>
          <w:b w:val="0"/>
          <w:bCs/>
          <w:kern w:val="1"/>
          <w:sz w:val="28"/>
          <w:szCs w:val="28"/>
        </w:rPr>
      </w:pPr>
      <w:r>
        <w:rPr>
          <w:rFonts w:ascii="宋体" w:hAnsi="宋体" w:cs="仿宋"/>
          <w:b w:val="0"/>
          <w:bCs/>
          <w:kern w:val="1"/>
          <w:sz w:val="28"/>
          <w:szCs w:val="28"/>
        </w:rPr>
        <w:t>（二）关于露天矿山污染深度整治工作。在去年工作的基础上，做好已完工项目的后期监管与维护，加强矿山地质环境恢复治理日常监管，督促生产矿山企业严格落实矿产资源开发利用方案、矿山土质环境保护与土地复垦方案，实现边开采、边治理、边恢复、边复垦。</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（三）关于执法监察工作。一是对20</w:t>
      </w:r>
      <w:r>
        <w:rPr>
          <w:rFonts w:hint="eastAsia" w:ascii="宋体" w:hAnsi="宋体" w:cs="仿宋"/>
          <w:b w:val="0"/>
          <w:bCs/>
          <w:kern w:val="1"/>
          <w:sz w:val="28"/>
          <w:szCs w:val="28"/>
        </w:rPr>
        <w:t>21</w:t>
      </w:r>
      <w:r>
        <w:rPr>
          <w:rFonts w:ascii="宋体" w:hAnsi="宋体" w:cs="仿宋"/>
          <w:b w:val="0"/>
          <w:bCs/>
          <w:kern w:val="1"/>
          <w:sz w:val="28"/>
          <w:szCs w:val="28"/>
        </w:rPr>
        <w:t>年度以前的违法用地继续完成“清零”任务，能拆则拆，能补则补，对符合规划的要抓紧完善用地手续，确保20</w:t>
      </w:r>
      <w:r>
        <w:rPr>
          <w:rFonts w:hint="eastAsia" w:ascii="宋体" w:hAnsi="宋体" w:cs="仿宋"/>
          <w:b w:val="0"/>
          <w:bCs/>
          <w:kern w:val="1"/>
          <w:sz w:val="28"/>
          <w:szCs w:val="28"/>
        </w:rPr>
        <w:t>21</w:t>
      </w:r>
      <w:r>
        <w:rPr>
          <w:rFonts w:ascii="宋体" w:hAnsi="宋体" w:cs="仿宋"/>
          <w:b w:val="0"/>
          <w:bCs/>
          <w:kern w:val="1"/>
          <w:sz w:val="28"/>
          <w:szCs w:val="28"/>
        </w:rPr>
        <w:t>年全年占用耕地“零”违法。二是严厉打击新增违法用地、非法采矿、盗采砂石行为，建立“网格化”监管机制，重拳出击，以雷霆之力迅速拆除违法建筑及设施，将违法占地行为消除在萌芽状态。</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四）关于不动产统一登记工作。全力推进不动产登记工作，完善工作流程，实现登记机构、登记簿册、登记依据、信息平台“四统一”。建立归属清晰、权责明确、保护严格、流转顺畅的不动产统一登记体系。推进农村宅基地和集体建设用地确权发证工作。</w:t>
      </w:r>
    </w:p>
    <w:p>
      <w:pPr>
        <w:spacing w:line="640" w:lineRule="exact"/>
        <w:ind w:firstLine="560" w:firstLineChars="200"/>
        <w:outlineLvl w:val="0"/>
        <w:rPr>
          <w:rFonts w:ascii="宋体" w:hAnsi="宋体" w:cs="仿宋"/>
          <w:b w:val="0"/>
          <w:bCs/>
          <w:kern w:val="1"/>
          <w:sz w:val="28"/>
          <w:szCs w:val="28"/>
        </w:rPr>
      </w:pPr>
      <w:r>
        <w:rPr>
          <w:rFonts w:hint="eastAsia" w:ascii="宋体" w:hAnsi="宋体" w:cs="仿宋"/>
          <w:b w:val="0"/>
          <w:bCs/>
          <w:kern w:val="1"/>
          <w:sz w:val="28"/>
          <w:szCs w:val="28"/>
        </w:rPr>
        <w:t>（五）关于土地节约集约利用工作。积极开展开发区内土地集约利用评价工作和耕地质量更新评价工作；积极跑部进厅，争取新增建设用地指标；深入挖潜盘活建设用地存量，全力推进新民居建设的拆旧工作，破解增减挂钩政策；加大对闲置土地的处置力度，提高低效土地利用率，多渠道保障项目用地。对批而未供土地进行逐宗梳理，根据每个地块的情况制定供地方案，对有条件的地块加快供地进度，确保供地率</w:t>
      </w:r>
      <w:r>
        <w:rPr>
          <w:rFonts w:ascii="宋体" w:hAnsi="宋体" w:cs="仿宋"/>
          <w:b w:val="0"/>
          <w:bCs/>
          <w:kern w:val="1"/>
          <w:sz w:val="28"/>
          <w:szCs w:val="28"/>
        </w:rPr>
        <w:t>。</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w:t>
      </w:r>
      <w:r>
        <w:rPr>
          <w:rFonts w:hint="eastAsia" w:ascii="宋体" w:hAnsi="宋体" w:cs="仿宋"/>
          <w:b w:val="0"/>
          <w:bCs/>
          <w:kern w:val="1"/>
          <w:sz w:val="28"/>
          <w:szCs w:val="28"/>
        </w:rPr>
        <w:t>六</w:t>
      </w:r>
      <w:r>
        <w:rPr>
          <w:rFonts w:ascii="宋体" w:hAnsi="宋体" w:cs="仿宋"/>
          <w:b w:val="0"/>
          <w:bCs/>
          <w:kern w:val="1"/>
          <w:sz w:val="28"/>
          <w:szCs w:val="28"/>
        </w:rPr>
        <w:t>）关于露天矿山企业主动退出工作。严格落实《中共保定市满城区委保定市满城区人民政府关于鼓励露天矿山主动关闭退出工作的实施意见》（满字[2016]12号）文件，加快推进露天矿山企业有序退出。探索矿山企业“去产能”工程，构建交易平台，通过矿山整合集中和矿山减量化管理，大力消减矿山企业数量，缓解矿山退出政府资金压力。</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w:t>
      </w:r>
      <w:r>
        <w:rPr>
          <w:rFonts w:hint="eastAsia" w:ascii="宋体" w:hAnsi="宋体" w:cs="仿宋"/>
          <w:b w:val="0"/>
          <w:bCs/>
          <w:kern w:val="1"/>
          <w:sz w:val="28"/>
          <w:szCs w:val="28"/>
        </w:rPr>
        <w:t>七</w:t>
      </w:r>
      <w:r>
        <w:rPr>
          <w:rFonts w:ascii="宋体" w:hAnsi="宋体" w:cs="仿宋"/>
          <w:b w:val="0"/>
          <w:bCs/>
          <w:kern w:val="1"/>
          <w:sz w:val="28"/>
          <w:szCs w:val="28"/>
        </w:rPr>
        <w:t>）关于地理信息工作。“数字满城地理空间框架建设”项目，要积极做好地理信息服务保障工作，认真做好完善维护测绘基准、基础地理信息数据生产、开展地理国情监测、建立应急测绘保障体系、丰富地理信息公共服务产品等工作，为促进“十三五”基础测绘发展奠定基础。</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w:t>
      </w:r>
      <w:r>
        <w:rPr>
          <w:rFonts w:hint="eastAsia" w:ascii="宋体" w:hAnsi="宋体" w:cs="仿宋"/>
          <w:b w:val="0"/>
          <w:bCs/>
          <w:kern w:val="1"/>
          <w:sz w:val="28"/>
          <w:szCs w:val="28"/>
        </w:rPr>
        <w:t>八</w:t>
      </w:r>
      <w:r>
        <w:rPr>
          <w:rFonts w:ascii="宋体" w:hAnsi="宋体" w:cs="仿宋"/>
          <w:b w:val="0"/>
          <w:bCs/>
          <w:kern w:val="1"/>
          <w:sz w:val="28"/>
          <w:szCs w:val="28"/>
        </w:rPr>
        <w:t>）关于安全生产和地质灾害防治工作。加强对全区地质灾害隐患点的监管，严格落实省厅对警示牌的相关要求，重新设立地质灾害警示牌，全面落实群测群防和巡查监测制度，坚持雨前排查、雨中巡查、雨后复查，切实加强预警预报，开展地质灾害知识培训和应急演练，做好应急处置，有效避免或减轻地质灾害造成的人员伤亡和财产损失。</w:t>
      </w:r>
    </w:p>
    <w:p>
      <w:pPr>
        <w:spacing w:line="640" w:lineRule="exact"/>
        <w:ind w:firstLine="560" w:firstLineChars="200"/>
        <w:outlineLvl w:val="0"/>
        <w:rPr>
          <w:rFonts w:ascii="宋体" w:hAnsi="宋体" w:cs="仿宋"/>
          <w:b w:val="0"/>
          <w:bCs/>
          <w:kern w:val="1"/>
          <w:sz w:val="28"/>
          <w:szCs w:val="28"/>
        </w:rPr>
      </w:pPr>
      <w:r>
        <w:rPr>
          <w:rFonts w:ascii="宋体" w:hAnsi="宋体" w:cs="仿宋"/>
          <w:b w:val="0"/>
          <w:bCs/>
          <w:kern w:val="1"/>
          <w:sz w:val="28"/>
          <w:szCs w:val="28"/>
        </w:rPr>
        <w:t>（</w:t>
      </w:r>
      <w:r>
        <w:rPr>
          <w:rFonts w:hint="eastAsia" w:ascii="宋体" w:hAnsi="宋体" w:cs="仿宋"/>
          <w:b w:val="0"/>
          <w:bCs/>
          <w:kern w:val="1"/>
          <w:sz w:val="28"/>
          <w:szCs w:val="28"/>
        </w:rPr>
        <w:t>九</w:t>
      </w:r>
      <w:r>
        <w:rPr>
          <w:rFonts w:ascii="宋体" w:hAnsi="宋体" w:cs="仿宋"/>
          <w:b w:val="0"/>
          <w:bCs/>
          <w:kern w:val="1"/>
          <w:sz w:val="28"/>
          <w:szCs w:val="28"/>
        </w:rPr>
        <w:t>）关于信访稳定工作。一是强化重点人员的排查稳控，制定有效稳控措施，确保不出现漏查失控问题。二是推进“入村访宣”工作，主动开展重点约访、带案下访，最大限度地把矛盾解决在基层，把人员吸附在当地。</w:t>
      </w:r>
    </w:p>
    <w:p>
      <w:pPr>
        <w:spacing w:line="640" w:lineRule="exact"/>
        <w:outlineLvl w:val="0"/>
        <w:rPr>
          <w:rFonts w:hint="eastAsia" w:ascii="宋体" w:hAnsi="宋体" w:cs="仿宋"/>
          <w:b w:val="0"/>
          <w:bCs/>
          <w:kern w:val="1"/>
          <w:sz w:val="28"/>
          <w:szCs w:val="28"/>
        </w:rPr>
        <w:sectPr>
          <w:pgSz w:w="11907" w:h="16839"/>
          <w:pgMar w:top="1531" w:right="1134" w:bottom="1474" w:left="1134" w:header="851" w:footer="992" w:gutter="0"/>
          <w:cols w:space="720" w:num="1"/>
          <w:docGrid w:linePitch="312" w:charSpace="0"/>
        </w:sectPr>
      </w:pPr>
    </w:p>
    <w:p>
      <w:pPr>
        <w:spacing w:line="640" w:lineRule="exact"/>
        <w:outlineLvl w:val="0"/>
        <w:rPr>
          <w:rFonts w:hint="eastAsia" w:ascii="宋体" w:hAnsi="宋体" w:cs="仿宋"/>
          <w:b w:val="0"/>
          <w:bCs/>
          <w:kern w:val="1"/>
          <w:sz w:val="28"/>
          <w:szCs w:val="28"/>
        </w:rPr>
      </w:pPr>
      <w:bookmarkStart w:id="0" w:name="_Toc477963878"/>
    </w:p>
    <w:bookmarkEnd w:id="0"/>
    <w:p>
      <w:pPr>
        <w:spacing w:line="500" w:lineRule="exact"/>
        <w:ind w:firstLine="560" w:firstLineChars="200"/>
        <w:jc w:val="left"/>
        <w:outlineLvl w:val="1"/>
        <w:rPr>
          <w:rFonts w:ascii="Times New Roman" w:hAnsi="宋体" w:cs="Times New Roman"/>
          <w:b w:val="0"/>
          <w:bCs/>
          <w:color w:val="auto"/>
          <w:kern w:val="2"/>
          <w:sz w:val="28"/>
          <w:szCs w:val="24"/>
        </w:rPr>
      </w:pPr>
      <w:r>
        <w:rPr>
          <w:rFonts w:hint="eastAsia" w:ascii="方正黑体_GBK" w:hAnsi="Times New Roman" w:eastAsia="方正黑体_GBK" w:cs="Times New Roman"/>
          <w:b w:val="0"/>
          <w:bCs/>
          <w:color w:val="auto"/>
          <w:kern w:val="2"/>
          <w:sz w:val="28"/>
          <w:szCs w:val="24"/>
        </w:rPr>
        <w:t>二、分项绩效目标</w:t>
      </w:r>
      <w:r>
        <w:fldChar w:fldCharType="begin"/>
      </w:r>
      <w:r>
        <w:rPr>
          <w:rFonts w:ascii="方正黑体_GBK" w:hAnsi="Times New Roman" w:eastAsia="方正黑体_GBK" w:cs="Times New Roman"/>
          <w:b w:val="0"/>
          <w:bCs/>
          <w:color w:val="auto"/>
          <w:kern w:val="2"/>
          <w:sz w:val="28"/>
          <w:szCs w:val="24"/>
        </w:rPr>
        <w:instrText xml:space="preserve"> </w:instrText>
      </w:r>
      <w:r>
        <w:rPr>
          <w:rFonts w:hint="eastAsia" w:ascii="方正黑体_GBK" w:hAnsi="Times New Roman" w:eastAsia="方正黑体_GBK" w:cs="Times New Roman"/>
          <w:b w:val="0"/>
          <w:bCs/>
          <w:color w:val="auto"/>
          <w:kern w:val="2"/>
          <w:sz w:val="28"/>
          <w:szCs w:val="24"/>
        </w:rPr>
        <w:instrText xml:space="preserve">TC </w:instrText>
      </w:r>
      <w:bookmarkStart w:id="1" w:name="_Toc44498728"/>
      <w:r>
        <w:rPr>
          <w:rFonts w:hint="eastAsia" w:ascii="方正黑体_GBK" w:hAnsi="Times New Roman" w:eastAsia="方正黑体_GBK" w:cs="Times New Roman"/>
          <w:b w:val="0"/>
          <w:bCs/>
          <w:color w:val="auto"/>
          <w:kern w:val="2"/>
          <w:sz w:val="28"/>
          <w:szCs w:val="24"/>
        </w:rPr>
        <w:instrText xml:space="preserve">分项绩效目标</w:instrText>
      </w:r>
      <w:bookmarkEnd w:id="1"/>
      <w:r>
        <w:rPr>
          <w:rFonts w:hint="eastAsia" w:ascii="方正黑体_GBK" w:hAnsi="Times New Roman" w:eastAsia="方正黑体_GBK" w:cs="Times New Roman"/>
          <w:b w:val="0"/>
          <w:bCs/>
          <w:color w:val="auto"/>
          <w:kern w:val="2"/>
          <w:sz w:val="28"/>
          <w:szCs w:val="24"/>
        </w:rPr>
        <w:instrText xml:space="preserve"> \f A \l 1</w:instrText>
      </w:r>
      <w:r>
        <w:rPr>
          <w:rFonts w:ascii="方正黑体_GBK" w:hAnsi="Times New Roman" w:eastAsia="方正黑体_GBK" w:cs="Times New Roman"/>
          <w:b w:val="0"/>
          <w:bCs/>
          <w:color w:val="auto"/>
          <w:kern w:val="2"/>
          <w:sz w:val="28"/>
          <w:szCs w:val="24"/>
        </w:rPr>
        <w:instrText xml:space="preserve"> </w:instrText>
      </w:r>
      <w:r>
        <w:rPr>
          <w:rFonts w:ascii="方正黑体_GBK" w:hAnsi="Times New Roman" w:eastAsia="方正黑体_GBK" w:cs="Times New Roman"/>
          <w:b w:val="0"/>
          <w:bCs/>
          <w:color w:val="auto"/>
          <w:kern w:val="2"/>
          <w:sz w:val="28"/>
          <w:szCs w:val="24"/>
        </w:rPr>
        <w:fldChar w:fldCharType="end"/>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部门职责分类绩效目标：</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(一)贯彻执行国家、省、市有关法律、行政法规和政策保证其在本行政区域内的有效实施;拟订土地资源、矿产资源等自然资源规范性文件和政策性规定,并负责实施和监督检查;负责有关行政复议工作。</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二)组织编制和实施全区土地利用总体规划和其他专项规划;参与审核报本级政府和上级政府审批的城镇总体规划;指导审核各乡(镇)村土地利用总体规划;组织矿产资源的调查评价,编制全区矿产资源的保护与合理利用规划、地质勘查规划、地质灾害防治和地质遗迹保护规划。</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(三)监督检查全区土地资源和矿产资源规划执行情况;依法保护土地、矿产资源所有者和使用者的合法权益,承办并组织调处本区的权属纠纷,查处违法案件。</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(四)拟订并实施全县耕地特殊保护和鼓励耕地开发政策实施农用地用途管制,组织基本农田保护,指导未利用土地开发、土地整理、土地复垦和开发耕地监督工作,确保耕地面积只能增加、不能减少。</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(五)管理全区城乡地籍工作,实施地管理办法;组织土地资源调查、地籍调查、土地统计和动态监测;负责土地确权、土地纠纷调处、城乡地籍和土地登记、发证等工作。</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(六)按规定组织实施土地使用权出让、租货、作价出资转让、交易和政府收购管理办法;负责农村集体非农用地使用权流转工作。</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(七)负责全县土地的分等定级和基准地价标定地价评测;审核评估机构从事土地评估的资格;承担报国务院、省和市政府审批的各类用地审查报批工作。</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八)依法管理全县矿产资源探矿权、采矿权的初审、登记发证和转让初审登记;对矿产资源开发、利用、保护实施监督管理;承担矿产资源储量管理工作,管理地质资料;实施全县地质勘查行业管理,审查确定地质勘查单位资格,管理地勘成果。</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(九)组织协调本行政区域内地质灾害防治;保护地质环境；按权限认定并管理具有重要价值的地质遗迹保护区。</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(十)贯彻执行国家《</w:t>
      </w:r>
      <w:r>
        <w:rPr>
          <w:rFonts w:hint="eastAsia" w:ascii="Times New Roman" w:hAnsi="Times New Roman" w:eastAsia="方正仿宋_GBK" w:cs="Times New Roman"/>
          <w:b w:val="0"/>
          <w:bCs/>
          <w:color w:val="auto"/>
          <w:kern w:val="2"/>
          <w:sz w:val="28"/>
          <w:szCs w:val="24"/>
          <w:lang w:eastAsia="zh-CN"/>
        </w:rPr>
        <w:t>中华人民共和国测绘法</w:t>
      </w:r>
      <w:r>
        <w:rPr>
          <w:rFonts w:ascii="Times New Roman" w:hAnsi="Times New Roman" w:eastAsia="方正仿宋_GBK" w:cs="Times New Roman"/>
          <w:b w:val="0"/>
          <w:bCs/>
          <w:color w:val="auto"/>
          <w:kern w:val="2"/>
          <w:sz w:val="28"/>
          <w:szCs w:val="24"/>
        </w:rPr>
        <w:t>》等法律法规,对本行政区域内的测绘规划及其实施情况依法进行管理和监督检查;按法定权限对测绘基准、测绘系统、测绘成果进行管理;对界限测绘进行初审;按法定权限负责标志的保护工作;依法查处违反国家</w:t>
      </w:r>
      <w:r>
        <w:rPr>
          <w:rFonts w:hint="eastAsia" w:ascii="Times New Roman" w:hAnsi="Times New Roman" w:eastAsia="方正仿宋_GBK" w:cs="Times New Roman"/>
          <w:b w:val="0"/>
          <w:bCs/>
          <w:color w:val="auto"/>
          <w:kern w:val="2"/>
          <w:sz w:val="28"/>
          <w:szCs w:val="24"/>
          <w:lang w:eastAsia="zh-CN"/>
        </w:rPr>
        <w:t>中华人民共和国测绘法</w:t>
      </w:r>
      <w:r>
        <w:rPr>
          <w:rFonts w:ascii="Times New Roman" w:hAnsi="Times New Roman" w:eastAsia="方正仿宋_GBK" w:cs="Times New Roman"/>
          <w:b w:val="0"/>
          <w:bCs/>
          <w:color w:val="auto"/>
          <w:kern w:val="2"/>
          <w:sz w:val="28"/>
          <w:szCs w:val="24"/>
        </w:rPr>
        <w:t>律法规的违法行为。</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(十一)依法征收有关专项规费并负责专项管理。</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(十二)组织开展土地资源、矿产资源等自然资源的对外合作与交流。</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p>
    <w:p>
      <w:pPr>
        <w:spacing w:line="500" w:lineRule="exact"/>
        <w:ind w:firstLine="560" w:firstLineChars="200"/>
        <w:jc w:val="left"/>
        <w:outlineLvl w:val="1"/>
        <w:rPr>
          <w:rFonts w:ascii="Times New Roman" w:hAnsi="宋体" w:cs="Times New Roman"/>
          <w:b w:val="0"/>
          <w:bCs/>
          <w:color w:val="auto"/>
          <w:kern w:val="2"/>
          <w:sz w:val="28"/>
          <w:szCs w:val="24"/>
        </w:rPr>
      </w:pPr>
      <w:r>
        <w:rPr>
          <w:rFonts w:hint="eastAsia" w:ascii="方正黑体_GBK" w:hAnsi="Times New Roman" w:eastAsia="方正黑体_GBK" w:cs="Times New Roman"/>
          <w:b w:val="0"/>
          <w:bCs/>
          <w:color w:val="auto"/>
          <w:kern w:val="2"/>
          <w:sz w:val="28"/>
          <w:szCs w:val="24"/>
        </w:rPr>
        <w:t>三、工作保障措施</w:t>
      </w:r>
      <w:r>
        <w:fldChar w:fldCharType="begin"/>
      </w:r>
      <w:r>
        <w:rPr>
          <w:rFonts w:ascii="方正黑体_GBK" w:hAnsi="Times New Roman" w:eastAsia="方正黑体_GBK" w:cs="Times New Roman"/>
          <w:b w:val="0"/>
          <w:bCs/>
          <w:color w:val="auto"/>
          <w:kern w:val="2"/>
          <w:sz w:val="28"/>
          <w:szCs w:val="24"/>
        </w:rPr>
        <w:instrText xml:space="preserve"> </w:instrText>
      </w:r>
      <w:r>
        <w:rPr>
          <w:rFonts w:hint="eastAsia" w:ascii="方正黑体_GBK" w:hAnsi="Times New Roman" w:eastAsia="方正黑体_GBK" w:cs="Times New Roman"/>
          <w:b w:val="0"/>
          <w:bCs/>
          <w:color w:val="auto"/>
          <w:kern w:val="2"/>
          <w:sz w:val="28"/>
          <w:szCs w:val="24"/>
        </w:rPr>
        <w:instrText xml:space="preserve">TC </w:instrText>
      </w:r>
      <w:bookmarkStart w:id="2" w:name="_Toc44498729"/>
      <w:r>
        <w:rPr>
          <w:rFonts w:hint="eastAsia" w:ascii="方正黑体_GBK" w:hAnsi="Times New Roman" w:eastAsia="方正黑体_GBK" w:cs="Times New Roman"/>
          <w:b w:val="0"/>
          <w:bCs/>
          <w:color w:val="auto"/>
          <w:kern w:val="2"/>
          <w:sz w:val="28"/>
          <w:szCs w:val="24"/>
        </w:rPr>
        <w:instrText xml:space="preserve">工作保障措施</w:instrText>
      </w:r>
      <w:bookmarkEnd w:id="2"/>
      <w:r>
        <w:rPr>
          <w:rFonts w:hint="eastAsia" w:ascii="方正黑体_GBK" w:hAnsi="Times New Roman" w:eastAsia="方正黑体_GBK" w:cs="Times New Roman"/>
          <w:b w:val="0"/>
          <w:bCs/>
          <w:color w:val="auto"/>
          <w:kern w:val="2"/>
          <w:sz w:val="28"/>
          <w:szCs w:val="24"/>
        </w:rPr>
        <w:instrText xml:space="preserve"> \f A \l 1</w:instrText>
      </w:r>
      <w:r>
        <w:rPr>
          <w:rFonts w:ascii="方正黑体_GBK" w:hAnsi="Times New Roman" w:eastAsia="方正黑体_GBK" w:cs="Times New Roman"/>
          <w:b w:val="0"/>
          <w:bCs/>
          <w:color w:val="auto"/>
          <w:kern w:val="2"/>
          <w:sz w:val="28"/>
          <w:szCs w:val="24"/>
        </w:rPr>
        <w:instrText xml:space="preserve"> </w:instrText>
      </w:r>
      <w:r>
        <w:rPr>
          <w:rFonts w:ascii="方正黑体_GBK" w:hAnsi="Times New Roman" w:eastAsia="方正黑体_GBK" w:cs="Times New Roman"/>
          <w:b w:val="0"/>
          <w:bCs/>
          <w:color w:val="auto"/>
          <w:kern w:val="2"/>
          <w:sz w:val="28"/>
          <w:szCs w:val="24"/>
        </w:rPr>
        <w:fldChar w:fldCharType="end"/>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全局同志将以</w:t>
      </w:r>
      <w:r>
        <w:rPr>
          <w:rFonts w:hint="eastAsia" w:ascii="Times New Roman" w:hAnsi="Times New Roman" w:eastAsia="方正仿宋_GBK" w:cs="Times New Roman"/>
          <w:b w:val="0"/>
          <w:bCs/>
          <w:color w:val="auto"/>
          <w:kern w:val="2"/>
          <w:sz w:val="28"/>
          <w:szCs w:val="24"/>
          <w:lang w:eastAsia="zh-CN"/>
        </w:rPr>
        <w:t>党的</w:t>
      </w:r>
      <w:r>
        <w:rPr>
          <w:rFonts w:ascii="Times New Roman" w:hAnsi="Times New Roman" w:eastAsia="方正仿宋_GBK" w:cs="Times New Roman"/>
          <w:b w:val="0"/>
          <w:bCs/>
          <w:color w:val="auto"/>
          <w:kern w:val="2"/>
          <w:sz w:val="28"/>
          <w:szCs w:val="24"/>
        </w:rPr>
        <w:t>十九大精神、 习近平新时代中国特色社会主义思想为指导，转变工作作风，坚持工作上一个核心（抓班子带队伍促工作），思想上把握两个引领（</w:t>
      </w:r>
      <w:r>
        <w:rPr>
          <w:rFonts w:hint="eastAsia" w:ascii="Times New Roman" w:hAnsi="Times New Roman" w:eastAsia="方正仿宋_GBK" w:cs="Times New Roman"/>
          <w:b w:val="0"/>
          <w:bCs/>
          <w:color w:val="auto"/>
          <w:kern w:val="2"/>
          <w:sz w:val="28"/>
          <w:szCs w:val="24"/>
          <w:lang w:eastAsia="zh-CN"/>
        </w:rPr>
        <w:t>党的</w:t>
      </w:r>
      <w:r>
        <w:rPr>
          <w:rFonts w:ascii="Times New Roman" w:hAnsi="Times New Roman" w:eastAsia="方正仿宋_GBK" w:cs="Times New Roman"/>
          <w:b w:val="0"/>
          <w:bCs/>
          <w:color w:val="auto"/>
          <w:kern w:val="2"/>
          <w:sz w:val="28"/>
          <w:szCs w:val="24"/>
        </w:rPr>
        <w:t>十九大精神、 习近平新时代中国特色社会主义思想），开创全区国土资源工作新局面，重点抓好能力建设工作和国土资源保护利用工作，保障重点项目用地，促进区域经济发展。</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一是加强人员作风纪律建设，落实各级要求，防微杜渐，抓好上班时间工作纪律，局纪检室、督察室认真做好本职工作，确保作风纪律建设上有较大进步。</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二是开展全员大培训。提升能力素质，组织局各股室业务骨干，利用下班时间，开展培训授课，全员学习。重点对业务知识、上级政策、疑难问题进行讲解，全面考核，提升干部队伍素质。</w:t>
      </w:r>
    </w:p>
    <w:p>
      <w:pPr>
        <w:spacing w:line="500" w:lineRule="exact"/>
        <w:ind w:firstLine="560" w:firstLineChars="200"/>
        <w:jc w:val="left"/>
        <w:rPr>
          <w:rFonts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三是体制机制瓶颈大突破。理顺内部股室编制和职能，明确人员编制、工作职能、岗位要求，理清相互关系，</w:t>
      </w:r>
    </w:p>
    <w:p>
      <w:pPr>
        <w:spacing w:line="640" w:lineRule="exact"/>
        <w:ind w:firstLine="560" w:firstLineChars="200"/>
        <w:outlineLvl w:val="0"/>
        <w:rPr>
          <w:rFonts w:hint="eastAsia" w:ascii="Times New Roman" w:hAnsi="Times New Roman" w:eastAsia="方正仿宋_GBK" w:cs="Times New Roman"/>
          <w:b w:val="0"/>
          <w:bCs/>
          <w:color w:val="auto"/>
          <w:kern w:val="2"/>
          <w:sz w:val="28"/>
          <w:szCs w:val="24"/>
        </w:rPr>
      </w:pPr>
      <w:r>
        <w:rPr>
          <w:rFonts w:ascii="Times New Roman" w:hAnsi="Times New Roman" w:eastAsia="方正仿宋_GBK" w:cs="Times New Roman"/>
          <w:b w:val="0"/>
          <w:bCs/>
          <w:color w:val="auto"/>
          <w:kern w:val="2"/>
          <w:sz w:val="28"/>
          <w:szCs w:val="24"/>
        </w:rPr>
        <w:t>四是克服困难，为保障区域经济发展做好各项工作。</w:t>
      </w:r>
    </w:p>
    <w:p>
      <w:pPr>
        <w:spacing w:line="640" w:lineRule="exact"/>
        <w:jc w:val="both"/>
        <w:outlineLvl w:val="0"/>
        <w:rPr>
          <w:rFonts w:hint="eastAsia" w:ascii="宋体" w:hAnsi="宋体" w:cs="Times New Roman"/>
          <w:b w:val="0"/>
          <w:bCs/>
          <w:color w:val="auto"/>
          <w:kern w:val="2"/>
          <w:sz w:val="28"/>
          <w:szCs w:val="28"/>
        </w:rPr>
      </w:pPr>
      <w:r>
        <w:rPr>
          <w:rFonts w:hint="eastAsia" w:ascii="宋体" w:hAnsi="宋体" w:cs="Times New Roman"/>
          <w:b w:val="0"/>
          <w:bCs/>
          <w:color w:val="auto"/>
          <w:kern w:val="2"/>
          <w:sz w:val="28"/>
          <w:szCs w:val="28"/>
        </w:rPr>
        <w:t>预算项目绩效目标</w:t>
      </w:r>
    </w:p>
    <w:p>
      <w:pPr>
        <w:spacing w:line="640" w:lineRule="exact"/>
        <w:jc w:val="center"/>
        <w:rPr>
          <w:rFonts w:ascii="宋体" w:hAnsi="宋体" w:cs="Times New Roman"/>
          <w:b w:val="0"/>
          <w:bCs/>
          <w:color w:val="auto"/>
          <w:kern w:val="2"/>
          <w:sz w:val="28"/>
          <w:szCs w:val="28"/>
        </w:rPr>
        <w:sectPr>
          <w:pgSz w:w="11907" w:h="16839"/>
          <w:pgMar w:top="1984" w:right="1304" w:bottom="1134" w:left="1304" w:header="851" w:footer="992" w:gutter="0"/>
          <w:cols w:space="720" w:num="1"/>
          <w:docGrid w:type="lines" w:linePitch="312" w:charSpace="0"/>
        </w:sectPr>
      </w:pPr>
    </w:p>
    <w:p>
      <w:pPr>
        <w:jc w:val="center"/>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3" w:name="_Toc70322049"/>
      <w:r>
        <w:rPr>
          <w:rFonts w:hint="eastAsia" w:ascii="宋体" w:hAnsi="宋体" w:cs="Times New Roman"/>
          <w:b w:val="0"/>
          <w:bCs/>
          <w:color w:val="auto"/>
          <w:kern w:val="2"/>
          <w:sz w:val="28"/>
          <w:szCs w:val="24"/>
        </w:rPr>
        <w:t>1.2021年省级矿山地质环境治理恢复项目保财资环（2020）145号绩效目标表</w:t>
      </w:r>
      <w:bookmarkEnd w:id="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1、2021年省级矿山地质环境治理恢复项目保财资环（2020）145号绩效目标表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1306212107ON61SGG4WO1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年省级矿山地质环境治理恢复项目保财资环（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145</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1745.11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1745.11</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w:t>
            </w:r>
            <w:r>
              <w:rPr>
                <w:rFonts w:ascii="宋体" w:hAnsi="宋体" w:cs="Times New Roman"/>
                <w:b w:val="0"/>
                <w:bCs/>
                <w:color w:val="auto"/>
                <w:kern w:val="2"/>
                <w:szCs w:val="24"/>
              </w:rPr>
              <w:t>2021</w:t>
            </w:r>
            <w:r>
              <w:rPr>
                <w:rFonts w:hint="eastAsia" w:ascii="宋体" w:hAnsi="宋体" w:cs="Times New Roman"/>
                <w:b w:val="0"/>
                <w:bCs/>
                <w:color w:val="auto"/>
                <w:kern w:val="2"/>
                <w:szCs w:val="24"/>
              </w:rPr>
              <w:t>年责任主体灭失矿山迹地治理。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75.00%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消除地质灾害隐患，恢复生态环境。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完成责任主体灭失矿山</w:t>
            </w:r>
            <w:r>
              <w:rPr>
                <w:rFonts w:ascii="宋体" w:hAnsi="宋体" w:cs="Times New Roman"/>
                <w:b w:val="0"/>
                <w:bCs/>
                <w:color w:val="auto"/>
                <w:kern w:val="2"/>
                <w:szCs w:val="24"/>
              </w:rPr>
              <w:t>16</w:t>
            </w:r>
            <w:r>
              <w:rPr>
                <w:rFonts w:hint="eastAsia" w:ascii="宋体" w:hAnsi="宋体" w:cs="Times New Roman"/>
                <w:b w:val="0"/>
                <w:bCs/>
                <w:color w:val="auto"/>
                <w:kern w:val="2"/>
                <w:szCs w:val="24"/>
              </w:rPr>
              <w:t>处，面积</w:t>
            </w:r>
            <w:r>
              <w:rPr>
                <w:rFonts w:ascii="宋体" w:hAnsi="宋体" w:cs="Times New Roman"/>
                <w:b w:val="0"/>
                <w:bCs/>
                <w:color w:val="auto"/>
                <w:kern w:val="2"/>
                <w:szCs w:val="24"/>
              </w:rPr>
              <w:t>2053</w:t>
            </w:r>
            <w:r>
              <w:rPr>
                <w:rFonts w:hint="eastAsia" w:ascii="宋体" w:hAnsi="宋体" w:cs="Times New Roman"/>
                <w:b w:val="0"/>
                <w:bCs/>
                <w:color w:val="auto"/>
                <w:kern w:val="2"/>
                <w:szCs w:val="24"/>
              </w:rPr>
              <w:t>亩，资金及时拨付到位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治理面积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治理责任主体灭失矿山的面积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2053</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修复治理的程度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修复治理后的地质环境稳定程度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显著提升</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及时编制方案</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按时编制并启动</w:t>
            </w:r>
            <w:r>
              <w:rPr>
                <w:rFonts w:ascii="宋体" w:hAnsi="宋体" w:cs="Times New Roman"/>
                <w:b w:val="0"/>
                <w:bCs/>
                <w:color w:val="auto"/>
                <w:kern w:val="2"/>
                <w:szCs w:val="24"/>
              </w:rPr>
              <w:t>2021</w:t>
            </w:r>
            <w:r>
              <w:rPr>
                <w:rFonts w:hint="eastAsia" w:ascii="宋体" w:hAnsi="宋体" w:cs="Times New Roman"/>
                <w:b w:val="0"/>
                <w:bCs/>
                <w:color w:val="auto"/>
                <w:kern w:val="2"/>
                <w:szCs w:val="24"/>
              </w:rPr>
              <w:t>年度实施方案</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补助标准</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治理修复矿山每亩的补助标准</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8500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实施区域历史遗留工矿废弃地复垦利用率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实施区域矿山地质灾害隐患</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实施区域矿山地质灾害隐患</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下降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实施区域受益人群满意度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80%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4" w:name="_Toc70322050"/>
      <w:r>
        <w:rPr>
          <w:rFonts w:hint="eastAsia" w:ascii="宋体" w:hAnsi="宋体" w:cs="Times New Roman"/>
          <w:b w:val="0"/>
          <w:bCs/>
          <w:color w:val="auto"/>
          <w:kern w:val="2"/>
          <w:sz w:val="28"/>
          <w:szCs w:val="24"/>
        </w:rPr>
        <w:t>2.2016—2019年满城区耕地质量等级调查评价更新工作费用绩效目标表</w:t>
      </w:r>
      <w:bookmarkEnd w:id="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2、2016—2019年满城区耕地质量等级调查评价更新工作费用绩效目标表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130621212G5H6D8B4TG9Z</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2016—2019</w:t>
            </w:r>
            <w:r>
              <w:rPr>
                <w:rFonts w:hint="eastAsia" w:ascii="宋体" w:hAnsi="宋体" w:cs="Times New Roman"/>
                <w:b w:val="0"/>
                <w:bCs/>
                <w:color w:val="auto"/>
                <w:kern w:val="2"/>
                <w:szCs w:val="24"/>
              </w:rPr>
              <w:t>年满城区耕地质量等级调查评价更新工作费用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用于耕地质量等级调查评价更新工作经费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核实耕地质量等级变化</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更新评价数据库并形成报告</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更新数量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更新耕地质量等级数据库的数量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个</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耕地质量等级调查数据库准确率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调查评价更新费拨付到位率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成本费用</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更新数据库的费用</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9.2</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通过耕地质量等级调查，使农民合理利用耕地，提高农民的收入率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影响率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通过耕地质量等级调查，使耕地等级层次分明，可以合理利用各类耕地，从对社会产生的影响率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5" w:name="_Toc70322051"/>
      <w:r>
        <w:rPr>
          <w:rFonts w:hint="eastAsia" w:ascii="宋体" w:hAnsi="宋体" w:cs="Times New Roman"/>
          <w:b w:val="0"/>
          <w:bCs/>
          <w:color w:val="auto"/>
          <w:kern w:val="2"/>
          <w:sz w:val="28"/>
          <w:szCs w:val="24"/>
        </w:rPr>
        <w:t>3.2021年森林生态效益补偿项目保财资环（2020）139号绩效目标表</w:t>
      </w:r>
      <w:bookmarkEnd w:id="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3、2021年森林生态效益补偿项目保财资环（2020）139号绩效目标表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130621213FAOC2OOSENUG</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年森林生态效益补偿项目保财资环（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139</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16.89</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16.89</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用于公益林补贴。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通过生态效益补偿，提高森林覆盖率，改善生态环境。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资金年底前及时补偿到项目实施单位。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补贴亩数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涉及公益林补贴的亩数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万亩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公益林补贴项目验收合格率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公益林补贴资金到位率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补助标准</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亩均补助标准</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14.07</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受公益林补贴的单位和集体的收入增加多少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提高森林覆盖率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通过公益林的管护等提高的森林覆盖率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0.01%</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受公益林补贴的单位和集体的满意度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6" w:name="_Toc70322052"/>
      <w:r>
        <w:rPr>
          <w:rFonts w:hint="eastAsia" w:ascii="宋体" w:hAnsi="宋体" w:cs="Times New Roman"/>
          <w:b w:val="0"/>
          <w:bCs/>
          <w:color w:val="auto"/>
          <w:kern w:val="2"/>
          <w:sz w:val="28"/>
          <w:szCs w:val="24"/>
        </w:rPr>
        <w:t>4.（综）2021年土地出让前期报批费用及土地补偿款绩效目标表</w:t>
      </w:r>
      <w:bookmarkEnd w:id="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4、（综）2021年土地出让前期报批费用及土地补偿款绩效目标表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130621214FKB4V2X3HWV6</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w:t>
            </w:r>
            <w:r>
              <w:rPr>
                <w:rFonts w:ascii="宋体" w:hAnsi="宋体" w:cs="Times New Roman"/>
                <w:b w:val="0"/>
                <w:bCs/>
                <w:color w:val="auto"/>
                <w:kern w:val="2"/>
                <w:szCs w:val="24"/>
              </w:rPr>
              <w:t>2021</w:t>
            </w:r>
            <w:r>
              <w:rPr>
                <w:rFonts w:hint="eastAsia" w:ascii="宋体" w:hAnsi="宋体" w:cs="Times New Roman"/>
                <w:b w:val="0"/>
                <w:bCs/>
                <w:color w:val="auto"/>
                <w:kern w:val="2"/>
                <w:szCs w:val="24"/>
              </w:rPr>
              <w:t>年土地出让前期报批费用及土地补偿款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41100.00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41100.00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发放土地补偿款及用于前期报批费用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到</w:t>
            </w:r>
            <w:r>
              <w:rPr>
                <w:rFonts w:ascii="宋体" w:hAnsi="宋体" w:cs="Times New Roman"/>
                <w:b w:val="0"/>
                <w:bCs/>
                <w:color w:val="auto"/>
                <w:kern w:val="2"/>
                <w:szCs w:val="24"/>
              </w:rPr>
              <w:t>2021</w:t>
            </w:r>
            <w:r>
              <w:rPr>
                <w:rFonts w:hint="eastAsia" w:ascii="宋体" w:hAnsi="宋体" w:cs="Times New Roman"/>
                <w:b w:val="0"/>
                <w:bCs/>
                <w:color w:val="auto"/>
                <w:kern w:val="2"/>
                <w:szCs w:val="24"/>
              </w:rPr>
              <w:t>年底完成</w:t>
            </w:r>
            <w:r>
              <w:rPr>
                <w:rFonts w:ascii="宋体" w:hAnsi="宋体" w:cs="Times New Roman"/>
                <w:b w:val="0"/>
                <w:bCs/>
                <w:color w:val="auto"/>
                <w:kern w:val="2"/>
                <w:szCs w:val="24"/>
              </w:rPr>
              <w:t>50</w:t>
            </w:r>
            <w:r>
              <w:rPr>
                <w:rFonts w:hint="eastAsia" w:ascii="宋体" w:hAnsi="宋体" w:cs="Times New Roman"/>
                <w:b w:val="0"/>
                <w:bCs/>
                <w:color w:val="auto"/>
                <w:kern w:val="2"/>
                <w:szCs w:val="24"/>
              </w:rPr>
              <w:t>块土地出让，保证补偿发放到位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按照财政厅工做进度要求</w:t>
            </w:r>
            <w:r>
              <w:rPr>
                <w:rFonts w:ascii="宋体" w:hAnsi="宋体" w:cs="Times New Roman"/>
                <w:b w:val="0"/>
                <w:bCs/>
                <w:color w:val="auto"/>
                <w:kern w:val="2"/>
                <w:szCs w:val="24"/>
              </w:rPr>
              <w:t>12</w:t>
            </w:r>
            <w:r>
              <w:rPr>
                <w:rFonts w:hint="eastAsia" w:ascii="宋体" w:hAnsi="宋体" w:cs="Times New Roman"/>
                <w:b w:val="0"/>
                <w:bCs/>
                <w:color w:val="auto"/>
                <w:kern w:val="2"/>
                <w:szCs w:val="24"/>
              </w:rPr>
              <w:t>月底完成拨付</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资金所占比例</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控制预算</w:t>
            </w:r>
            <w:r>
              <w:rPr>
                <w:rFonts w:ascii="宋体" w:hAnsi="宋体" w:cs="Times New Roman"/>
                <w:b w:val="0"/>
                <w:bCs/>
                <w:color w:val="auto"/>
                <w:kern w:val="2"/>
                <w:szCs w:val="24"/>
              </w:rPr>
              <w:t xml:space="preserve"> </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达到群众满意度</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达到群众满意</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7" w:name="_Toc70322053"/>
      <w:r>
        <w:rPr>
          <w:rFonts w:hint="eastAsia" w:ascii="宋体" w:hAnsi="宋体" w:cs="Times New Roman"/>
          <w:b w:val="0"/>
          <w:bCs/>
          <w:color w:val="auto"/>
          <w:kern w:val="2"/>
          <w:sz w:val="28"/>
          <w:szCs w:val="24"/>
        </w:rPr>
        <w:t>5.乡村振兴之民居设计方案印制费用绩效目标表</w:t>
      </w:r>
      <w:bookmarkEnd w:id="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5、乡村振兴之民居设计方案印制费用绩效目标表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130621218KIT09387RZ63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乡村振兴之民居设计方案印制费用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2.40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2.40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用于振兴之民居设计方案印制费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通过新民居建设，改善人民生活环境。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保障新民居建设质量。</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印制数量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印制民居设计方案的数量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300</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民居设计方案的准确率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资金拨付及时性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印制方案资金拨付的及时性</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每份方案的成本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印刷民居设计方案的成本是多少</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80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经济发展影响力</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新民居建设对经济发展的影响力</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影响力高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通过新民居建设，促进社会和谐稳定</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8" w:name="_Toc70322054"/>
      <w:r>
        <w:rPr>
          <w:rFonts w:hint="eastAsia" w:ascii="宋体" w:hAnsi="宋体" w:cs="Times New Roman"/>
          <w:b w:val="0"/>
          <w:bCs/>
          <w:color w:val="auto"/>
          <w:kern w:val="2"/>
          <w:sz w:val="28"/>
          <w:szCs w:val="24"/>
        </w:rPr>
        <w:t>6.差额20%部分人员经费绩效目标表</w:t>
      </w:r>
      <w:bookmarkEnd w:id="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6、差额20%部分人员经费绩效目标表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130621218R0LC9WF5SGQ0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w:t>
            </w:r>
            <w:r>
              <w:rPr>
                <w:rFonts w:ascii="宋体" w:hAnsi="宋体" w:cs="Times New Roman"/>
                <w:b w:val="0"/>
                <w:bCs/>
                <w:color w:val="auto"/>
                <w:kern w:val="2"/>
                <w:szCs w:val="24"/>
              </w:rPr>
              <w:t>20%</w:t>
            </w:r>
            <w:r>
              <w:rPr>
                <w:rFonts w:hint="eastAsia" w:ascii="宋体" w:hAnsi="宋体" w:cs="Times New Roman"/>
                <w:b w:val="0"/>
                <w:bCs/>
                <w:color w:val="auto"/>
                <w:kern w:val="2"/>
                <w:szCs w:val="24"/>
              </w:rPr>
              <w:t>部分人员经费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2.11</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用于差额</w:t>
            </w:r>
            <w:r>
              <w:rPr>
                <w:rFonts w:ascii="宋体" w:hAnsi="宋体" w:cs="Times New Roman"/>
                <w:b w:val="0"/>
                <w:bCs/>
                <w:color w:val="auto"/>
                <w:kern w:val="2"/>
                <w:szCs w:val="24"/>
              </w:rPr>
              <w:t>20%</w:t>
            </w:r>
            <w:r>
              <w:rPr>
                <w:rFonts w:hint="eastAsia" w:ascii="宋体" w:hAnsi="宋体" w:cs="Times New Roman"/>
                <w:b w:val="0"/>
                <w:bCs/>
                <w:color w:val="auto"/>
                <w:kern w:val="2"/>
                <w:szCs w:val="24"/>
              </w:rPr>
              <w:t>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75.00%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按时拨付人员经费</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保障职工日常生活</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差额工资发放人数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名</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足额拨付经费率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足额部分差额人员工资及缴纳各项保险的比率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拨付差额人员工资及缴纳保险的时限</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w:t>
            </w:r>
            <w:r>
              <w:rPr>
                <w:rFonts w:hint="eastAsia" w:ascii="宋体" w:hAnsi="宋体" w:cs="Times New Roman"/>
                <w:b w:val="0"/>
                <w:bCs/>
                <w:color w:val="auto"/>
                <w:kern w:val="2"/>
                <w:szCs w:val="24"/>
              </w:rPr>
              <w:t>日</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发放金额</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差额人员年发放</w:t>
            </w:r>
            <w:r>
              <w:rPr>
                <w:rFonts w:ascii="宋体" w:hAnsi="宋体" w:cs="Times New Roman"/>
                <w:b w:val="0"/>
                <w:bCs/>
                <w:color w:val="auto"/>
                <w:kern w:val="2"/>
                <w:szCs w:val="24"/>
              </w:rPr>
              <w:t>20%</w:t>
            </w:r>
            <w:r>
              <w:rPr>
                <w:rFonts w:hint="eastAsia" w:ascii="宋体" w:hAnsi="宋体" w:cs="Times New Roman"/>
                <w:b w:val="0"/>
                <w:bCs/>
                <w:color w:val="auto"/>
                <w:kern w:val="2"/>
                <w:szCs w:val="24"/>
              </w:rPr>
              <w:t>部分工资及保险的金额</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2.11</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通过发放差额工资，职工的收入增加比率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职工的稳定度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通过发放差额人员工资，促进社会的稳定程度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差额人员对发放工资及缴纳保险的满意程度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9" w:name="_Toc70322055"/>
      <w:r>
        <w:rPr>
          <w:rFonts w:hint="eastAsia" w:ascii="宋体" w:hAnsi="宋体" w:cs="Times New Roman"/>
          <w:b w:val="0"/>
          <w:bCs/>
          <w:color w:val="auto"/>
          <w:kern w:val="2"/>
          <w:sz w:val="28"/>
          <w:szCs w:val="24"/>
        </w:rPr>
        <w:t>7.2021年全面停止天然林商业性采伐补助项目保财资环（2020）137号绩效目标表</w:t>
      </w:r>
      <w:bookmarkEnd w:id="9"/>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7、2021年全面停止天然林商业性采伐补助项目保财资环（2020）137号绩效目标表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130621219H76D3UEVTG78</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年全面停止天然林商业性采伐补助项目保财资环（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137</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用于停止天然林商业性采伐补贴。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提高森林覆盖率，改善生态环境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资金年底前及时补偿到项目实施单位。</w:t>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r>
              <w:rPr>
                <w:rFonts w:ascii="宋体" w:hAnsi="宋体" w:cs="Times New Roman"/>
                <w:b w:val="0"/>
                <w:bCs/>
                <w:color w:val="auto"/>
                <w:kern w:val="2"/>
                <w:szCs w:val="24"/>
              </w:rPr>
              <w:tab/>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采伐量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停止天然林采伐补贴的数量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1.44</w:t>
            </w:r>
            <w:r>
              <w:rPr>
                <w:rFonts w:hint="eastAsia" w:ascii="宋体" w:hAnsi="宋体" w:cs="Times New Roman"/>
                <w:b w:val="0"/>
                <w:bCs/>
                <w:color w:val="auto"/>
                <w:kern w:val="2"/>
                <w:szCs w:val="24"/>
              </w:rPr>
              <w:t>立方米</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停止天然林采伐补贴项目验收合格率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停止天然林采伐补贴资金到位率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补贴标准</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停止天然林采伐</w:t>
            </w:r>
            <w:r>
              <w:rPr>
                <w:rFonts w:ascii="宋体" w:hAnsi="宋体" w:cs="Times New Roman"/>
                <w:b w:val="0"/>
                <w:bCs/>
                <w:color w:val="auto"/>
                <w:kern w:val="2"/>
                <w:szCs w:val="24"/>
              </w:rPr>
              <w:t>1.44</w:t>
            </w:r>
            <w:r>
              <w:rPr>
                <w:rFonts w:hint="eastAsia" w:ascii="宋体" w:hAnsi="宋体" w:cs="Times New Roman"/>
                <w:b w:val="0"/>
                <w:bCs/>
                <w:color w:val="auto"/>
                <w:kern w:val="2"/>
                <w:szCs w:val="24"/>
              </w:rPr>
              <w:t>立方米的补贴标准是多少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收入增加</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受停伐补贴的单位的收入增加多少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4.74</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提高森林覆盖率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通过停伐提高的森林覆盖率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0.01%</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受公停止天然林采伐补贴的单位的满意度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0" w:name="_Toc70322056"/>
      <w:r>
        <w:rPr>
          <w:rFonts w:hint="eastAsia" w:ascii="宋体" w:hAnsi="宋体" w:cs="Times New Roman"/>
          <w:b w:val="0"/>
          <w:bCs/>
          <w:color w:val="auto"/>
          <w:kern w:val="2"/>
          <w:sz w:val="28"/>
          <w:szCs w:val="24"/>
        </w:rPr>
        <w:t>8.2021年林业有害生物项目保财资环（2020）138号绩效目标表</w:t>
      </w:r>
      <w:bookmarkEnd w:id="10"/>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8、2021年林业有害生物项目保财资环（2020）138号绩效目标表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13062121B06SGG5VW4O01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年林业有害生物项目保财资环（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138</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用于森林病虫害防治购买无人机和农药。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进行有害生物防治，提高森林覆盖率。</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购买农药及防治用无人机，资金及时拨付到位。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购买吨数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购买有害生物防治用农药的吨数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吨</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购买台数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购买有害生物防治无人机的台数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台</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有害生物防治成果验收合格率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资金使用及时率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林业有害生物防治资金使用及时率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购买单价</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每吨农药的单价</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购买单价</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每台无人机的单价</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农户年收入水平增幅</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有害生物防治后农户收入较未防治前收入是否有增长，增长率是多少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林业有害生物防治带动就业人数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林业有害生物防治带动就业人数</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20</w:t>
            </w:r>
            <w:r>
              <w:rPr>
                <w:rFonts w:hint="eastAsia" w:ascii="宋体" w:hAnsi="宋体" w:cs="Times New Roman"/>
                <w:b w:val="0"/>
                <w:bCs/>
                <w:color w:val="auto"/>
                <w:kern w:val="2"/>
                <w:szCs w:val="24"/>
              </w:rPr>
              <w:t>人</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农户满意度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农户对有害生物防治的满意程度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1" w:name="_Toc70322057"/>
      <w:r>
        <w:rPr>
          <w:rFonts w:hint="eastAsia" w:ascii="宋体" w:hAnsi="宋体" w:cs="Times New Roman"/>
          <w:b w:val="0"/>
          <w:bCs/>
          <w:color w:val="auto"/>
          <w:kern w:val="2"/>
          <w:sz w:val="28"/>
          <w:szCs w:val="24"/>
        </w:rPr>
        <w:t>9.神星镇大楼村南山、神星镇神星村、石井乡永安庄村无证非法采矿现场调查核实费用绩效目标表</w:t>
      </w:r>
      <w:bookmarkEnd w:id="11"/>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9、神星镇大楼村南山、神星镇神星村、石井乡永安庄村无证非法采矿现场调查核实费用绩效目标表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13062121E0EYM6LG5GUEP</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神星镇大楼村南山、神星镇神星村、石井乡永安庄村无证非法采矿现场调查核实费用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满城区神星镇大楼村南山、神星村、石井乡永安庄村无证非法采矿现场调查核实经费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打击违法犯罪行为，维护正常矿产资源开发秩序。</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按时拨付经费，保障工作顺利开展。</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调查及核实数量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进行无证非法采矿调查核实的数量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处</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验收合格率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对无证开采调查核实验收项目的合格率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资金使用率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对无证开采调查核实经费的使用率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每份报告成本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每份无证开采调查及核实报告的成本是多少</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改善生态环境情况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通过依法惩处非法开采矿产资源违法犯罪行为，制止乱开乱伐，从而改善生态环境的情况。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改善情况显著提高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打击违法犯罪行为影响率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打击非法无证开采矿产资源违法犯罪行为对社会的影响率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2" w:name="_Toc70322058"/>
      <w:r>
        <w:rPr>
          <w:rFonts w:hint="eastAsia" w:ascii="宋体" w:hAnsi="宋体" w:cs="Times New Roman"/>
          <w:b w:val="0"/>
          <w:bCs/>
          <w:color w:val="auto"/>
          <w:kern w:val="2"/>
          <w:sz w:val="28"/>
          <w:szCs w:val="24"/>
        </w:rPr>
        <w:t>10.生态保护红线评估费用绩效目标表</w:t>
      </w:r>
      <w:bookmarkEnd w:id="12"/>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10、生态保护红线评估费用绩效目标表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13062121HXSUNFL7OILI3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生态保护红线评估费用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用于生态红线评估费用。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按照要求及时完成划定任务</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加强全区的生态保护</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评估调整面积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对全区的生态保护红线进行评估调整的面积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175</w:t>
            </w:r>
            <w:r>
              <w:rPr>
                <w:rFonts w:hint="eastAsia" w:ascii="宋体" w:hAnsi="宋体" w:cs="Times New Roman"/>
                <w:b w:val="0"/>
                <w:bCs/>
                <w:color w:val="auto"/>
                <w:kern w:val="2"/>
                <w:szCs w:val="24"/>
              </w:rPr>
              <w:t>平方公里</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数据合格率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数据通过国家质检后的合格率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完成时间及时率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按照要求</w:t>
            </w:r>
            <w:r>
              <w:rPr>
                <w:rFonts w:ascii="宋体" w:hAnsi="宋体" w:cs="Times New Roman"/>
                <w:b w:val="0"/>
                <w:bCs/>
                <w:color w:val="auto"/>
                <w:kern w:val="2"/>
                <w:szCs w:val="24"/>
              </w:rPr>
              <w:t>2020</w:t>
            </w:r>
            <w:r>
              <w:rPr>
                <w:rFonts w:hint="eastAsia" w:ascii="宋体" w:hAnsi="宋体" w:cs="Times New Roman"/>
                <w:b w:val="0"/>
                <w:bCs/>
                <w:color w:val="auto"/>
                <w:kern w:val="2"/>
                <w:szCs w:val="24"/>
              </w:rPr>
              <w:t>年底将数据进行上报完成的及时率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项目评估报告的资金成本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通过对生态红线划定的资金投入，使周边居民生活环境条件得到提升，使资金落到实处，项目资金投入放大倍数。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环境改善情况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通过划定红线，改善生态环境，给周边居民带来优越的生活环境</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生活环境条件显著提高。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3" w:name="_Toc70322059"/>
      <w:r>
        <w:rPr>
          <w:rFonts w:hint="eastAsia" w:ascii="宋体" w:hAnsi="宋体" w:cs="Times New Roman"/>
          <w:b w:val="0"/>
          <w:bCs/>
          <w:color w:val="auto"/>
          <w:kern w:val="2"/>
          <w:sz w:val="28"/>
          <w:szCs w:val="24"/>
        </w:rPr>
        <w:t>11.神星镇马连川村地质灾害点治理工程绩效目标表</w:t>
      </w:r>
      <w:bookmarkEnd w:id="1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11、神星镇马连川村地质灾害点治理工程绩效目标表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13062121PL0CDGOYGZD8O</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神星镇马连川村地质灾害点治理工程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62.73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62.73</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用于地质灾害点治理工程费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排查并修复地质灾害隐患，保障人民群众生命财产安全。</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修复资金按项目进度及时拨付到位。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排查修复数量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地质灾害隐患点排查修复的数量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21</w:t>
            </w:r>
            <w:r>
              <w:rPr>
                <w:rFonts w:hint="eastAsia" w:ascii="宋体" w:hAnsi="宋体" w:cs="Times New Roman"/>
                <w:b w:val="0"/>
                <w:bCs/>
                <w:color w:val="auto"/>
                <w:kern w:val="2"/>
                <w:szCs w:val="24"/>
              </w:rPr>
              <w:t>处</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地质灾害治理的合格率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资金拨付及时率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地质灾害隐患排查修复资金拨付的及时率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治理成本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地质灾害隐患修复治理的成本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62.73</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地质灾害治理资金的投入，保障了山下居民的生命财产安全，资金落到实处，充分发挥资金效益，放大资金投入倍数。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资金效益最大化</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社会反应度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通过地质灾害治理，保障了人民群众生命财产安全，社会民众称赞情况反</w:t>
            </w:r>
            <w:r>
              <w:rPr>
                <w:rFonts w:hint="eastAsia" w:ascii="宋体" w:hAnsi="宋体" w:cs="Times New Roman"/>
                <w:b w:val="0"/>
                <w:bCs/>
                <w:color w:val="auto"/>
                <w:kern w:val="2"/>
                <w:szCs w:val="24"/>
                <w:lang w:eastAsia="zh-CN"/>
              </w:rPr>
              <w:t>映</w:t>
            </w:r>
            <w:r>
              <w:rPr>
                <w:rFonts w:hint="eastAsia" w:ascii="宋体" w:hAnsi="宋体" w:cs="Times New Roman"/>
                <w:b w:val="0"/>
                <w:bCs/>
                <w:color w:val="auto"/>
                <w:kern w:val="2"/>
                <w:szCs w:val="24"/>
              </w:rPr>
              <w:t>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身处地质灾害隐患威胁的群众的满意程度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4" w:name="_Toc70322060"/>
      <w:r>
        <w:rPr>
          <w:rFonts w:hint="eastAsia" w:ascii="宋体" w:hAnsi="宋体" w:cs="Times New Roman"/>
          <w:b w:val="0"/>
          <w:bCs/>
          <w:color w:val="auto"/>
          <w:kern w:val="2"/>
          <w:sz w:val="28"/>
          <w:szCs w:val="24"/>
        </w:rPr>
        <w:t>12.复兴路两侧绿化带保护范围警示标志碑费用项目绩效目标表</w:t>
      </w:r>
      <w:bookmarkEnd w:id="1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12、复兴路两侧绿化带保护范围警示标志碑费用项目绩效目标表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13062121ROKTR7Z8DUBI9</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复兴路两侧绿化带保护范围警示标志碑费用项目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4.68</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4.68</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用于复兴路两侧绿化带保护范围警示标志碑的费用。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埋筑标志碑，强化宣传和警示。</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及时拨付资金，使资金落到实处。</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埋筑数量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埋筑复兴路两侧绿化带控制范围标志碑的数量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260</w:t>
            </w:r>
            <w:r>
              <w:rPr>
                <w:rFonts w:hint="eastAsia" w:ascii="宋体" w:hAnsi="宋体" w:cs="Times New Roman"/>
                <w:b w:val="0"/>
                <w:bCs/>
                <w:color w:val="auto"/>
                <w:kern w:val="2"/>
                <w:szCs w:val="24"/>
              </w:rPr>
              <w:t>根</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埋筑合格率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埋筑标志碑的合格率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埋筑时限及完成率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完成埋筑标志碑的时限及完成埋筑标志碑的完成率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每根标志碑的资金成本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180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通过对警示标志碑资金投入，防止违建、违占，使人们生活环境条件得到提升，使资金落到实处，项目资金投入放大倍数。</w:t>
            </w:r>
            <w:r>
              <w:rPr>
                <w:rFonts w:ascii="宋体" w:hAnsi="宋体" w:cs="Times New Roman"/>
                <w:b w:val="0"/>
                <w:bCs/>
                <w:color w:val="auto"/>
                <w:kern w:val="2"/>
                <w:szCs w:val="24"/>
              </w:rPr>
              <w:tab/>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环境质量改善</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通过埋筑标志碑强化宣传，防止违建、违占，使人们的生活环境得到改善</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生活环境条件显著提高。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5" w:name="_Toc70322061"/>
      <w:r>
        <w:rPr>
          <w:rFonts w:hint="eastAsia" w:ascii="宋体" w:hAnsi="宋体" w:cs="Times New Roman"/>
          <w:b w:val="0"/>
          <w:bCs/>
          <w:color w:val="auto"/>
          <w:kern w:val="2"/>
          <w:sz w:val="28"/>
          <w:szCs w:val="24"/>
        </w:rPr>
        <w:t>13.2021年林业科技推广示范项目保财资环（2020）139号绩效目标表</w:t>
      </w:r>
      <w:bookmarkEnd w:id="1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13、2021年林业科技推广示范项目保财资环（2020）139号绩效目标表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13062121SRY7GEDLAHXM3</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年林业科技推广示范项目保财资环（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139</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用于满城区林业科技推广示范项目补助。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带动周边群众就业率。</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提高我区林业产业整体水平。</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示范区面积（亩）</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林业科技推广示范区面积（亩）</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530</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种子级别</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林业科技推广培育种子的级别</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级</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任务完成率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林业科技推广示范任务完成率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每亩补助金额（元）</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林业科技推广示范区每亩补助金额</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1510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种子产值</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通过技术推广培育出的优良种子的产值</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1500</w:t>
            </w:r>
            <w:r>
              <w:rPr>
                <w:rFonts w:hint="eastAsia" w:ascii="宋体" w:hAnsi="宋体" w:cs="Times New Roman"/>
                <w:b w:val="0"/>
                <w:bCs/>
                <w:color w:val="auto"/>
                <w:kern w:val="2"/>
                <w:szCs w:val="24"/>
              </w:rPr>
              <w:t>元</w:t>
            </w:r>
            <w:r>
              <w:rPr>
                <w:rFonts w:ascii="宋体" w:hAnsi="宋体" w:cs="Times New Roman"/>
                <w:b w:val="0"/>
                <w:bCs/>
                <w:color w:val="auto"/>
                <w:kern w:val="2"/>
                <w:szCs w:val="24"/>
              </w:rPr>
              <w:t>/</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带动就业人数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通过侧柏及桃优良苗木繁育带动周边就业人数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r>
              <w:rPr>
                <w:rFonts w:hint="eastAsia" w:ascii="宋体" w:hAnsi="宋体" w:cs="Times New Roman"/>
                <w:b w:val="0"/>
                <w:bCs/>
                <w:color w:val="auto"/>
                <w:kern w:val="2"/>
                <w:szCs w:val="24"/>
              </w:rPr>
              <w:t>人</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使用优良品种农户的满意度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ind w:firstLine="560" w:firstLineChars="200"/>
        <w:jc w:val="left"/>
        <w:outlineLvl w:val="3"/>
        <w:rPr>
          <w:rFonts w:ascii="宋体" w:hAnsi="宋体" w:cs="Times New Roman"/>
          <w:b w:val="0"/>
          <w:bCs/>
          <w:color w:val="auto"/>
          <w:kern w:val="2"/>
          <w:sz w:val="28"/>
          <w:szCs w:val="24"/>
        </w:rPr>
      </w:pPr>
      <w:bookmarkStart w:id="16" w:name="_Toc70322062"/>
      <w:r>
        <w:rPr>
          <w:rFonts w:hint="eastAsia" w:ascii="宋体" w:hAnsi="宋体" w:cs="Times New Roman"/>
          <w:b w:val="0"/>
          <w:bCs/>
          <w:color w:val="auto"/>
          <w:kern w:val="2"/>
          <w:sz w:val="28"/>
          <w:szCs w:val="24"/>
        </w:rPr>
        <w:t>14.2021年林木良种培育项目保财资环（2020）139号绩效目标表</w:t>
      </w:r>
      <w:bookmarkEnd w:id="1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14、2021年林木良种培育项目保财资环（2020）139号绩效目标表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13062121UFGETY3IZYTAX</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年林木良种培育项目保财资环（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139</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用于繁育侧柏和桃优良品种补贴。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40.00%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90.00%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培育林木良种苗木，提高农民收入。</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及时拨付资金，提高资金使用率。</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培育亩数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培育林木良种的总亩数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220</w:t>
            </w:r>
            <w:r>
              <w:rPr>
                <w:rFonts w:hint="eastAsia" w:ascii="宋体" w:hAnsi="宋体" w:cs="Times New Roman"/>
                <w:b w:val="0"/>
                <w:bCs/>
                <w:color w:val="auto"/>
                <w:kern w:val="2"/>
                <w:szCs w:val="24"/>
              </w:rPr>
              <w:t>亩</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林木良种培育资金到位率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金到位及时率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林木良种培育资金到位及时率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每亩补助金额</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林木良种培育每亩补助金额</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农户收入增长率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农户栽植了良种培育苗木后的收入增长率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种苗繁育成活率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林木种苗繁育成活率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农户的满意度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17" w:name="_Toc70322063"/>
      <w:r>
        <w:rPr>
          <w:rFonts w:hint="eastAsia" w:ascii="宋体" w:hAnsi="宋体" w:cs="Times New Roman"/>
          <w:b w:val="0"/>
          <w:bCs/>
          <w:color w:val="auto"/>
          <w:kern w:val="2"/>
          <w:sz w:val="28"/>
          <w:szCs w:val="24"/>
        </w:rPr>
        <w:t>15.京车园区外围绿化资金绩效目标表</w:t>
      </w:r>
      <w:bookmarkEnd w:id="1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15、京车园区外围绿化资金绩效目标表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13062121XGMU4WXUNT4RB</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京车园区外围绿化资金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用于京车园区外围绿化、美化经费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绿化美化京车外围环境。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及时将资金拨付到位。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用土数量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京车外围环境绿化美化用土数量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r>
              <w:rPr>
                <w:rFonts w:hint="eastAsia" w:ascii="宋体" w:hAnsi="宋体" w:cs="Times New Roman"/>
                <w:b w:val="0"/>
                <w:bCs/>
                <w:color w:val="auto"/>
                <w:kern w:val="2"/>
                <w:szCs w:val="24"/>
              </w:rPr>
              <w:t>车</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绿化美化率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京车外围环境绿化美化率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完工及时率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京车外围绿化美化工程完工的及时率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土方价格</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所用土方每车的价格</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收入提高</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通过对京车外围的绿化美化，雇佣周边群众参与，增加附近居民收入。</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增绿量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通过对京车外围的绿化、美化，种植树木，提高增绿量。</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0.01%</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工作计划</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18" w:name="_Toc70322064"/>
      <w:r>
        <w:rPr>
          <w:rFonts w:hint="eastAsia" w:ascii="宋体" w:hAnsi="宋体" w:cs="Times New Roman"/>
          <w:b w:val="0"/>
          <w:bCs/>
          <w:color w:val="auto"/>
          <w:kern w:val="2"/>
          <w:sz w:val="28"/>
          <w:szCs w:val="24"/>
        </w:rPr>
        <w:t>16.2021年土地整治项目保财资环（2020）144号绩效目标表</w:t>
      </w:r>
      <w:bookmarkEnd w:id="1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16、2021年土地整治项目保财资环（2020）144号绩效目标表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324001</w:t>
            </w:r>
            <w:r>
              <w:rPr>
                <w:rFonts w:hint="eastAsia" w:ascii="宋体" w:hAnsi="宋体" w:cs="Times New Roman"/>
                <w:b w:val="0"/>
                <w:bCs/>
                <w:color w:val="auto"/>
                <w:kern w:val="2"/>
                <w:szCs w:val="24"/>
              </w:rPr>
              <w:t>保定市自然资源和规划局满城区分局本级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13062121YGRCA0GZOC43R</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年土地整治项目保财资环（</w:t>
            </w:r>
            <w:r>
              <w:rPr>
                <w:rFonts w:ascii="宋体" w:hAnsi="宋体" w:cs="Times New Roman"/>
                <w:b w:val="0"/>
                <w:bCs/>
                <w:color w:val="auto"/>
                <w:kern w:val="2"/>
                <w:szCs w:val="24"/>
              </w:rPr>
              <w:t>2020</w:t>
            </w:r>
            <w:r>
              <w:rPr>
                <w:rFonts w:hint="eastAsia" w:ascii="宋体" w:hAnsi="宋体" w:cs="Times New Roman"/>
                <w:b w:val="0"/>
                <w:bCs/>
                <w:color w:val="auto"/>
                <w:kern w:val="2"/>
                <w:szCs w:val="24"/>
              </w:rPr>
              <w:t>）</w:t>
            </w:r>
            <w:r>
              <w:rPr>
                <w:rFonts w:ascii="宋体" w:hAnsi="宋体" w:cs="Times New Roman"/>
                <w:b w:val="0"/>
                <w:bCs/>
                <w:color w:val="auto"/>
                <w:kern w:val="2"/>
                <w:szCs w:val="24"/>
              </w:rPr>
              <w:t>144</w:t>
            </w:r>
            <w:r>
              <w:rPr>
                <w:rFonts w:hint="eastAsia" w:ascii="宋体" w:hAnsi="宋体" w:cs="Times New Roman"/>
                <w:b w:val="0"/>
                <w:bCs/>
                <w:color w:val="auto"/>
                <w:kern w:val="2"/>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用于西龙门村规划费用。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对村庄进行规划，改善村庄面貌。</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及时将规划资金拨付到位。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规划数量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涉及规划的村庄的个数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个</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规划率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村庄的规划完成率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资金拨付率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规划资金拨付到位率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规划成本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对村庄进行规划所需的资金成本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资金投入放大倍数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通过对</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多规合一</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的资金投入，使村民生活环境条件得到提升，使资金落到实处，项目资金投入放大倍数。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倍</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环境改善情况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通过规划，改善生态环境，给村民带来优越的生活环境</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生活环境条件显著提高。</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进行规划的村庄的群众的满意程度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19" w:name="_Toc70322065"/>
      <w:r>
        <w:rPr>
          <w:rFonts w:hint="eastAsia" w:ascii="宋体" w:hAnsi="宋体" w:cs="Times New Roman"/>
          <w:b w:val="0"/>
          <w:bCs/>
          <w:color w:val="auto"/>
          <w:kern w:val="2"/>
          <w:sz w:val="28"/>
          <w:szCs w:val="24"/>
        </w:rPr>
        <w:t>17.（综）保定市满城区方顺桥镇孟村和谭头村土地整治（占补平衡）项目绩效目标表</w:t>
      </w:r>
      <w:bookmarkEnd w:id="19"/>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17、（综）保定市满城区方顺桥镇孟村和谭头村土地整治（占补平衡）项目绩效目标表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130621212H1G51A0FU38O</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（综）保定市满城区方顺桥镇孟村和谭头村土地整治（占补平衡）项目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支付项目施工费和其他费用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项目总规模</w:t>
            </w:r>
            <w:r>
              <w:rPr>
                <w:rFonts w:ascii="宋体" w:hAnsi="宋体" w:cs="Times New Roman"/>
                <w:b w:val="0"/>
                <w:bCs/>
                <w:color w:val="auto"/>
                <w:kern w:val="2"/>
                <w:szCs w:val="24"/>
              </w:rPr>
              <w:t>3.9444</w:t>
            </w:r>
            <w:r>
              <w:rPr>
                <w:rFonts w:hint="eastAsia" w:ascii="宋体" w:hAnsi="宋体" w:cs="Times New Roman"/>
                <w:b w:val="0"/>
                <w:bCs/>
                <w:color w:val="auto"/>
                <w:kern w:val="2"/>
                <w:szCs w:val="24"/>
              </w:rPr>
              <w:t>公顷，新增耕地</w:t>
            </w:r>
            <w:r>
              <w:rPr>
                <w:rFonts w:ascii="宋体" w:hAnsi="宋体" w:cs="Times New Roman"/>
                <w:b w:val="0"/>
                <w:bCs/>
                <w:color w:val="auto"/>
                <w:kern w:val="2"/>
                <w:szCs w:val="24"/>
              </w:rPr>
              <w:t>3.8684</w:t>
            </w:r>
            <w:r>
              <w:rPr>
                <w:rFonts w:hint="eastAsia" w:ascii="宋体" w:hAnsi="宋体" w:cs="Times New Roman"/>
                <w:b w:val="0"/>
                <w:bCs/>
                <w:color w:val="auto"/>
                <w:kern w:val="2"/>
                <w:szCs w:val="24"/>
              </w:rPr>
              <w:t>公顷。</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达到合格标准</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0" w:name="_Toc70322066"/>
      <w:r>
        <w:rPr>
          <w:rFonts w:hint="eastAsia" w:ascii="宋体" w:hAnsi="宋体" w:cs="Times New Roman"/>
          <w:b w:val="0"/>
          <w:bCs/>
          <w:color w:val="auto"/>
          <w:kern w:val="2"/>
          <w:sz w:val="28"/>
          <w:szCs w:val="24"/>
        </w:rPr>
        <w:t>18.（综）满城镇、大册营镇、南韩村镇、方顺桥镇、要庄乡征地补偿款及前期征地报批费用绩效目标表</w:t>
      </w:r>
      <w:bookmarkEnd w:id="20"/>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18、（综）满城镇、大册营镇、南韩村镇、方顺桥镇、要庄乡征地补偿款及前期征地报批费用绩效目标表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1306212136PF16CEHQD4M</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（综）满城镇、大册营镇、南韩村镇、方顺桥镇、要庄乡征地补偿款及前期征地报批费用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8277.41</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8277.41</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支付征地补偿款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用于支付征地补偿款按期完成工程进度</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资金支出占收入比例</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1" w:name="_Toc70322067"/>
      <w:r>
        <w:rPr>
          <w:rFonts w:hint="eastAsia" w:ascii="宋体" w:hAnsi="宋体" w:cs="Times New Roman"/>
          <w:b w:val="0"/>
          <w:bCs/>
          <w:color w:val="auto"/>
          <w:kern w:val="2"/>
          <w:sz w:val="28"/>
          <w:szCs w:val="24"/>
        </w:rPr>
        <w:t>19.（综）白龙乡巩庄村废弃矿山土石料资产价值评估费用绩效目标表</w:t>
      </w:r>
      <w:bookmarkEnd w:id="21"/>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19、（综）白龙乡巩庄村废弃矿山土石料资产价值评估费用绩效目标表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130621213E0RTG5G1QGLI</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（综）白龙乡巩庄村废弃矿山土石料资产价值评估费用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为废弃矿山土石料在评估基准日的公允价值提供参考。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及时拨付评估费用。</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委托第三方评估所需成本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委托第三方评估所需成本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对评估的满意程度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对评估的满意程度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2" w:name="_Toc70322068"/>
      <w:r>
        <w:rPr>
          <w:rFonts w:hint="eastAsia" w:ascii="宋体" w:hAnsi="宋体" w:cs="Times New Roman"/>
          <w:b w:val="0"/>
          <w:bCs/>
          <w:color w:val="auto"/>
          <w:kern w:val="2"/>
          <w:sz w:val="28"/>
          <w:szCs w:val="24"/>
        </w:rPr>
        <w:t>20.（综）不动产登记中心装修改造工程绩效目标表</w:t>
      </w:r>
      <w:bookmarkEnd w:id="22"/>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20、（综）不动产登记中心装修改造工程绩效目标表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1306212164FMWXV47Y01O</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（综）不动产登记中心装修改造工程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用于不动产房屋装修费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改善职工工作条件</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将资金及时拨付到位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受益人数</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通过装修改善工作条件收益的人数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40</w:t>
            </w:r>
            <w:r>
              <w:rPr>
                <w:rFonts w:hint="eastAsia" w:ascii="宋体" w:hAnsi="宋体" w:cs="Times New Roman"/>
                <w:b w:val="0"/>
                <w:bCs/>
                <w:color w:val="auto"/>
                <w:kern w:val="2"/>
                <w:szCs w:val="24"/>
              </w:rPr>
              <w:t>人</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工程完成合格面积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装修的工程完成的合格面积</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200</w:t>
            </w:r>
            <w:r>
              <w:rPr>
                <w:rFonts w:hint="eastAsia" w:ascii="宋体" w:hAnsi="宋体" w:cs="Times New Roman"/>
                <w:b w:val="0"/>
                <w:bCs/>
                <w:color w:val="auto"/>
                <w:kern w:val="2"/>
                <w:szCs w:val="24"/>
              </w:rPr>
              <w:t>平米</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工程完工率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不动产办公房装修工程完成率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职工的满意程度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3" w:name="_Toc70322069"/>
      <w:r>
        <w:rPr>
          <w:rFonts w:hint="eastAsia" w:ascii="宋体" w:hAnsi="宋体" w:cs="Times New Roman"/>
          <w:b w:val="0"/>
          <w:bCs/>
          <w:color w:val="auto"/>
          <w:kern w:val="2"/>
          <w:sz w:val="28"/>
          <w:szCs w:val="24"/>
        </w:rPr>
        <w:t>21.（综）保定市满城区石井乡和坨南乡土地整治（占补平衡）项目、满城县神星镇石板山村土地开发项目绩效目标表</w:t>
      </w:r>
      <w:bookmarkEnd w:id="2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21、（综）保定市满城区石井乡和坨南乡土地整治（占补平衡）项目、满城县神星镇石板山村土地开发项目绩效目标表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130621217PKEXT9M5HEZ0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（综）保定市满城区石井乡和坨南乡土地整治（占补平衡）项目、满城县神星镇石板山村土地开发项目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800.00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支付项目工程款及其他费用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项目建设总规模</w:t>
            </w:r>
            <w:r>
              <w:rPr>
                <w:rFonts w:ascii="宋体" w:hAnsi="宋体" w:cs="Times New Roman"/>
                <w:b w:val="0"/>
                <w:bCs/>
                <w:color w:val="auto"/>
                <w:kern w:val="2"/>
                <w:szCs w:val="24"/>
              </w:rPr>
              <w:t>92.9443</w:t>
            </w:r>
            <w:r>
              <w:rPr>
                <w:rFonts w:hint="eastAsia" w:ascii="宋体" w:hAnsi="宋体" w:cs="Times New Roman"/>
                <w:b w:val="0"/>
                <w:bCs/>
                <w:color w:val="auto"/>
                <w:kern w:val="2"/>
                <w:szCs w:val="24"/>
              </w:rPr>
              <w:t>公顷，新增耕地</w:t>
            </w:r>
            <w:r>
              <w:rPr>
                <w:rFonts w:ascii="宋体" w:hAnsi="宋体" w:cs="Times New Roman"/>
                <w:b w:val="0"/>
                <w:bCs/>
                <w:color w:val="auto"/>
                <w:kern w:val="2"/>
                <w:szCs w:val="24"/>
              </w:rPr>
              <w:t>51.0960</w:t>
            </w:r>
            <w:r>
              <w:rPr>
                <w:rFonts w:hint="eastAsia" w:ascii="宋体" w:hAnsi="宋体" w:cs="Times New Roman"/>
                <w:b w:val="0"/>
                <w:bCs/>
                <w:color w:val="auto"/>
                <w:kern w:val="2"/>
                <w:szCs w:val="24"/>
              </w:rPr>
              <w:t>公顷。</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达到合格标准</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800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4" w:name="_Toc70322070"/>
      <w:r>
        <w:rPr>
          <w:rFonts w:hint="eastAsia" w:ascii="宋体" w:hAnsi="宋体" w:cs="Times New Roman"/>
          <w:b w:val="0"/>
          <w:bCs/>
          <w:color w:val="auto"/>
          <w:kern w:val="2"/>
          <w:sz w:val="28"/>
          <w:szCs w:val="24"/>
        </w:rPr>
        <w:t>22.（综）京昆高速沿线（满城段）白茬山生态修复高标准示范带工程上子口等5个矿山生态环境综合治理项目绩效目标表</w:t>
      </w:r>
      <w:bookmarkEnd w:id="2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22、（综）京昆高速沿线（满城段）白茬山生态修复高标准示范带工程上子口等5个矿山生态环境综合治理项目绩效目标表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13062121C71FMPBP4MSDK</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（综）京昆高速沿线（满城段）白茬山生态修复高标准示范带工程上子口等</w:t>
            </w:r>
            <w:r>
              <w:rPr>
                <w:rFonts w:ascii="宋体" w:hAnsi="宋体" w:cs="Times New Roman"/>
                <w:b w:val="0"/>
                <w:bCs/>
                <w:color w:val="auto"/>
                <w:kern w:val="2"/>
                <w:szCs w:val="24"/>
              </w:rPr>
              <w:t>5</w:t>
            </w:r>
            <w:r>
              <w:rPr>
                <w:rFonts w:hint="eastAsia" w:ascii="宋体" w:hAnsi="宋体" w:cs="Times New Roman"/>
                <w:b w:val="0"/>
                <w:bCs/>
                <w:color w:val="auto"/>
                <w:kern w:val="2"/>
                <w:szCs w:val="24"/>
              </w:rPr>
              <w:t>个矿山生态环境综合治理项目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9134.00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9134.00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关于京昆高速沿线（满城段）白茬山生态修复高标准示范带工程上紫口等</w:t>
            </w:r>
            <w:r>
              <w:rPr>
                <w:rFonts w:ascii="宋体" w:hAnsi="宋体" w:cs="Times New Roman"/>
                <w:b w:val="0"/>
                <w:bCs/>
                <w:color w:val="auto"/>
                <w:kern w:val="2"/>
                <w:szCs w:val="24"/>
              </w:rPr>
              <w:t>5</w:t>
            </w:r>
            <w:r>
              <w:rPr>
                <w:rFonts w:hint="eastAsia" w:ascii="宋体" w:hAnsi="宋体" w:cs="Times New Roman"/>
                <w:b w:val="0"/>
                <w:bCs/>
                <w:color w:val="auto"/>
                <w:kern w:val="2"/>
                <w:szCs w:val="24"/>
              </w:rPr>
              <w:t>个治理项目的工程款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对矿山生态环境进行综合整治</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露天矿山生态修复面积</w:t>
            </w:r>
            <w:r>
              <w:rPr>
                <w:rFonts w:ascii="宋体" w:hAnsi="宋体" w:cs="Times New Roman"/>
                <w:b w:val="0"/>
                <w:bCs/>
                <w:color w:val="auto"/>
                <w:kern w:val="2"/>
                <w:szCs w:val="24"/>
              </w:rPr>
              <w:t>2222599.25</w:t>
            </w:r>
            <w:r>
              <w:rPr>
                <w:rFonts w:hint="eastAsia" w:ascii="宋体" w:hAnsi="宋体" w:cs="Times New Roman"/>
                <w:b w:val="0"/>
                <w:bCs/>
                <w:color w:val="auto"/>
                <w:kern w:val="2"/>
                <w:szCs w:val="24"/>
              </w:rPr>
              <w:t>平方米</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评审合格率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评审合格率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年度实施方案</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年度实施方案</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9134</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80%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5" w:name="_Toc70322071"/>
      <w:r>
        <w:rPr>
          <w:rFonts w:hint="eastAsia" w:ascii="宋体" w:hAnsi="宋体" w:cs="Times New Roman"/>
          <w:b w:val="0"/>
          <w:bCs/>
          <w:color w:val="auto"/>
          <w:kern w:val="2"/>
          <w:sz w:val="28"/>
          <w:szCs w:val="24"/>
        </w:rPr>
        <w:t>23.（综）2020年满城区五处露天矿山和满城区东赵庄村露天矿山地质环境恢复治理项目绩效目标表</w:t>
      </w:r>
      <w:bookmarkEnd w:id="25"/>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23、（综）2020年满城区五处露天矿山和满城区东赵庄村露天矿山地质环境恢复治理项目绩效目标表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13062121DO5RCIICXPZFM</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w:t>
            </w:r>
            <w:r>
              <w:rPr>
                <w:rFonts w:ascii="宋体" w:hAnsi="宋体" w:cs="Times New Roman"/>
                <w:b w:val="0"/>
                <w:bCs/>
                <w:color w:val="auto"/>
                <w:kern w:val="2"/>
                <w:szCs w:val="24"/>
              </w:rPr>
              <w:t>2020</w:t>
            </w:r>
            <w:r>
              <w:rPr>
                <w:rFonts w:hint="eastAsia" w:ascii="宋体" w:hAnsi="宋体" w:cs="Times New Roman"/>
                <w:b w:val="0"/>
                <w:bCs/>
                <w:color w:val="auto"/>
                <w:kern w:val="2"/>
                <w:szCs w:val="24"/>
              </w:rPr>
              <w:t>年满城区五处露天矿山和满城区东赵庄村露天矿山地质环境恢复治理项目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2338.00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2338.00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2020</w:t>
            </w:r>
            <w:r>
              <w:rPr>
                <w:rFonts w:hint="eastAsia" w:ascii="宋体" w:hAnsi="宋体" w:cs="Times New Roman"/>
                <w:b w:val="0"/>
                <w:bCs/>
                <w:color w:val="auto"/>
                <w:kern w:val="2"/>
                <w:szCs w:val="24"/>
              </w:rPr>
              <w:t>年满城区五处露天矿山地质环境恢复治理项目和</w:t>
            </w:r>
            <w:r>
              <w:rPr>
                <w:rFonts w:ascii="宋体" w:hAnsi="宋体" w:cs="Times New Roman"/>
                <w:b w:val="0"/>
                <w:bCs/>
                <w:color w:val="auto"/>
                <w:kern w:val="2"/>
                <w:szCs w:val="24"/>
              </w:rPr>
              <w:t>2020</w:t>
            </w:r>
            <w:r>
              <w:rPr>
                <w:rFonts w:hint="eastAsia" w:ascii="宋体" w:hAnsi="宋体" w:cs="Times New Roman"/>
                <w:b w:val="0"/>
                <w:bCs/>
                <w:color w:val="auto"/>
                <w:kern w:val="2"/>
                <w:szCs w:val="24"/>
              </w:rPr>
              <w:t>年满城区东赵庄村露天矿山地质环境恢复治理项目工程款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对矿山生态环境进行综合治理</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露天矿山生态修复面积</w:t>
            </w:r>
            <w:r>
              <w:rPr>
                <w:rFonts w:ascii="宋体" w:hAnsi="宋体" w:cs="Times New Roman"/>
                <w:b w:val="0"/>
                <w:bCs/>
                <w:color w:val="auto"/>
                <w:kern w:val="2"/>
                <w:szCs w:val="24"/>
              </w:rPr>
              <w:t>302856</w:t>
            </w:r>
            <w:r>
              <w:rPr>
                <w:rFonts w:hint="eastAsia" w:ascii="宋体" w:hAnsi="宋体" w:cs="Times New Roman"/>
                <w:b w:val="0"/>
                <w:bCs/>
                <w:color w:val="auto"/>
                <w:kern w:val="2"/>
                <w:szCs w:val="24"/>
              </w:rPr>
              <w:t>平方米</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灭失矿山迹地治理恢复面积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方案评审合格率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方案评审合格率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年实施方案</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2021</w:t>
            </w:r>
            <w:r>
              <w:rPr>
                <w:rFonts w:hint="eastAsia" w:ascii="宋体" w:hAnsi="宋体" w:cs="Times New Roman"/>
                <w:b w:val="0"/>
                <w:bCs/>
                <w:color w:val="auto"/>
                <w:kern w:val="2"/>
                <w:szCs w:val="24"/>
              </w:rPr>
              <w:t>年实施方案</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总成本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2338</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废弃地复垦利用率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80%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6" w:name="_Toc70322072"/>
      <w:r>
        <w:rPr>
          <w:rFonts w:hint="eastAsia" w:ascii="宋体" w:hAnsi="宋体" w:cs="Times New Roman"/>
          <w:b w:val="0"/>
          <w:bCs/>
          <w:color w:val="auto"/>
          <w:kern w:val="2"/>
          <w:sz w:val="28"/>
          <w:szCs w:val="24"/>
        </w:rPr>
        <w:t>24.（综）2018年土地储备专项债券申报项目评价费用绩效目标表</w:t>
      </w:r>
      <w:bookmarkEnd w:id="26"/>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24、（综）2018年土地储备专项债券申报项目评价费用绩效目标表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13062121GOMEDDYEDEXHB</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w:t>
            </w:r>
            <w:r>
              <w:rPr>
                <w:rFonts w:ascii="宋体" w:hAnsi="宋体" w:cs="Times New Roman"/>
                <w:b w:val="0"/>
                <w:bCs/>
                <w:color w:val="auto"/>
                <w:kern w:val="2"/>
                <w:szCs w:val="24"/>
              </w:rPr>
              <w:t>2018</w:t>
            </w:r>
            <w:r>
              <w:rPr>
                <w:rFonts w:hint="eastAsia" w:ascii="宋体" w:hAnsi="宋体" w:cs="Times New Roman"/>
                <w:b w:val="0"/>
                <w:bCs/>
                <w:color w:val="auto"/>
                <w:kern w:val="2"/>
                <w:szCs w:val="24"/>
              </w:rPr>
              <w:t>年土地储备专项债券申报项目评价费用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用于拨付</w:t>
            </w:r>
            <w:r>
              <w:rPr>
                <w:rFonts w:ascii="宋体" w:hAnsi="宋体" w:cs="Times New Roman"/>
                <w:b w:val="0"/>
                <w:bCs/>
                <w:color w:val="auto"/>
                <w:kern w:val="2"/>
                <w:szCs w:val="24"/>
              </w:rPr>
              <w:t>2018</w:t>
            </w:r>
            <w:r>
              <w:rPr>
                <w:rFonts w:hint="eastAsia" w:ascii="宋体" w:hAnsi="宋体" w:cs="Times New Roman"/>
                <w:b w:val="0"/>
                <w:bCs/>
                <w:color w:val="auto"/>
                <w:kern w:val="2"/>
                <w:szCs w:val="24"/>
              </w:rPr>
              <w:t>年土地储备专项债券申报项目评价费用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拨付</w:t>
            </w:r>
            <w:r>
              <w:rPr>
                <w:rFonts w:ascii="宋体" w:hAnsi="宋体" w:cs="Times New Roman"/>
                <w:b w:val="0"/>
                <w:bCs/>
                <w:color w:val="auto"/>
                <w:kern w:val="2"/>
                <w:szCs w:val="24"/>
              </w:rPr>
              <w:t>2018</w:t>
            </w:r>
            <w:r>
              <w:rPr>
                <w:rFonts w:hint="eastAsia" w:ascii="宋体" w:hAnsi="宋体" w:cs="Times New Roman"/>
                <w:b w:val="0"/>
                <w:bCs/>
                <w:color w:val="auto"/>
                <w:kern w:val="2"/>
                <w:szCs w:val="24"/>
              </w:rPr>
              <w:t>年土地储备专项债券申报项目评价费用</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项目按期完成率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资金支出占收入比例</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维护社会稳定性</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群众满意度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7" w:name="_Toc70322073"/>
      <w:r>
        <w:rPr>
          <w:rFonts w:hint="eastAsia" w:ascii="宋体" w:hAnsi="宋体" w:cs="Times New Roman"/>
          <w:b w:val="0"/>
          <w:bCs/>
          <w:color w:val="auto"/>
          <w:kern w:val="2"/>
          <w:sz w:val="28"/>
          <w:szCs w:val="24"/>
        </w:rPr>
        <w:t>25.（综）满城县十万亩高标准基本农田建设项目绩效目标表</w:t>
      </w:r>
      <w:bookmarkEnd w:id="27"/>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25、（综）满城县十万亩高标准基本农田建设项目绩效目标表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13062121IHGIIE2GCCM3Z</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（综）满城县十万亩高标准基本农田建设项目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用于支付工程施工费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建成</w:t>
            </w:r>
            <w:r>
              <w:rPr>
                <w:rFonts w:ascii="宋体" w:hAnsi="宋体" w:cs="Times New Roman"/>
                <w:b w:val="0"/>
                <w:bCs/>
                <w:color w:val="auto"/>
                <w:kern w:val="2"/>
                <w:szCs w:val="24"/>
              </w:rPr>
              <w:t>10</w:t>
            </w:r>
            <w:r>
              <w:rPr>
                <w:rFonts w:hint="eastAsia" w:ascii="宋体" w:hAnsi="宋体" w:cs="Times New Roman"/>
                <w:b w:val="0"/>
                <w:bCs/>
                <w:color w:val="auto"/>
                <w:kern w:val="2"/>
                <w:szCs w:val="24"/>
              </w:rPr>
              <w:t>万亩高标准基本农田</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达到合格标准</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项目工程量清单完成率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建设工程质量合格率（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工程完成及时率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工程成本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土地利用率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8" w:name="_Toc70322074"/>
      <w:r>
        <w:rPr>
          <w:rFonts w:hint="eastAsia" w:ascii="宋体" w:hAnsi="宋体" w:cs="Times New Roman"/>
          <w:b w:val="0"/>
          <w:bCs/>
          <w:color w:val="auto"/>
          <w:kern w:val="2"/>
          <w:sz w:val="28"/>
          <w:szCs w:val="24"/>
        </w:rPr>
        <w:t>26.（综）满城区集中拆违专项行动所需经费绩效目标表</w:t>
      </w:r>
      <w:bookmarkEnd w:id="28"/>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26、（综）满城区集中拆违专项行动所需经费绩效目标表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13062121KTEUFYOGFTW10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（综）满城区集中拆违专项行动所需经费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用于拆违机械费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整治违法用地</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消除违法建筑</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集中整治拆违面积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29033.34</w:t>
            </w:r>
            <w:r>
              <w:rPr>
                <w:rFonts w:hint="eastAsia" w:ascii="宋体" w:hAnsi="宋体" w:cs="Times New Roman"/>
                <w:b w:val="0"/>
                <w:bCs/>
                <w:color w:val="auto"/>
                <w:kern w:val="2"/>
                <w:szCs w:val="24"/>
              </w:rPr>
              <w:t>平方米</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拆除率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集中拆除违法建筑的比率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资金拨付及时率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拆违的资金成本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20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满意对</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29" w:name="_Toc70322075"/>
      <w:r>
        <w:rPr>
          <w:rFonts w:hint="eastAsia" w:ascii="宋体" w:hAnsi="宋体" w:cs="Times New Roman"/>
          <w:b w:val="0"/>
          <w:bCs/>
          <w:color w:val="auto"/>
          <w:kern w:val="2"/>
          <w:sz w:val="28"/>
          <w:szCs w:val="24"/>
        </w:rPr>
        <w:t>27.（综）《保定市满城区白龙乡巩庄村废弃矿山石料利用方案》和《保定市满城区白龙乡巩庄村废弃矿山地质环境修复治理方案》编制费用绩效目标表</w:t>
      </w:r>
      <w:bookmarkEnd w:id="29"/>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27、（综）《保定市满城区白龙乡巩庄村废弃矿山石料利用方案》和《保定市满城区白龙乡巩庄村废弃矿山地质环境修复治理方案》编制费用绩效目标表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13062121SZ7A519DM0T7U</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（综）《保定市满城区白龙乡巩庄村废弃矿山石料利用方案》和《保定市满城区白龙乡巩庄村废弃矿山地质环境修复治理方案》编制费用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方案编制费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对边坡和平台进行综合整治，预防地质灾害的发生，生态环境质量大幅度改善。</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确定废弃土石料作为容易线、安大线路基填筑材料供应点。</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评估报告数量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调查数据准确率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合同约定时限</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委托第三方所需的研究成本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委托第三方所需的研究成本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提高效率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社会效益增长率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对评估报告的满意程度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0" w:name="_Toc70322076"/>
      <w:r>
        <w:rPr>
          <w:rFonts w:hint="eastAsia" w:ascii="宋体" w:hAnsi="宋体" w:cs="Times New Roman"/>
          <w:b w:val="0"/>
          <w:bCs/>
          <w:color w:val="auto"/>
          <w:kern w:val="2"/>
          <w:sz w:val="28"/>
          <w:szCs w:val="24"/>
        </w:rPr>
        <w:t>28.(综)大棚房清理整治费用绩效目标表</w:t>
      </w:r>
      <w:bookmarkEnd w:id="30"/>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28、(综)大棚房清理整治费用绩效目标表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13062121X929VBHL4EFOY</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w:t>
            </w:r>
            <w:r>
              <w:rPr>
                <w:rFonts w:hint="eastAsia" w:ascii="宋体" w:hAnsi="宋体" w:cs="Times New Roman"/>
                <w:b w:val="0"/>
                <w:bCs/>
                <w:color w:val="auto"/>
                <w:kern w:val="2"/>
                <w:szCs w:val="24"/>
              </w:rPr>
              <w:t>综</w:t>
            </w:r>
            <w:r>
              <w:rPr>
                <w:rFonts w:ascii="宋体" w:hAnsi="宋体" w:cs="Times New Roman"/>
                <w:b w:val="0"/>
                <w:bCs/>
                <w:color w:val="auto"/>
                <w:kern w:val="2"/>
                <w:szCs w:val="24"/>
              </w:rPr>
              <w:t>)</w:t>
            </w:r>
            <w:r>
              <w:rPr>
                <w:rFonts w:hint="eastAsia" w:ascii="宋体" w:hAnsi="宋体" w:cs="Times New Roman"/>
                <w:b w:val="0"/>
                <w:bCs/>
                <w:color w:val="auto"/>
                <w:kern w:val="2"/>
                <w:szCs w:val="24"/>
              </w:rPr>
              <w:t>大棚房清理整治费用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机械费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优化美化乡村环境</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及时拨付资金，使资金确实落实到位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用车数量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所用挖掘机及铲车的数量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40</w:t>
            </w:r>
            <w:r>
              <w:rPr>
                <w:rFonts w:hint="eastAsia" w:ascii="宋体" w:hAnsi="宋体" w:cs="Times New Roman"/>
                <w:b w:val="0"/>
                <w:bCs/>
                <w:color w:val="auto"/>
                <w:kern w:val="2"/>
                <w:szCs w:val="24"/>
              </w:rPr>
              <w:t>台</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任务完成率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任务完成率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资金发放及时率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资金发放的及时率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每台车的费用（元）</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清理</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所用挖掘机及铲车每台的费用（元）</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2500</w:t>
            </w:r>
            <w:r>
              <w:rPr>
                <w:rFonts w:hint="eastAsia" w:ascii="宋体" w:hAnsi="宋体" w:cs="Times New Roman"/>
                <w:b w:val="0"/>
                <w:bCs/>
                <w:color w:val="auto"/>
                <w:kern w:val="2"/>
                <w:szCs w:val="24"/>
              </w:rPr>
              <w:t>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环境改善情况收益率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通过</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大棚房</w:t>
            </w:r>
            <w:r>
              <w:rPr>
                <w:rFonts w:hint="cs" w:ascii="宋体" w:hAnsi="宋体" w:cs="Times New Roman"/>
                <w:b w:val="0"/>
                <w:bCs/>
                <w:color w:val="auto"/>
                <w:kern w:val="2"/>
                <w:szCs w:val="24"/>
                <w:cs/>
              </w:rPr>
              <w:t>”</w:t>
            </w:r>
            <w:r>
              <w:rPr>
                <w:rFonts w:hint="eastAsia" w:ascii="宋体" w:hAnsi="宋体" w:cs="Times New Roman"/>
                <w:b w:val="0"/>
                <w:bCs/>
                <w:color w:val="auto"/>
                <w:kern w:val="2"/>
                <w:szCs w:val="24"/>
              </w:rPr>
              <w:t>清理，环境改善情况给附近村民带来的收益率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群众投诉下降率（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群众投诉下降率（</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被清理地方村民的满意程度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1" w:name="_Toc70322077"/>
      <w:r>
        <w:rPr>
          <w:rFonts w:hint="eastAsia" w:ascii="宋体" w:hAnsi="宋体" w:cs="Times New Roman"/>
          <w:b w:val="0"/>
          <w:bCs/>
          <w:color w:val="auto"/>
          <w:kern w:val="2"/>
          <w:sz w:val="28"/>
          <w:szCs w:val="24"/>
        </w:rPr>
        <w:t>29.(综）秀兰旅客接待中心地上建筑物没收评估费用绩效目标表</w:t>
      </w:r>
      <w:bookmarkEnd w:id="31"/>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29、(综）秀兰旅客接待中心地上建筑物没收评估费用绩效目标表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13062121Y263GVKOISICP</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w:t>
            </w:r>
            <w:r>
              <w:rPr>
                <w:rFonts w:hint="eastAsia" w:ascii="宋体" w:hAnsi="宋体" w:cs="Times New Roman"/>
                <w:b w:val="0"/>
                <w:bCs/>
                <w:color w:val="auto"/>
                <w:kern w:val="2"/>
                <w:szCs w:val="24"/>
              </w:rPr>
              <w:t>综）秀兰旅客接待中心地上建筑物没收评估费用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3.15</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3.15</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用于拨付秀兰旅客接待中心地上建筑物没收评估费用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完成拨付秀兰接待中心地上建筑物没收评估费用</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资金支付率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实际支付资金与应支付资金比例</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优良率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结项鉴定优秀等级项目数量占结项总数量的比例（百分比）</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按期完成项目督查</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资金所占比例</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经济发展影响力</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2" w:name="_Toc70322078"/>
      <w:r>
        <w:rPr>
          <w:rFonts w:hint="eastAsia" w:ascii="宋体" w:hAnsi="宋体" w:cs="Times New Roman"/>
          <w:b w:val="0"/>
          <w:bCs/>
          <w:color w:val="auto"/>
          <w:kern w:val="2"/>
          <w:sz w:val="28"/>
          <w:szCs w:val="24"/>
        </w:rPr>
        <w:t>30.（综）满城区集中拆违专项行动所需经费绩效目标表</w:t>
      </w:r>
      <w:bookmarkEnd w:id="32"/>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30、（综）满城区集中拆违专项行动所需经费绩效目标表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13062121ZBM5IGIGK5A5G</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（综）满城区集中拆违专项行动所需经费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用于满城区集中拆违专项行动所需费用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整治违法用地</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消除违法建筑</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拆违面积</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集中整治拆违面积</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29033.34</w:t>
            </w:r>
            <w:r>
              <w:rPr>
                <w:rFonts w:hint="eastAsia" w:ascii="宋体" w:hAnsi="宋体" w:cs="Times New Roman"/>
                <w:b w:val="0"/>
                <w:bCs/>
                <w:color w:val="auto"/>
                <w:kern w:val="2"/>
                <w:szCs w:val="24"/>
              </w:rPr>
              <w:t>平方米</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拆除率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集中拆除违法建筑的比率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资金拨付及时率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拆违的资金成本</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30</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拆违工程完成情况</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项目实现功能</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群众的满意程度</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根据文件要求</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3" w:name="_Toc70322079"/>
      <w:r>
        <w:rPr>
          <w:rFonts w:hint="eastAsia" w:ascii="宋体" w:hAnsi="宋体" w:cs="Times New Roman"/>
          <w:b w:val="0"/>
          <w:bCs/>
          <w:color w:val="auto"/>
          <w:kern w:val="2"/>
          <w:sz w:val="28"/>
          <w:szCs w:val="24"/>
        </w:rPr>
        <w:t>31.（综）永久基本农田核实整改工作经费绩效目标表</w:t>
      </w:r>
      <w:bookmarkEnd w:id="33"/>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31、（综）永久基本农田核实整改工作经费绩效目标表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324006</w:t>
            </w:r>
            <w:r>
              <w:rPr>
                <w:rFonts w:hint="eastAsia" w:ascii="宋体" w:hAnsi="宋体" w:cs="Times New Roman"/>
                <w:b w:val="0"/>
                <w:bCs/>
                <w:color w:val="auto"/>
                <w:kern w:val="2"/>
                <w:szCs w:val="24"/>
              </w:rPr>
              <w:t>保定市自然资源和规划局满城区分局</w:t>
            </w:r>
            <w:r>
              <w:rPr>
                <w:rFonts w:ascii="宋体" w:hAnsi="宋体" w:cs="Times New Roman"/>
                <w:b w:val="0"/>
                <w:bCs/>
                <w:color w:val="auto"/>
                <w:kern w:val="2"/>
                <w:szCs w:val="24"/>
              </w:rPr>
              <w:t>(</w:t>
            </w:r>
            <w:r>
              <w:rPr>
                <w:rFonts w:hint="eastAsia" w:ascii="宋体" w:hAnsi="宋体" w:cs="Times New Roman"/>
                <w:b w:val="0"/>
                <w:bCs/>
                <w:color w:val="auto"/>
                <w:kern w:val="2"/>
                <w:szCs w:val="24"/>
              </w:rPr>
              <w:t>自收自支</w:t>
            </w:r>
            <w:r>
              <w:rPr>
                <w:rFonts w:ascii="宋体" w:hAnsi="宋体" w:cs="Times New Roman"/>
                <w:b w:val="0"/>
                <w:bCs/>
                <w:color w:val="auto"/>
                <w:kern w:val="2"/>
                <w:szCs w:val="24"/>
              </w:rPr>
              <w:t>)</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13062121ZYWG81Q5CYEHG</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（综）永久基本农田核实整改工作经费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编制方案及建立数据库费用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编制永久基本农田核实整改方案</w:t>
            </w:r>
          </w:p>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w:t>
            </w:r>
            <w:r>
              <w:rPr>
                <w:rFonts w:hint="eastAsia" w:ascii="宋体" w:hAnsi="宋体" w:cs="Times New Roman"/>
                <w:b w:val="0"/>
                <w:bCs/>
                <w:color w:val="auto"/>
                <w:kern w:val="2"/>
                <w:szCs w:val="24"/>
              </w:rPr>
              <w:t>建立永久基本农田数据库</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编制方案数量</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编制永久基本农田核实整改方案的数量</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份</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准确率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建立永久基本农田数据库的准确率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及时性</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拨付整改方案和建立数据库费用的及时率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编制方案及数据库的资金成本</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25</w:t>
            </w:r>
            <w:r>
              <w:rPr>
                <w:rFonts w:hint="eastAsia" w:ascii="宋体" w:hAnsi="宋体" w:cs="Times New Roman"/>
                <w:b w:val="0"/>
                <w:bCs/>
                <w:color w:val="auto"/>
                <w:kern w:val="2"/>
                <w:szCs w:val="24"/>
              </w:rPr>
              <w:t>万元</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成本节约率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编制方案及建立数据库成本节约率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5%</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社会效益指标提升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社会效益指标提升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提升显著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服务对象的满意程度</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90%</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根据上级文件精神</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spacing w:line="300" w:lineRule="exact"/>
        <w:jc w:val="left"/>
        <w:rPr>
          <w:rFonts w:ascii="宋体" w:hAnsi="宋体" w:cs="Times New Roman"/>
          <w:b w:val="0"/>
          <w:bCs/>
          <w:color w:val="auto"/>
          <w:kern w:val="2"/>
          <w:szCs w:val="24"/>
        </w:rPr>
      </w:pPr>
    </w:p>
    <w:p>
      <w:pPr>
        <w:jc w:val="left"/>
        <w:outlineLvl w:val="3"/>
        <w:rPr>
          <w:rFonts w:ascii="宋体" w:hAnsi="宋体" w:cs="Times New Roman"/>
          <w:b w:val="0"/>
          <w:bCs/>
          <w:color w:val="auto"/>
          <w:kern w:val="2"/>
          <w:sz w:val="28"/>
          <w:szCs w:val="24"/>
        </w:rPr>
      </w:pPr>
      <w:bookmarkStart w:id="34" w:name="_Toc70322080"/>
      <w:r>
        <w:rPr>
          <w:rFonts w:hint="eastAsia" w:ascii="宋体" w:hAnsi="宋体" w:cs="Times New Roman"/>
          <w:b w:val="0"/>
          <w:bCs/>
          <w:color w:val="auto"/>
          <w:kern w:val="2"/>
          <w:sz w:val="28"/>
          <w:szCs w:val="24"/>
        </w:rPr>
        <w:t>32.（综）征地补偿及土地开发费用绩效目标表</w:t>
      </w:r>
      <w:bookmarkEnd w:id="34"/>
      <w:r>
        <w:fldChar w:fldCharType="begin"/>
      </w:r>
      <w:r>
        <w:rPr>
          <w:rFonts w:ascii="宋体" w:hAnsi="宋体" w:cs="Times New Roman"/>
          <w:b w:val="0"/>
          <w:bCs/>
          <w:color w:val="auto"/>
          <w:kern w:val="2"/>
          <w:sz w:val="28"/>
          <w:szCs w:val="24"/>
        </w:rPr>
        <w:instrText xml:space="preserve"> </w:instrText>
      </w:r>
      <w:r>
        <w:rPr>
          <w:rFonts w:hint="eastAsia" w:ascii="宋体" w:hAnsi="宋体" w:cs="Times New Roman"/>
          <w:b w:val="0"/>
          <w:bCs/>
          <w:color w:val="auto"/>
          <w:kern w:val="2"/>
          <w:sz w:val="28"/>
          <w:szCs w:val="24"/>
        </w:rPr>
        <w:instrText xml:space="preserve">TC 32、（综）征地补偿及土地开发费用绩效目标表 \f C \l 1</w:instrText>
      </w:r>
      <w:r>
        <w:rPr>
          <w:rFonts w:ascii="宋体" w:hAnsi="宋体" w:cs="Times New Roman"/>
          <w:b w:val="0"/>
          <w:bCs/>
          <w:color w:val="auto"/>
          <w:kern w:val="2"/>
          <w:sz w:val="28"/>
          <w:szCs w:val="24"/>
        </w:rPr>
        <w:instrText xml:space="preserve"> </w:instrText>
      </w:r>
      <w:r>
        <w:rPr>
          <w:rFonts w:ascii="宋体" w:hAnsi="宋体" w:cs="Times New Roman"/>
          <w:b w:val="0"/>
          <w:bCs/>
          <w:color w:val="auto"/>
          <w:kern w:val="2"/>
          <w:sz w:val="28"/>
          <w:szCs w:val="24"/>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324007</w:t>
            </w:r>
            <w:r>
              <w:rPr>
                <w:rFonts w:hint="eastAsia" w:ascii="宋体" w:hAnsi="宋体" w:cs="Times New Roman"/>
                <w:b w:val="0"/>
                <w:bCs/>
                <w:color w:val="auto"/>
                <w:kern w:val="2"/>
                <w:szCs w:val="24"/>
              </w:rPr>
              <w:t>国土局部门</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宋体" w:hAnsi="宋体" w:cs="Times New Roman"/>
                <w:b w:val="0"/>
                <w:bCs/>
                <w:color w:val="auto"/>
                <w:kern w:val="2"/>
                <w:szCs w:val="24"/>
              </w:rPr>
            </w:pPr>
            <w:r>
              <w:rPr>
                <w:rFonts w:hint="eastAsia" w:ascii="宋体" w:hAnsi="宋体" w:cs="Times New Roman"/>
                <w:b w:val="0"/>
                <w:bCs/>
                <w:color w:val="auto"/>
                <w:kern w:val="2"/>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项目编码</w:t>
            </w:r>
          </w:p>
        </w:tc>
        <w:tc>
          <w:tcPr>
            <w:tcW w:w="2410" w:type="dxa"/>
            <w:gridSpan w:val="2"/>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13062121IOU8HMLAOERUQ</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项目名称</w:t>
            </w:r>
          </w:p>
        </w:tc>
        <w:tc>
          <w:tcPr>
            <w:tcW w:w="4281" w:type="dxa"/>
            <w:gridSpan w:val="3"/>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（综）征地补偿及土地开发费用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预算规模及资金用途</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预算数</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5000.00</w:t>
            </w:r>
          </w:p>
        </w:tc>
        <w:tc>
          <w:tcPr>
            <w:tcW w:w="1587"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其中：财政资金</w:t>
            </w:r>
          </w:p>
        </w:tc>
        <w:tc>
          <w:tcPr>
            <w:tcW w:w="1304"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5000.00</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其他资金</w:t>
            </w:r>
          </w:p>
        </w:tc>
        <w:tc>
          <w:tcPr>
            <w:tcW w:w="1701"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ascii="宋体" w:hAnsi="宋体" w:cs="Times New Roman"/>
                <w:b w:val="0"/>
                <w:bCs/>
                <w:color w:val="auto"/>
                <w:kern w:val="2"/>
                <w:szCs w:val="24"/>
              </w:rPr>
            </w:pPr>
          </w:p>
        </w:tc>
        <w:tc>
          <w:tcPr>
            <w:tcW w:w="8278" w:type="dxa"/>
            <w:gridSpan w:val="6"/>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用于土地补偿和土地开发支出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资金支出计划（</w:t>
            </w:r>
            <w:r>
              <w:rPr>
                <w:rFonts w:ascii="宋体" w:hAnsi="宋体" w:cs="Times New Roman"/>
                <w:b w:val="0"/>
                <w:bCs/>
                <w:color w:val="auto"/>
                <w:kern w:val="2"/>
                <w:szCs w:val="24"/>
              </w:rPr>
              <w:t>%</w:t>
            </w:r>
            <w:r>
              <w:rPr>
                <w:rFonts w:hint="eastAsia" w:ascii="宋体" w:hAnsi="宋体" w:cs="Times New Roman"/>
                <w:b w:val="0"/>
                <w:bCs/>
                <w:color w:val="auto"/>
                <w:kern w:val="2"/>
                <w:szCs w:val="24"/>
              </w:rPr>
              <w:t>）</w:t>
            </w:r>
          </w:p>
        </w:tc>
        <w:tc>
          <w:tcPr>
            <w:tcW w:w="2410"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3</w:t>
            </w:r>
            <w:r>
              <w:rPr>
                <w:rFonts w:hint="eastAsia" w:ascii="宋体" w:hAnsi="宋体" w:cs="Times New Roman"/>
                <w:b w:val="0"/>
                <w:bCs/>
                <w:color w:val="auto"/>
                <w:kern w:val="2"/>
                <w:szCs w:val="24"/>
              </w:rPr>
              <w:t>月底</w:t>
            </w:r>
          </w:p>
        </w:tc>
        <w:tc>
          <w:tcPr>
            <w:tcW w:w="1587"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6</w:t>
            </w:r>
            <w:r>
              <w:rPr>
                <w:rFonts w:hint="eastAsia" w:ascii="宋体" w:hAnsi="宋体" w:cs="Times New Roman"/>
                <w:b w:val="0"/>
                <w:bCs/>
                <w:color w:val="auto"/>
                <w:kern w:val="2"/>
                <w:szCs w:val="24"/>
              </w:rPr>
              <w:t>月底</w:t>
            </w:r>
          </w:p>
        </w:tc>
        <w:tc>
          <w:tcPr>
            <w:tcW w:w="1304" w:type="dxa"/>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w:t>
            </w:r>
            <w:r>
              <w:rPr>
                <w:rFonts w:hint="eastAsia" w:ascii="宋体" w:hAnsi="宋体" w:cs="Times New Roman"/>
                <w:b w:val="0"/>
                <w:bCs/>
                <w:color w:val="auto"/>
                <w:kern w:val="2"/>
                <w:szCs w:val="24"/>
              </w:rPr>
              <w:t>月底</w:t>
            </w:r>
          </w:p>
        </w:tc>
        <w:tc>
          <w:tcPr>
            <w:tcW w:w="2977" w:type="dxa"/>
            <w:gridSpan w:val="2"/>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12</w:t>
            </w:r>
            <w:r>
              <w:rPr>
                <w:rFonts w:hint="eastAsia" w:ascii="宋体" w:hAnsi="宋体" w:cs="Times New Roman"/>
                <w:b w:val="0"/>
                <w:bCs/>
                <w:color w:val="auto"/>
                <w:kern w:val="2"/>
                <w:szCs w:val="24"/>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ascii="宋体" w:hAnsi="宋体" w:cs="Times New Roman"/>
                <w:b w:val="0"/>
                <w:bCs/>
                <w:color w:val="auto"/>
                <w:kern w:val="2"/>
                <w:szCs w:val="24"/>
              </w:rPr>
            </w:pPr>
          </w:p>
        </w:tc>
        <w:tc>
          <w:tcPr>
            <w:tcW w:w="2410"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25.00%</w:t>
            </w:r>
          </w:p>
        </w:tc>
        <w:tc>
          <w:tcPr>
            <w:tcW w:w="1587"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50.00%</w:t>
            </w:r>
          </w:p>
        </w:tc>
        <w:tc>
          <w:tcPr>
            <w:tcW w:w="1304" w:type="dxa"/>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75.00%</w:t>
            </w:r>
          </w:p>
        </w:tc>
        <w:tc>
          <w:tcPr>
            <w:tcW w:w="2977" w:type="dxa"/>
            <w:gridSpan w:val="2"/>
            <w:tcBorders>
              <w:bottom w:val="single" w:color="000000" w:sz="6" w:space="0"/>
            </w:tcBorders>
            <w:noWrap w:val="0"/>
            <w:vAlign w:val="center"/>
          </w:tcPr>
          <w:p>
            <w:pPr>
              <w:spacing w:line="300" w:lineRule="exact"/>
              <w:jc w:val="center"/>
              <w:rPr>
                <w:rFonts w:ascii="宋体" w:hAnsi="宋体" w:cs="Times New Roman"/>
                <w:b w:val="0"/>
                <w:bCs/>
                <w:color w:val="auto"/>
                <w:kern w:val="2"/>
                <w:szCs w:val="24"/>
              </w:rPr>
            </w:pPr>
            <w:r>
              <w:rPr>
                <w:rFonts w:ascii="宋体" w:hAnsi="宋体" w:cs="Times New Roman"/>
                <w:b w:val="0"/>
                <w:bCs/>
                <w:color w:val="auto"/>
                <w:kern w:val="2"/>
                <w:szCs w:val="24"/>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绩效目标</w:t>
            </w:r>
          </w:p>
        </w:tc>
        <w:tc>
          <w:tcPr>
            <w:tcW w:w="8278" w:type="dxa"/>
            <w:gridSpan w:val="6"/>
            <w:tcBorders>
              <w:bottom w:val="nil"/>
            </w:tcBorders>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w:t>
            </w:r>
            <w:r>
              <w:rPr>
                <w:rFonts w:hint="eastAsia" w:ascii="宋体" w:hAnsi="宋体" w:cs="Times New Roman"/>
                <w:b w:val="0"/>
                <w:bCs/>
                <w:color w:val="auto"/>
                <w:kern w:val="2"/>
                <w:szCs w:val="24"/>
              </w:rPr>
              <w:t>补偿发放到位</w:t>
            </w:r>
          </w:p>
        </w:tc>
      </w:tr>
    </w:tbl>
    <w:p>
      <w:pPr>
        <w:spacing w:line="14" w:lineRule="exact"/>
        <w:jc w:val="center"/>
        <w:rPr>
          <w:rFonts w:ascii="宋体" w:hAnsi="宋体" w:cs="Times New Roman"/>
          <w:b w:val="0"/>
          <w:bCs/>
          <w:color w:val="auto"/>
          <w:kern w:val="2"/>
          <w:szCs w:val="24"/>
        </w:rPr>
      </w:pPr>
      <w:r>
        <w:rPr>
          <w:rFonts w:ascii="宋体" w:hAnsi="宋体" w:cs="Times New Roman"/>
          <w:b w:val="0"/>
          <w:bCs/>
          <w:color w:val="auto"/>
          <w:kern w:val="2"/>
          <w:szCs w:val="24"/>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一级指标</w:t>
            </w:r>
          </w:p>
        </w:tc>
        <w:tc>
          <w:tcPr>
            <w:tcW w:w="1134"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二级指标</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三级指标</w:t>
            </w:r>
          </w:p>
        </w:tc>
        <w:tc>
          <w:tcPr>
            <w:tcW w:w="289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绩效指标描述</w:t>
            </w:r>
          </w:p>
        </w:tc>
        <w:tc>
          <w:tcPr>
            <w:tcW w:w="1276"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w:t>
            </w:r>
          </w:p>
        </w:tc>
        <w:tc>
          <w:tcPr>
            <w:tcW w:w="1701" w:type="dxa"/>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宋体" w:hAnsi="宋体" w:cs="Times New Roman"/>
                <w:b w:val="0"/>
                <w:bCs/>
                <w:color w:val="auto"/>
                <w:kern w:val="2"/>
                <w:szCs w:val="24"/>
              </w:rPr>
            </w:pPr>
            <w:r>
              <w:rPr>
                <w:rFonts w:hint="eastAsia" w:ascii="宋体" w:hAnsi="宋体" w:cs="Times New Roman"/>
                <w:b w:val="0"/>
                <w:bCs/>
                <w:color w:val="auto"/>
                <w:kern w:val="2"/>
                <w:szCs w:val="24"/>
              </w:rPr>
              <w:t>产出指标</w:t>
            </w:r>
          </w:p>
        </w:tc>
        <w:tc>
          <w:tcPr>
            <w:tcW w:w="1134"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数量指标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资金到位率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质量指标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合格率</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时效指标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按期完成率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成本指标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资金成本</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资金支出占收入比例</w:t>
            </w:r>
          </w:p>
        </w:tc>
        <w:tc>
          <w:tcPr>
            <w:tcW w:w="1276"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控制预算</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依据区政府文件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效益指标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经济效益指标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项目工程完成情况</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按计划完成</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cs="Times New Roman"/>
                <w:b w:val="0"/>
                <w:bCs/>
                <w:color w:val="auto"/>
                <w:kern w:val="2"/>
                <w:szCs w:val="24"/>
              </w:rPr>
            </w:pP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社会效益指标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社会稳定水平</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保障社会稳定</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满意度指标</w:t>
            </w:r>
          </w:p>
        </w:tc>
        <w:tc>
          <w:tcPr>
            <w:tcW w:w="1134"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服务对象满意度指标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2891" w:type="dxa"/>
            <w:noWrap w:val="0"/>
            <w:vAlign w:val="center"/>
          </w:tcPr>
          <w:p>
            <w:pPr>
              <w:spacing w:line="300" w:lineRule="exact"/>
              <w:jc w:val="left"/>
              <w:rPr>
                <w:rFonts w:ascii="宋体" w:hAnsi="宋体" w:cs="Times New Roman"/>
                <w:b w:val="0"/>
                <w:bCs/>
                <w:color w:val="auto"/>
                <w:kern w:val="2"/>
                <w:szCs w:val="24"/>
              </w:rPr>
            </w:pPr>
            <w:r>
              <w:rPr>
                <w:rFonts w:hint="eastAsia" w:ascii="宋体" w:hAnsi="宋体" w:cs="Times New Roman"/>
                <w:b w:val="0"/>
                <w:bCs/>
                <w:color w:val="auto"/>
                <w:kern w:val="2"/>
                <w:szCs w:val="24"/>
              </w:rPr>
              <w:t>满意率</w:t>
            </w:r>
          </w:p>
        </w:tc>
        <w:tc>
          <w:tcPr>
            <w:tcW w:w="1276"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w:t>
            </w:r>
            <w:r>
              <w:rPr>
                <w:rFonts w:ascii="宋体" w:hAnsi="宋体" w:cs="Times New Roman"/>
                <w:b w:val="0"/>
                <w:bCs/>
                <w:color w:val="auto"/>
                <w:kern w:val="2"/>
                <w:szCs w:val="24"/>
              </w:rPr>
              <w:t>100</w:t>
            </w:r>
            <w:r>
              <w:rPr>
                <w:rFonts w:hint="eastAsia" w:ascii="宋体" w:hAnsi="宋体" w:cs="Times New Roman"/>
                <w:b w:val="0"/>
                <w:bCs/>
                <w:color w:val="auto"/>
                <w:kern w:val="2"/>
                <w:szCs w:val="24"/>
              </w:rPr>
              <w:t>百分比</w:t>
            </w:r>
          </w:p>
        </w:tc>
        <w:tc>
          <w:tcPr>
            <w:tcW w:w="1701" w:type="dxa"/>
            <w:noWrap w:val="0"/>
            <w:vAlign w:val="center"/>
          </w:tcPr>
          <w:p>
            <w:pPr>
              <w:spacing w:line="300" w:lineRule="exact"/>
              <w:jc w:val="left"/>
              <w:rPr>
                <w:rFonts w:hint="eastAsia" w:ascii="宋体" w:hAnsi="宋体" w:cs="Times New Roman"/>
                <w:b w:val="0"/>
                <w:bCs/>
                <w:color w:val="auto"/>
                <w:kern w:val="2"/>
                <w:szCs w:val="24"/>
              </w:rPr>
            </w:pPr>
            <w:r>
              <w:rPr>
                <w:rFonts w:hint="eastAsia" w:ascii="宋体" w:hAnsi="宋体" w:cs="Times New Roman"/>
                <w:b w:val="0"/>
                <w:bCs/>
                <w:color w:val="auto"/>
                <w:kern w:val="2"/>
                <w:szCs w:val="24"/>
              </w:rPr>
              <w:t>工作需要</w:t>
            </w:r>
          </w:p>
        </w:tc>
      </w:tr>
    </w:tbl>
    <w:p>
      <w:pPr>
        <w:spacing w:line="300" w:lineRule="exact"/>
        <w:jc w:val="left"/>
        <w:rPr>
          <w:rFonts w:ascii="宋体" w:hAnsi="宋体" w:cs="Times New Roman"/>
          <w:b w:val="0"/>
          <w:bCs/>
          <w:color w:val="auto"/>
          <w:kern w:val="2"/>
          <w:szCs w:val="24"/>
        </w:rPr>
        <w:sectPr>
          <w:pgSz w:w="11907" w:h="16839"/>
          <w:pgMar w:top="1984" w:right="1304" w:bottom="1134" w:left="1304" w:header="851" w:footer="992" w:gutter="0"/>
          <w:cols w:space="720" w:num="1"/>
          <w:docGrid w:type="lines" w:linePitch="312" w:charSpace="0"/>
        </w:sectPr>
      </w:pPr>
    </w:p>
    <w:p>
      <w:pPr>
        <w:jc w:val="center"/>
        <w:outlineLvl w:val="0"/>
        <w:rPr>
          <w:rFonts w:hint="eastAsia" w:ascii="宋体" w:hAnsi="宋体" w:cs="宋体"/>
          <w:b w:val="0"/>
          <w:bCs/>
          <w:kern w:val="1"/>
          <w:sz w:val="28"/>
          <w:szCs w:val="28"/>
        </w:rPr>
      </w:pPr>
    </w:p>
    <w:p>
      <w:pPr>
        <w:jc w:val="center"/>
        <w:outlineLvl w:val="0"/>
        <w:rPr>
          <w:rFonts w:ascii="宋体" w:hAnsi="宋体" w:cs="宋体"/>
          <w:b w:val="0"/>
          <w:bCs/>
          <w:kern w:val="1"/>
          <w:sz w:val="28"/>
          <w:szCs w:val="28"/>
        </w:rPr>
      </w:pPr>
      <w:r>
        <w:rPr>
          <w:rFonts w:ascii="宋体" w:hAnsi="宋体" w:cs="宋体"/>
          <w:b w:val="0"/>
          <w:bCs/>
          <w:kern w:val="1"/>
          <w:sz w:val="28"/>
          <w:szCs w:val="28"/>
        </w:rPr>
        <w:t>第六部分：政府采购情况</w:t>
      </w:r>
    </w:p>
    <w:p>
      <w:pPr>
        <w:spacing w:line="640" w:lineRule="exact"/>
        <w:ind w:firstLine="600"/>
        <w:outlineLvl w:val="0"/>
        <w:rPr>
          <w:rFonts w:hint="eastAsia" w:ascii="宋体" w:hAnsi="宋体" w:cs="宋体"/>
          <w:b w:val="0"/>
          <w:bCs/>
          <w:kern w:val="1"/>
          <w:sz w:val="28"/>
          <w:szCs w:val="28"/>
          <w:lang w:eastAsia="zh-CN"/>
        </w:rPr>
      </w:pPr>
      <w:bookmarkStart w:id="35" w:name="_Toc441150763"/>
      <w:bookmarkEnd w:id="35"/>
      <w:r>
        <w:rPr>
          <w:rFonts w:ascii="宋体" w:hAnsi="宋体" w:cs="宋体"/>
          <w:b w:val="0"/>
          <w:bCs/>
          <w:kern w:val="1"/>
          <w:sz w:val="28"/>
          <w:szCs w:val="28"/>
        </w:rPr>
        <w:t>我单位20</w:t>
      </w:r>
      <w:r>
        <w:rPr>
          <w:rFonts w:hint="eastAsia" w:ascii="宋体" w:hAnsi="宋体" w:cs="宋体"/>
          <w:b w:val="0"/>
          <w:bCs/>
          <w:kern w:val="1"/>
          <w:sz w:val="28"/>
          <w:szCs w:val="28"/>
        </w:rPr>
        <w:t>21</w:t>
      </w:r>
      <w:r>
        <w:rPr>
          <w:rFonts w:ascii="宋体" w:hAnsi="宋体" w:cs="宋体"/>
          <w:b w:val="0"/>
          <w:bCs/>
          <w:kern w:val="1"/>
          <w:sz w:val="28"/>
          <w:szCs w:val="28"/>
        </w:rPr>
        <w:t>年度暂未列政府采购预算</w:t>
      </w:r>
      <w:r>
        <w:rPr>
          <w:rFonts w:hint="eastAsia" w:ascii="宋体" w:hAnsi="宋体" w:cs="宋体"/>
          <w:b w:val="0"/>
          <w:bCs/>
          <w:kern w:val="1"/>
          <w:sz w:val="28"/>
          <w:szCs w:val="28"/>
        </w:rPr>
        <w:t xml:space="preserve"> </w:t>
      </w:r>
      <w:r>
        <w:rPr>
          <w:rFonts w:hint="eastAsia" w:ascii="宋体" w:hAnsi="宋体" w:cs="宋体"/>
          <w:b w:val="0"/>
          <w:bCs/>
          <w:kern w:val="1"/>
          <w:sz w:val="28"/>
          <w:szCs w:val="28"/>
          <w:lang w:eastAsia="zh-CN"/>
        </w:rPr>
        <w:t>，空表列示。</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cs="方正小标宋_GBK"/>
                <w:b w:val="0"/>
                <w:bCs/>
                <w:sz w:val="32"/>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b w:val="0"/>
                <w:bCs/>
                <w:szCs w:val="24"/>
              </w:rPr>
            </w:pPr>
            <w:r>
              <w:rPr>
                <w:rFonts w:hint="eastAsia" w:ascii="宋体" w:hAnsi="宋体" w:cs="宋体"/>
                <w:b w:val="0"/>
                <w:bCs/>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b w:val="0"/>
                <w:bCs/>
              </w:rPr>
            </w:pPr>
            <w:r>
              <w:rPr>
                <w:rFonts w:hint="eastAsia" w:ascii="宋体" w:hAnsi="宋体" w:cs="宋体"/>
                <w:b w:val="0"/>
                <w:bCs/>
              </w:rPr>
              <w:t>数量</w:t>
            </w:r>
            <w:r>
              <w:rPr>
                <w:rFonts w:hint="eastAsia" w:ascii="宋体" w:hAnsi="宋体" w:cs="方正书宋_GBK"/>
                <w:b w:val="0"/>
                <w:bCs/>
              </w:rPr>
              <w:t xml:space="preserve">  </w:t>
            </w:r>
            <w:r>
              <w:rPr>
                <w:rFonts w:hint="eastAsia" w:ascii="宋体" w:hAnsi="宋体" w:cs="宋体"/>
                <w:b w:val="0"/>
                <w:bCs/>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b w:val="0"/>
                <w:bCs/>
              </w:rPr>
            </w:pPr>
            <w:r>
              <w:rPr>
                <w:rFonts w:hint="eastAsia" w:ascii="宋体" w:hAnsi="宋体" w:cs="宋体"/>
                <w:b w:val="0"/>
                <w:bCs/>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cs="宋体"/>
                <w:b w:val="0"/>
                <w:bCs/>
              </w:rPr>
            </w:pPr>
            <w:r>
              <w:rPr>
                <w:rFonts w:hint="eastAsia" w:ascii="宋体" w:hAnsi="宋体" w:cs="宋体"/>
                <w:b w:val="0"/>
                <w:bCs/>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b w:val="0"/>
                <w:bCs/>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b w:val="0"/>
                <w:bCs/>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rPr>
            </w:pPr>
            <w:r>
              <w:rPr>
                <w:rFonts w:hint="eastAsia" w:ascii="宋体" w:hAnsi="宋体" w:cs="宋体"/>
                <w:b w:val="0"/>
                <w:bCs/>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b w:val="0"/>
                <w:bCs/>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cs="宋体"/>
                <w:b w:val="0"/>
                <w:bCs/>
                <w:sz w:val="22"/>
              </w:rPr>
            </w:pPr>
            <w:r>
              <w:rPr>
                <w:rFonts w:hint="eastAsia" w:ascii="宋体" w:hAnsi="宋体" w:cs="宋体"/>
                <w:b w:val="0"/>
                <w:bCs/>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cs="宋体"/>
                <w:b w:val="0"/>
                <w:bCs/>
                <w:sz w:val="22"/>
              </w:rPr>
            </w:pPr>
          </w:p>
        </w:tc>
      </w:tr>
    </w:tbl>
    <w:p>
      <w:pPr>
        <w:spacing w:line="640" w:lineRule="exact"/>
        <w:ind w:firstLine="600"/>
        <w:outlineLvl w:val="0"/>
        <w:rPr>
          <w:rFonts w:hint="eastAsia" w:ascii="宋体" w:hAnsi="宋体" w:cs="宋体"/>
          <w:b w:val="0"/>
          <w:bCs/>
          <w:kern w:val="1"/>
          <w:sz w:val="28"/>
          <w:szCs w:val="28"/>
          <w:lang w:eastAsia="zh-CN"/>
        </w:rPr>
      </w:pPr>
    </w:p>
    <w:p>
      <w:pPr>
        <w:spacing w:line="640" w:lineRule="exact"/>
        <w:jc w:val="center"/>
        <w:rPr>
          <w:rFonts w:hint="eastAsia" w:ascii="宋体" w:hAnsi="宋体" w:cs="宋体"/>
          <w:b w:val="0"/>
          <w:bCs/>
          <w:kern w:val="1"/>
          <w:sz w:val="28"/>
          <w:szCs w:val="28"/>
        </w:rPr>
      </w:pPr>
      <w:r>
        <w:rPr>
          <w:rFonts w:ascii="宋体" w:hAnsi="宋体" w:cs="宋体"/>
          <w:b w:val="0"/>
          <w:bCs/>
          <w:kern w:val="1"/>
          <w:sz w:val="28"/>
          <w:szCs w:val="28"/>
        </w:rPr>
        <w:t>第七部分：国有资产信息情况说明</w:t>
      </w:r>
    </w:p>
    <w:p>
      <w:pPr>
        <w:spacing w:line="640" w:lineRule="exact"/>
        <w:ind w:firstLine="560" w:firstLineChars="200"/>
        <w:rPr>
          <w:rFonts w:hint="eastAsia" w:ascii="宋体" w:hAnsi="宋体" w:cs="宋体"/>
          <w:b w:val="0"/>
          <w:bCs/>
          <w:color w:val="auto"/>
          <w:kern w:val="2"/>
          <w:sz w:val="28"/>
          <w:szCs w:val="28"/>
        </w:rPr>
      </w:pPr>
      <w:r>
        <w:rPr>
          <w:rFonts w:hint="eastAsia" w:ascii="宋体" w:hAnsi="宋体" w:cs="宋体"/>
          <w:b w:val="0"/>
          <w:bCs/>
          <w:kern w:val="1"/>
          <w:sz w:val="28"/>
          <w:szCs w:val="28"/>
        </w:rPr>
        <w:t>保定市自然资源和规划局满城区分局2020年末固定资产原值总额</w:t>
      </w:r>
      <w:r>
        <w:rPr>
          <w:rFonts w:hint="eastAsia" w:ascii="宋体" w:hAnsi="宋体" w:cs="宋体"/>
          <w:b w:val="0"/>
          <w:bCs/>
          <w:color w:val="auto"/>
          <w:kern w:val="2"/>
          <w:sz w:val="28"/>
          <w:szCs w:val="28"/>
        </w:rPr>
        <w:t>1156.54万元（详见下表）。我单位2021年无拟购置国有资产情况。</w:t>
      </w:r>
    </w:p>
    <w:p>
      <w:pPr>
        <w:ind w:firstLine="600"/>
        <w:rPr>
          <w:rFonts w:hint="eastAsia" w:ascii="宋体" w:hAnsi="宋体" w:cs="宋体"/>
          <w:b w:val="0"/>
          <w:bCs/>
          <w:kern w:val="1"/>
          <w:sz w:val="28"/>
          <w:szCs w:val="28"/>
        </w:rPr>
      </w:pPr>
    </w:p>
    <w:tbl>
      <w:tblPr>
        <w:tblStyle w:val="9"/>
        <w:tblpPr w:leftFromText="180" w:rightFromText="180" w:vertAnchor="text" w:tblpY="1"/>
        <w:tblOverlap w:val="never"/>
        <w:tblW w:w="5084" w:type="pct"/>
        <w:tblInd w:w="0" w:type="dxa"/>
        <w:tblLayout w:type="autofit"/>
        <w:tblCellMar>
          <w:top w:w="0" w:type="dxa"/>
          <w:left w:w="108" w:type="dxa"/>
          <w:bottom w:w="0" w:type="dxa"/>
          <w:right w:w="108" w:type="dxa"/>
        </w:tblCellMar>
      </w:tblPr>
      <w:tblGrid>
        <w:gridCol w:w="3962"/>
        <w:gridCol w:w="1224"/>
        <w:gridCol w:w="2610"/>
        <w:gridCol w:w="1763"/>
      </w:tblGrid>
      <w:tr>
        <w:tblPrEx>
          <w:tblCellMar>
            <w:top w:w="0" w:type="dxa"/>
            <w:left w:w="108" w:type="dxa"/>
            <w:bottom w:w="0" w:type="dxa"/>
            <w:right w:w="108" w:type="dxa"/>
          </w:tblCellMar>
        </w:tblPrEx>
        <w:trPr>
          <w:trHeight w:val="90"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val="0"/>
                <w:bCs/>
                <w:sz w:val="28"/>
                <w:szCs w:val="28"/>
              </w:rPr>
            </w:pPr>
            <w:r>
              <w:rPr>
                <w:rFonts w:hint="eastAsia" w:ascii="宋体" w:hAnsi="宋体" w:cs="宋体"/>
                <w:b w:val="0"/>
                <w:bCs/>
                <w:sz w:val="28"/>
                <w:szCs w:val="28"/>
              </w:rPr>
              <w:t>保定市自然资源和规划局满城区分局固定资产占用情况表</w:t>
            </w:r>
          </w:p>
          <w:p>
            <w:pPr>
              <w:widowControl/>
              <w:jc w:val="center"/>
              <w:rPr>
                <w:rFonts w:hint="eastAsia" w:ascii="宋体" w:hAnsi="宋体" w:cs="宋体"/>
                <w:b w:val="0"/>
                <w:bCs/>
                <w:sz w:val="28"/>
                <w:szCs w:val="28"/>
              </w:rPr>
            </w:pPr>
          </w:p>
          <w:p>
            <w:pPr>
              <w:widowControl/>
              <w:jc w:val="center"/>
              <w:rPr>
                <w:rFonts w:hint="eastAsia" w:ascii="宋体" w:hAnsi="宋体" w:cs="宋体"/>
                <w:b w:val="0"/>
                <w:bCs/>
                <w:sz w:val="28"/>
                <w:szCs w:val="28"/>
              </w:rPr>
            </w:pPr>
            <w:r>
              <w:rPr>
                <w:rFonts w:hint="eastAsia" w:ascii="宋体" w:hAnsi="宋体" w:cs="宋体"/>
                <w:b w:val="0"/>
                <w:bCs/>
                <w:sz w:val="28"/>
                <w:szCs w:val="28"/>
              </w:rPr>
              <w:t xml:space="preserve">                                    截止时间：2020年12月31日</w:t>
            </w:r>
          </w:p>
        </w:tc>
      </w:tr>
      <w:tr>
        <w:tblPrEx>
          <w:tblCellMar>
            <w:top w:w="0" w:type="dxa"/>
            <w:left w:w="108" w:type="dxa"/>
            <w:bottom w:w="0" w:type="dxa"/>
            <w:right w:w="108" w:type="dxa"/>
          </w:tblCellMar>
        </w:tblPrEx>
        <w:trPr>
          <w:trHeight w:val="90" w:hRule="atLeast"/>
        </w:trPr>
        <w:tc>
          <w:tcPr>
            <w:tcW w:w="2073"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val="0"/>
                <w:bCs/>
                <w:sz w:val="28"/>
                <w:szCs w:val="28"/>
              </w:rPr>
            </w:pPr>
            <w:r>
              <w:rPr>
                <w:rFonts w:hint="eastAsia" w:ascii="宋体" w:hAnsi="宋体" w:cs="宋体"/>
                <w:b w:val="0"/>
                <w:bCs/>
                <w:sz w:val="28"/>
                <w:szCs w:val="28"/>
              </w:rPr>
              <w:t>项　　目</w:t>
            </w:r>
          </w:p>
        </w:tc>
        <w:tc>
          <w:tcPr>
            <w:tcW w:w="64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sz w:val="28"/>
                <w:szCs w:val="28"/>
              </w:rPr>
            </w:pPr>
            <w:r>
              <w:rPr>
                <w:rFonts w:hint="eastAsia" w:ascii="宋体" w:hAnsi="宋体" w:cs="宋体"/>
                <w:b w:val="0"/>
                <w:bCs/>
                <w:sz w:val="28"/>
                <w:szCs w:val="28"/>
              </w:rPr>
              <w:t>数量</w:t>
            </w:r>
          </w:p>
        </w:tc>
        <w:tc>
          <w:tcPr>
            <w:tcW w:w="1365"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sz w:val="28"/>
                <w:szCs w:val="28"/>
              </w:rPr>
            </w:pPr>
            <w:r>
              <w:rPr>
                <w:rFonts w:hint="eastAsia" w:ascii="宋体" w:hAnsi="宋体" w:cs="宋体"/>
                <w:b w:val="0"/>
                <w:bCs/>
                <w:sz w:val="28"/>
                <w:szCs w:val="28"/>
              </w:rPr>
              <w:t>价值（单位：万元）</w:t>
            </w:r>
          </w:p>
        </w:tc>
        <w:tc>
          <w:tcPr>
            <w:tcW w:w="92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sz w:val="28"/>
                <w:szCs w:val="28"/>
              </w:rPr>
            </w:pPr>
            <w:r>
              <w:rPr>
                <w:rFonts w:hint="eastAsia" w:ascii="宋体" w:hAnsi="宋体" w:cs="宋体"/>
                <w:b w:val="0"/>
                <w:bCs/>
                <w:sz w:val="28"/>
                <w:szCs w:val="28"/>
              </w:rPr>
              <w:t>备注</w:t>
            </w:r>
          </w:p>
        </w:tc>
      </w:tr>
      <w:tr>
        <w:tblPrEx>
          <w:tblCellMar>
            <w:top w:w="0" w:type="dxa"/>
            <w:left w:w="108" w:type="dxa"/>
            <w:bottom w:w="0" w:type="dxa"/>
            <w:right w:w="108" w:type="dxa"/>
          </w:tblCellMar>
        </w:tblPrEx>
        <w:trPr>
          <w:trHeight w:val="90" w:hRule="atLeast"/>
        </w:trPr>
        <w:tc>
          <w:tcPr>
            <w:tcW w:w="2073" w:type="pc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val="0"/>
                <w:bCs/>
                <w:sz w:val="28"/>
                <w:szCs w:val="28"/>
              </w:rPr>
            </w:pPr>
            <w:r>
              <w:rPr>
                <w:rFonts w:hint="eastAsia" w:ascii="宋体" w:hAnsi="宋体" w:cs="宋体"/>
                <w:b w:val="0"/>
                <w:bCs/>
                <w:sz w:val="28"/>
                <w:szCs w:val="28"/>
              </w:rPr>
              <w:t>固定资产总额</w:t>
            </w:r>
          </w:p>
        </w:tc>
        <w:tc>
          <w:tcPr>
            <w:tcW w:w="64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w:t>
            </w:r>
          </w:p>
        </w:tc>
        <w:tc>
          <w:tcPr>
            <w:tcW w:w="1365"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1156.54</w:t>
            </w:r>
          </w:p>
        </w:tc>
        <w:tc>
          <w:tcPr>
            <w:tcW w:w="92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p>
        </w:tc>
      </w:tr>
      <w:tr>
        <w:tblPrEx>
          <w:tblCellMar>
            <w:top w:w="0" w:type="dxa"/>
            <w:left w:w="108" w:type="dxa"/>
            <w:bottom w:w="0" w:type="dxa"/>
            <w:right w:w="108" w:type="dxa"/>
          </w:tblCellMar>
        </w:tblPrEx>
        <w:trPr>
          <w:trHeight w:val="90" w:hRule="atLeast"/>
        </w:trPr>
        <w:tc>
          <w:tcPr>
            <w:tcW w:w="2073"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sz w:val="28"/>
                <w:szCs w:val="28"/>
              </w:rPr>
            </w:pPr>
            <w:r>
              <w:rPr>
                <w:rFonts w:hint="eastAsia" w:ascii="宋体" w:hAnsi="宋体" w:cs="宋体"/>
                <w:b w:val="0"/>
                <w:bCs/>
                <w:sz w:val="28"/>
                <w:szCs w:val="28"/>
              </w:rPr>
              <w:t xml:space="preserve">  1、房屋（平方米）</w:t>
            </w:r>
          </w:p>
        </w:tc>
        <w:tc>
          <w:tcPr>
            <w:tcW w:w="64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7271</w:t>
            </w:r>
          </w:p>
        </w:tc>
        <w:tc>
          <w:tcPr>
            <w:tcW w:w="1365"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664.61</w:t>
            </w:r>
          </w:p>
        </w:tc>
        <w:tc>
          <w:tcPr>
            <w:tcW w:w="92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p>
        </w:tc>
      </w:tr>
      <w:tr>
        <w:tblPrEx>
          <w:tblCellMar>
            <w:top w:w="0" w:type="dxa"/>
            <w:left w:w="108" w:type="dxa"/>
            <w:bottom w:w="0" w:type="dxa"/>
            <w:right w:w="108" w:type="dxa"/>
          </w:tblCellMar>
        </w:tblPrEx>
        <w:trPr>
          <w:trHeight w:val="90" w:hRule="atLeast"/>
        </w:trPr>
        <w:tc>
          <w:tcPr>
            <w:tcW w:w="207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val="0"/>
                <w:bCs/>
                <w:sz w:val="28"/>
                <w:szCs w:val="28"/>
              </w:rPr>
            </w:pPr>
            <w:r>
              <w:rPr>
                <w:rFonts w:hint="eastAsia" w:ascii="宋体" w:hAnsi="宋体" w:cs="宋体"/>
                <w:b w:val="0"/>
                <w:bCs/>
                <w:sz w:val="28"/>
                <w:szCs w:val="28"/>
              </w:rPr>
              <w:t xml:space="preserve">   其中：办公用房（平方米）</w:t>
            </w:r>
          </w:p>
        </w:tc>
        <w:tc>
          <w:tcPr>
            <w:tcW w:w="640"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7271</w:t>
            </w:r>
          </w:p>
        </w:tc>
        <w:tc>
          <w:tcPr>
            <w:tcW w:w="1365"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664.61</w:t>
            </w:r>
          </w:p>
        </w:tc>
        <w:tc>
          <w:tcPr>
            <w:tcW w:w="920" w:type="pct"/>
            <w:tcBorders>
              <w:top w:val="single" w:color="auto" w:sz="4" w:space="0"/>
              <w:left w:val="nil"/>
              <w:bottom w:val="single" w:color="auto" w:sz="4" w:space="0"/>
              <w:right w:val="single" w:color="auto" w:sz="4" w:space="0"/>
            </w:tcBorders>
            <w:noWrap w:val="0"/>
            <w:vAlign w:val="center"/>
          </w:tcPr>
          <w:p>
            <w:pPr>
              <w:jc w:val="center"/>
              <w:rPr>
                <w:rFonts w:ascii="宋体" w:hAnsi="宋体" w:cs="宋体"/>
                <w:b w:val="0"/>
                <w:bCs/>
                <w:color w:val="auto"/>
                <w:kern w:val="2"/>
                <w:sz w:val="28"/>
                <w:szCs w:val="28"/>
              </w:rPr>
            </w:pPr>
          </w:p>
        </w:tc>
      </w:tr>
      <w:tr>
        <w:tblPrEx>
          <w:tblCellMar>
            <w:top w:w="0" w:type="dxa"/>
            <w:left w:w="108" w:type="dxa"/>
            <w:bottom w:w="0" w:type="dxa"/>
            <w:right w:w="108" w:type="dxa"/>
          </w:tblCellMar>
        </w:tblPrEx>
        <w:trPr>
          <w:trHeight w:val="90" w:hRule="atLeast"/>
        </w:trPr>
        <w:tc>
          <w:tcPr>
            <w:tcW w:w="2073"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sz w:val="28"/>
                <w:szCs w:val="28"/>
              </w:rPr>
            </w:pPr>
            <w:r>
              <w:rPr>
                <w:rFonts w:hint="eastAsia" w:ascii="宋体" w:hAnsi="宋体" w:cs="宋体"/>
                <w:b w:val="0"/>
                <w:bCs/>
                <w:sz w:val="28"/>
                <w:szCs w:val="28"/>
              </w:rPr>
              <w:t xml:space="preserve">  2、车辆（台、辆）</w:t>
            </w:r>
          </w:p>
        </w:tc>
        <w:tc>
          <w:tcPr>
            <w:tcW w:w="64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34</w:t>
            </w:r>
          </w:p>
        </w:tc>
        <w:tc>
          <w:tcPr>
            <w:tcW w:w="1365"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157.11</w:t>
            </w:r>
          </w:p>
        </w:tc>
        <w:tc>
          <w:tcPr>
            <w:tcW w:w="92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摩托车20辆</w:t>
            </w:r>
          </w:p>
        </w:tc>
      </w:tr>
      <w:tr>
        <w:tblPrEx>
          <w:tblCellMar>
            <w:top w:w="0" w:type="dxa"/>
            <w:left w:w="108" w:type="dxa"/>
            <w:bottom w:w="0" w:type="dxa"/>
            <w:right w:w="108" w:type="dxa"/>
          </w:tblCellMar>
        </w:tblPrEx>
        <w:trPr>
          <w:trHeight w:val="90" w:hRule="atLeast"/>
        </w:trPr>
        <w:tc>
          <w:tcPr>
            <w:tcW w:w="2073" w:type="pc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val="0"/>
                <w:bCs/>
                <w:sz w:val="28"/>
                <w:szCs w:val="28"/>
              </w:rPr>
            </w:pPr>
            <w:r>
              <w:rPr>
                <w:rFonts w:hint="eastAsia" w:ascii="宋体" w:hAnsi="宋体" w:cs="宋体"/>
                <w:b w:val="0"/>
                <w:bCs/>
                <w:sz w:val="28"/>
                <w:szCs w:val="28"/>
              </w:rPr>
              <w:t xml:space="preserve">  3、单价在20万元以上的设备</w:t>
            </w:r>
          </w:p>
        </w:tc>
        <w:tc>
          <w:tcPr>
            <w:tcW w:w="64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w:t>
            </w:r>
          </w:p>
        </w:tc>
        <w:tc>
          <w:tcPr>
            <w:tcW w:w="1365"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r>
              <w:rPr>
                <w:rFonts w:hint="eastAsia" w:ascii="宋体" w:hAnsi="宋体" w:cs="宋体"/>
                <w:b w:val="0"/>
                <w:bCs/>
                <w:color w:val="auto"/>
                <w:kern w:val="2"/>
                <w:sz w:val="28"/>
                <w:szCs w:val="28"/>
              </w:rPr>
              <w:t>0.00</w:t>
            </w:r>
          </w:p>
        </w:tc>
        <w:tc>
          <w:tcPr>
            <w:tcW w:w="920" w:type="pct"/>
            <w:tcBorders>
              <w:top w:val="nil"/>
              <w:left w:val="nil"/>
              <w:bottom w:val="single" w:color="auto" w:sz="4" w:space="0"/>
              <w:right w:val="single" w:color="auto" w:sz="4" w:space="0"/>
            </w:tcBorders>
            <w:noWrap w:val="0"/>
            <w:vAlign w:val="center"/>
          </w:tcPr>
          <w:p>
            <w:pPr>
              <w:widowControl/>
              <w:jc w:val="center"/>
              <w:rPr>
                <w:rFonts w:ascii="宋体" w:hAnsi="宋体" w:cs="宋体"/>
                <w:b w:val="0"/>
                <w:bCs/>
                <w:color w:val="auto"/>
                <w:kern w:val="2"/>
                <w:sz w:val="28"/>
                <w:szCs w:val="28"/>
              </w:rPr>
            </w:pPr>
          </w:p>
        </w:tc>
      </w:tr>
      <w:tr>
        <w:tblPrEx>
          <w:tblCellMar>
            <w:top w:w="0" w:type="dxa"/>
            <w:left w:w="108" w:type="dxa"/>
            <w:bottom w:w="0" w:type="dxa"/>
            <w:right w:w="108" w:type="dxa"/>
          </w:tblCellMar>
        </w:tblPrEx>
        <w:trPr>
          <w:trHeight w:val="90" w:hRule="atLeast"/>
        </w:trPr>
        <w:tc>
          <w:tcPr>
            <w:tcW w:w="207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val="0"/>
                <w:bCs/>
                <w:sz w:val="28"/>
                <w:szCs w:val="28"/>
              </w:rPr>
            </w:pPr>
            <w:r>
              <w:rPr>
                <w:rFonts w:hint="eastAsia" w:ascii="宋体" w:hAnsi="宋体" w:cs="宋体"/>
                <w:b w:val="0"/>
                <w:bCs/>
                <w:sz w:val="28"/>
                <w:szCs w:val="28"/>
              </w:rPr>
              <w:t xml:space="preserve">  4、其他固定资产</w:t>
            </w:r>
          </w:p>
        </w:tc>
        <w:tc>
          <w:tcPr>
            <w:tcW w:w="6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sz w:val="28"/>
                <w:szCs w:val="28"/>
              </w:rPr>
            </w:pPr>
            <w:r>
              <w:rPr>
                <w:rFonts w:hint="eastAsia" w:ascii="宋体" w:hAnsi="宋体" w:cs="宋体"/>
                <w:b w:val="0"/>
                <w:bCs/>
                <w:sz w:val="28"/>
                <w:szCs w:val="28"/>
              </w:rPr>
              <w:t>—</w:t>
            </w:r>
          </w:p>
        </w:tc>
        <w:tc>
          <w:tcPr>
            <w:tcW w:w="1365"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sz w:val="28"/>
                <w:szCs w:val="28"/>
              </w:rPr>
            </w:pPr>
            <w:r>
              <w:rPr>
                <w:rFonts w:hint="eastAsia" w:ascii="宋体" w:hAnsi="宋体" w:cs="宋体"/>
                <w:b w:val="0"/>
                <w:bCs/>
                <w:sz w:val="28"/>
                <w:szCs w:val="28"/>
              </w:rPr>
              <w:t>334.25</w:t>
            </w:r>
          </w:p>
        </w:tc>
        <w:tc>
          <w:tcPr>
            <w:tcW w:w="92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sz w:val="28"/>
                <w:szCs w:val="28"/>
              </w:rPr>
            </w:pPr>
          </w:p>
        </w:tc>
      </w:tr>
      <w:tr>
        <w:tblPrEx>
          <w:tblCellMar>
            <w:top w:w="0" w:type="dxa"/>
            <w:left w:w="108" w:type="dxa"/>
            <w:bottom w:w="0" w:type="dxa"/>
            <w:right w:w="108" w:type="dxa"/>
          </w:tblCellMar>
        </w:tblPrEx>
        <w:trPr>
          <w:trHeight w:val="90" w:hRule="atLeast"/>
        </w:trPr>
        <w:tc>
          <w:tcPr>
            <w:tcW w:w="2073" w:type="pc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b w:val="0"/>
                <w:bCs/>
                <w:sz w:val="28"/>
                <w:szCs w:val="28"/>
              </w:rPr>
            </w:pPr>
            <w:r>
              <w:rPr>
                <w:rFonts w:hint="eastAsia" w:ascii="宋体" w:hAnsi="宋体" w:cs="宋体"/>
                <w:b w:val="0"/>
                <w:bCs/>
                <w:sz w:val="28"/>
                <w:szCs w:val="28"/>
              </w:rPr>
              <w:t xml:space="preserve">  5、无形资产</w:t>
            </w:r>
          </w:p>
        </w:tc>
        <w:tc>
          <w:tcPr>
            <w:tcW w:w="64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sz w:val="28"/>
                <w:szCs w:val="28"/>
              </w:rPr>
            </w:pPr>
            <w:r>
              <w:rPr>
                <w:rFonts w:hint="eastAsia" w:ascii="宋体" w:hAnsi="宋体" w:cs="宋体"/>
                <w:b w:val="0"/>
                <w:bCs/>
                <w:sz w:val="28"/>
                <w:szCs w:val="28"/>
              </w:rPr>
              <w:t>1</w:t>
            </w:r>
          </w:p>
        </w:tc>
        <w:tc>
          <w:tcPr>
            <w:tcW w:w="1365"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sz w:val="28"/>
                <w:szCs w:val="28"/>
              </w:rPr>
            </w:pPr>
            <w:r>
              <w:rPr>
                <w:rFonts w:hint="eastAsia" w:ascii="宋体" w:hAnsi="宋体" w:cs="宋体"/>
                <w:b w:val="0"/>
                <w:bCs/>
                <w:sz w:val="28"/>
                <w:szCs w:val="28"/>
              </w:rPr>
              <w:t>0.57</w:t>
            </w:r>
          </w:p>
        </w:tc>
        <w:tc>
          <w:tcPr>
            <w:tcW w:w="92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val="0"/>
                <w:bCs/>
                <w:sz w:val="28"/>
                <w:szCs w:val="28"/>
              </w:rPr>
            </w:pPr>
          </w:p>
        </w:tc>
      </w:tr>
    </w:tbl>
    <w:p>
      <w:pPr>
        <w:spacing w:line="640" w:lineRule="exact"/>
        <w:jc w:val="center"/>
        <w:outlineLvl w:val="0"/>
        <w:rPr>
          <w:rFonts w:ascii="宋体" w:hAnsi="宋体" w:cs="宋体"/>
          <w:b w:val="0"/>
          <w:bCs/>
          <w:kern w:val="1"/>
          <w:sz w:val="28"/>
          <w:szCs w:val="28"/>
        </w:rPr>
      </w:pPr>
      <w:r>
        <w:rPr>
          <w:rFonts w:ascii="宋体" w:hAnsi="宋体" w:cs="宋体"/>
          <w:b w:val="0"/>
          <w:bCs/>
          <w:kern w:val="1"/>
          <w:sz w:val="28"/>
          <w:szCs w:val="28"/>
        </w:rPr>
        <w:t>第八部分：名词解释</w:t>
      </w:r>
    </w:p>
    <w:p>
      <w:pPr>
        <w:spacing w:line="640" w:lineRule="exact"/>
        <w:ind w:firstLine="630"/>
        <w:jc w:val="left"/>
        <w:outlineLvl w:val="0"/>
        <w:rPr>
          <w:rFonts w:ascii="宋体" w:hAnsi="宋体" w:cs="宋体"/>
          <w:b w:val="0"/>
          <w:bCs/>
          <w:kern w:val="1"/>
          <w:sz w:val="28"/>
          <w:szCs w:val="28"/>
        </w:rPr>
      </w:pPr>
      <w:r>
        <w:rPr>
          <w:rFonts w:ascii="宋体" w:hAnsi="宋体" w:cs="宋体"/>
          <w:b w:val="0"/>
          <w:bCs/>
          <w:kern w:val="1"/>
          <w:sz w:val="28"/>
          <w:szCs w:val="28"/>
        </w:rPr>
        <w:t>1、财政拨款收入：指区级财政当年拨付的资金。</w:t>
      </w:r>
    </w:p>
    <w:p>
      <w:pPr>
        <w:spacing w:line="640" w:lineRule="exact"/>
        <w:ind w:firstLine="643"/>
        <w:jc w:val="left"/>
        <w:outlineLvl w:val="0"/>
        <w:rPr>
          <w:rFonts w:ascii="宋体" w:hAnsi="宋体" w:cs="宋体"/>
          <w:b w:val="0"/>
          <w:bCs/>
          <w:kern w:val="1"/>
          <w:sz w:val="28"/>
          <w:szCs w:val="28"/>
        </w:rPr>
      </w:pPr>
      <w:r>
        <w:rPr>
          <w:rFonts w:ascii="宋体" w:hAnsi="宋体" w:cs="宋体"/>
          <w:b w:val="0"/>
          <w:bCs/>
          <w:kern w:val="1"/>
          <w:sz w:val="28"/>
          <w:szCs w:val="28"/>
        </w:rPr>
        <w:t>2、其他收入：指除上述“财政拨款收入”、“事业收入”等以外的收入。</w:t>
      </w:r>
    </w:p>
    <w:p>
      <w:pPr>
        <w:spacing w:line="640" w:lineRule="exact"/>
        <w:ind w:firstLine="643"/>
        <w:jc w:val="left"/>
        <w:outlineLvl w:val="0"/>
        <w:rPr>
          <w:rFonts w:ascii="宋体" w:hAnsi="宋体" w:cs="宋体"/>
          <w:b w:val="0"/>
          <w:bCs/>
          <w:kern w:val="1"/>
          <w:sz w:val="28"/>
          <w:szCs w:val="28"/>
        </w:rPr>
      </w:pPr>
      <w:r>
        <w:rPr>
          <w:rFonts w:ascii="宋体" w:hAnsi="宋体" w:cs="宋体"/>
          <w:b w:val="0"/>
          <w:bCs/>
          <w:kern w:val="1"/>
          <w:sz w:val="28"/>
          <w:szCs w:val="28"/>
        </w:rPr>
        <w:t>3、基本支出：指为保障机构正常运转、完成日常工作任务而发生的人员支出和公用支出。</w:t>
      </w:r>
    </w:p>
    <w:p>
      <w:pPr>
        <w:spacing w:line="640" w:lineRule="exact"/>
        <w:ind w:firstLine="643"/>
        <w:jc w:val="left"/>
        <w:outlineLvl w:val="0"/>
        <w:rPr>
          <w:rFonts w:ascii="宋体" w:hAnsi="宋体" w:cs="宋体"/>
          <w:b w:val="0"/>
          <w:bCs/>
          <w:kern w:val="1"/>
          <w:sz w:val="28"/>
          <w:szCs w:val="28"/>
        </w:rPr>
      </w:pPr>
      <w:r>
        <w:rPr>
          <w:rFonts w:ascii="宋体" w:hAnsi="宋体" w:cs="宋体"/>
          <w:b w:val="0"/>
          <w:bCs/>
          <w:kern w:val="1"/>
          <w:sz w:val="28"/>
          <w:szCs w:val="28"/>
        </w:rPr>
        <w:t>4、项目支出：指在基本支出之外为完成特定行政任务和事业发展目标所发生的支出。</w:t>
      </w:r>
    </w:p>
    <w:p>
      <w:pPr>
        <w:spacing w:line="640" w:lineRule="exact"/>
        <w:ind w:firstLine="643"/>
        <w:jc w:val="left"/>
        <w:outlineLvl w:val="0"/>
        <w:rPr>
          <w:rFonts w:ascii="宋体" w:hAnsi="宋体" w:cs="宋体"/>
          <w:b w:val="0"/>
          <w:bCs/>
          <w:kern w:val="1"/>
          <w:sz w:val="28"/>
          <w:szCs w:val="28"/>
        </w:rPr>
      </w:pPr>
      <w:r>
        <w:rPr>
          <w:rFonts w:ascii="宋体" w:hAnsi="宋体" w:cs="宋体"/>
          <w:b w:val="0"/>
          <w:bCs/>
          <w:kern w:val="1"/>
          <w:sz w:val="28"/>
          <w:szCs w:val="28"/>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40" w:lineRule="exact"/>
        <w:ind w:firstLine="803"/>
        <w:rPr>
          <w:rFonts w:ascii="宋体" w:hAnsi="宋体" w:cs="宋体"/>
          <w:b w:val="0"/>
          <w:bCs/>
          <w:kern w:val="1"/>
          <w:sz w:val="28"/>
          <w:szCs w:val="28"/>
        </w:rPr>
      </w:pPr>
      <w:r>
        <w:rPr>
          <w:rFonts w:ascii="宋体" w:hAnsi="宋体" w:cs="宋体"/>
          <w:b w:val="0"/>
          <w:bCs/>
          <w:kern w:val="1"/>
          <w:sz w:val="28"/>
          <w:szCs w:val="28"/>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40" w:lineRule="exact"/>
        <w:ind w:firstLine="803"/>
        <w:rPr>
          <w:rFonts w:ascii="宋体" w:hAnsi="宋体" w:cs="宋体"/>
          <w:b w:val="0"/>
          <w:bCs/>
          <w:kern w:val="1"/>
          <w:sz w:val="28"/>
          <w:szCs w:val="28"/>
        </w:rPr>
      </w:pPr>
      <w:r>
        <w:rPr>
          <w:rFonts w:ascii="宋体" w:hAnsi="宋体" w:cs="宋体"/>
          <w:b w:val="0"/>
          <w:bCs/>
          <w:kern w:val="1"/>
          <w:sz w:val="28"/>
          <w:szCs w:val="28"/>
        </w:rPr>
        <w:t>7、公务费：包括办公费、水电费、邮电费、取暖费、交通费、一般会议费和物业管理费之和。</w:t>
      </w:r>
    </w:p>
    <w:p>
      <w:pPr>
        <w:spacing w:line="640" w:lineRule="exact"/>
        <w:jc w:val="center"/>
        <w:outlineLvl w:val="0"/>
        <w:rPr>
          <w:rFonts w:ascii="宋体" w:hAnsi="宋体" w:cs="宋体"/>
          <w:b w:val="0"/>
          <w:bCs/>
          <w:kern w:val="1"/>
          <w:sz w:val="28"/>
          <w:szCs w:val="28"/>
        </w:rPr>
      </w:pPr>
      <w:r>
        <w:rPr>
          <w:rFonts w:ascii="宋体" w:hAnsi="宋体" w:cs="宋体"/>
          <w:b w:val="0"/>
          <w:bCs/>
          <w:kern w:val="1"/>
          <w:sz w:val="28"/>
          <w:szCs w:val="28"/>
        </w:rPr>
        <w:t>第九部分：其他需说明的事项</w:t>
      </w:r>
    </w:p>
    <w:p>
      <w:pPr>
        <w:spacing w:line="640" w:lineRule="exact"/>
        <w:ind w:firstLine="320"/>
        <w:jc w:val="left"/>
        <w:outlineLvl w:val="0"/>
        <w:rPr>
          <w:rFonts w:ascii="宋体" w:hAnsi="宋体" w:cs="宋体"/>
          <w:b w:val="0"/>
          <w:bCs/>
          <w:kern w:val="1"/>
          <w:sz w:val="28"/>
          <w:szCs w:val="28"/>
        </w:rPr>
      </w:pPr>
      <w:r>
        <w:rPr>
          <w:rFonts w:ascii="宋体" w:hAnsi="宋体" w:cs="宋体"/>
          <w:b w:val="0"/>
          <w:bCs/>
          <w:kern w:val="1"/>
          <w:sz w:val="28"/>
          <w:szCs w:val="28"/>
        </w:rPr>
        <w:t xml:space="preserve">无其他需说明的事项。                                     </w:t>
      </w:r>
    </w:p>
    <w:sectPr>
      <w:headerReference r:id="rId3" w:type="default"/>
      <w:footerReference r:id="rId4" w:type="default"/>
      <w:pgSz w:w="11907" w:h="16839"/>
      <w:pgMar w:top="1021" w:right="1361" w:bottom="1021" w:left="1361"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roman"/>
    <w:pitch w:val="default"/>
    <w:sig w:usb0="A00002BF" w:usb1="38CF7CFA" w:usb2="00082016" w:usb3="00000000" w:csb0="00040001" w:csb1="00000000"/>
  </w:font>
  <w:font w:name="方正仿宋_GBK">
    <w:panose1 w:val="02000000000000000000"/>
    <w:charset w:val="86"/>
    <w:family w:val="roman"/>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1" w:fontKey="{4BCEABAA-8C53-42D6-8A21-C66D776CA618}"/>
  </w:font>
  <w:font w:name="方正书宋_GBK">
    <w:panose1 w:val="02000000000000000000"/>
    <w:charset w:val="86"/>
    <w:family w:val="script"/>
    <w:pitch w:val="default"/>
    <w:sig w:usb0="A00002BF" w:usb1="38CF7CFA" w:usb2="00082016" w:usb3="00000000" w:csb0="00040001" w:csb1="00000000"/>
    <w:embedRegular r:id="rId2" w:fontKey="{DF2B675F-275B-4F93-9C3C-F21726EA47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C3F51"/>
    <w:multiLevelType w:val="multilevel"/>
    <w:tmpl w:val="14AC3F51"/>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isplayBackgroundShape w:val="1"/>
  <w:bordersDoNotSurroundHeader w:val="0"/>
  <w:bordersDoNotSurroundFooter w:val="0"/>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OGY3N2U0NDMxN2UyNDE5YTU5MjY2NGEyYjUyMzMifQ=="/>
  </w:docVars>
  <w:rsids>
    <w:rsidRoot w:val="00E32786"/>
    <w:rsid w:val="000040FE"/>
    <w:rsid w:val="0002592A"/>
    <w:rsid w:val="000355FC"/>
    <w:rsid w:val="00046F71"/>
    <w:rsid w:val="000534D0"/>
    <w:rsid w:val="00055CF3"/>
    <w:rsid w:val="00095B9B"/>
    <w:rsid w:val="000C4683"/>
    <w:rsid w:val="001E5516"/>
    <w:rsid w:val="001F31CA"/>
    <w:rsid w:val="001F4F3D"/>
    <w:rsid w:val="00255C25"/>
    <w:rsid w:val="00296A53"/>
    <w:rsid w:val="002A2921"/>
    <w:rsid w:val="002B43E7"/>
    <w:rsid w:val="002C22A2"/>
    <w:rsid w:val="002C46C2"/>
    <w:rsid w:val="002C6169"/>
    <w:rsid w:val="003028F7"/>
    <w:rsid w:val="00386E2A"/>
    <w:rsid w:val="003B1CE4"/>
    <w:rsid w:val="004160FE"/>
    <w:rsid w:val="00417DBC"/>
    <w:rsid w:val="00437975"/>
    <w:rsid w:val="00486A79"/>
    <w:rsid w:val="004C3368"/>
    <w:rsid w:val="004E6956"/>
    <w:rsid w:val="0050712B"/>
    <w:rsid w:val="00556DBD"/>
    <w:rsid w:val="005D2A0B"/>
    <w:rsid w:val="006A11D5"/>
    <w:rsid w:val="006B68CB"/>
    <w:rsid w:val="007C1E7C"/>
    <w:rsid w:val="007E0509"/>
    <w:rsid w:val="008147FB"/>
    <w:rsid w:val="00823AA5"/>
    <w:rsid w:val="00851E94"/>
    <w:rsid w:val="00854516"/>
    <w:rsid w:val="00885210"/>
    <w:rsid w:val="008A0FAB"/>
    <w:rsid w:val="008C4E38"/>
    <w:rsid w:val="009003EB"/>
    <w:rsid w:val="00911A23"/>
    <w:rsid w:val="00996DFA"/>
    <w:rsid w:val="009D318D"/>
    <w:rsid w:val="009E14F4"/>
    <w:rsid w:val="009E4264"/>
    <w:rsid w:val="00A16467"/>
    <w:rsid w:val="00AB4EA3"/>
    <w:rsid w:val="00AE6BF2"/>
    <w:rsid w:val="00B17448"/>
    <w:rsid w:val="00B55849"/>
    <w:rsid w:val="00B85F83"/>
    <w:rsid w:val="00BE5F58"/>
    <w:rsid w:val="00BE6545"/>
    <w:rsid w:val="00BF4F54"/>
    <w:rsid w:val="00C5465A"/>
    <w:rsid w:val="00C56B25"/>
    <w:rsid w:val="00C869D0"/>
    <w:rsid w:val="00CA6188"/>
    <w:rsid w:val="00CD734F"/>
    <w:rsid w:val="00D02CF7"/>
    <w:rsid w:val="00D055F0"/>
    <w:rsid w:val="00D34D00"/>
    <w:rsid w:val="00D73CAC"/>
    <w:rsid w:val="00D741A4"/>
    <w:rsid w:val="00D751F0"/>
    <w:rsid w:val="00E32786"/>
    <w:rsid w:val="00E85414"/>
    <w:rsid w:val="00FB2F1E"/>
    <w:rsid w:val="00FB5483"/>
    <w:rsid w:val="00FF6CE1"/>
    <w:rsid w:val="013C6297"/>
    <w:rsid w:val="0B4D74D4"/>
    <w:rsid w:val="10A03CA9"/>
    <w:rsid w:val="24C46667"/>
    <w:rsid w:val="51787ADD"/>
    <w:rsid w:val="59FE7B9A"/>
    <w:rsid w:val="5E4E69CC"/>
    <w:rsid w:val="63E558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sz w:val="21"/>
      <w:szCs w:val="22"/>
      <w:lang w:val="en-US" w:eastAsia="zh-CN" w:bidi="ar-SA"/>
    </w:rPr>
  </w:style>
  <w:style w:type="character" w:default="1" w:styleId="10">
    <w:name w:val="Default Paragraph Fon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Indent"/>
    <w:basedOn w:val="1"/>
    <w:link w:val="13"/>
    <w:autoRedefine/>
    <w:qFormat/>
    <w:uiPriority w:val="0"/>
    <w:pPr>
      <w:spacing w:line="420" w:lineRule="exact"/>
      <w:ind w:firstLine="630"/>
    </w:pPr>
    <w:rPr>
      <w:rFonts w:ascii="Times New Roman" w:hAnsi="Times New Roman" w:eastAsia="仿宋_GB2312" w:cs="Times New Roman"/>
      <w:kern w:val="1"/>
      <w:sz w:val="32"/>
      <w:szCs w:val="24"/>
    </w:rPr>
  </w:style>
  <w:style w:type="paragraph" w:styleId="3">
    <w:name w:val="Balloon Text"/>
    <w:basedOn w:val="1"/>
    <w:autoRedefine/>
    <w:qFormat/>
    <w:uiPriority w:val="0"/>
    <w:rPr>
      <w:kern w:val="1"/>
      <w:sz w:val="18"/>
      <w:szCs w:val="18"/>
    </w:rPr>
  </w:style>
  <w:style w:type="paragraph" w:styleId="4">
    <w:name w:val="footer"/>
    <w:basedOn w:val="1"/>
    <w:link w:val="14"/>
    <w:autoRedefine/>
    <w:qFormat/>
    <w:uiPriority w:val="0"/>
    <w:pPr>
      <w:tabs>
        <w:tab w:val="center" w:pos="4153"/>
        <w:tab w:val="right" w:pos="8306"/>
      </w:tabs>
      <w:jc w:val="left"/>
    </w:pPr>
    <w:rPr>
      <w:sz w:val="18"/>
      <w:szCs w:val="18"/>
    </w:rPr>
  </w:style>
  <w:style w:type="paragraph" w:styleId="5">
    <w:name w:val="header"/>
    <w:basedOn w:val="1"/>
    <w:link w:val="15"/>
    <w:autoRedefine/>
    <w:qFormat/>
    <w:uiPriority w:val="0"/>
    <w:pPr>
      <w:pBdr>
        <w:bottom w:val="single" w:color="000000" w:sz="6" w:space="1"/>
      </w:pBdr>
      <w:tabs>
        <w:tab w:val="center" w:pos="4153"/>
        <w:tab w:val="right" w:pos="8306"/>
      </w:tabs>
      <w:jc w:val="center"/>
    </w:pPr>
    <w:rPr>
      <w:sz w:val="18"/>
      <w:szCs w:val="18"/>
    </w:rPr>
  </w:style>
  <w:style w:type="paragraph" w:styleId="6">
    <w:name w:val="toc 1"/>
    <w:basedOn w:val="1"/>
    <w:next w:val="1"/>
    <w:autoRedefine/>
    <w:qFormat/>
    <w:uiPriority w:val="0"/>
    <w:rPr>
      <w:kern w:val="1"/>
    </w:rPr>
  </w:style>
  <w:style w:type="paragraph" w:styleId="7">
    <w:name w:val="toc 4"/>
    <w:basedOn w:val="1"/>
    <w:next w:val="1"/>
    <w:autoRedefine/>
    <w:qFormat/>
    <w:uiPriority w:val="0"/>
    <w:pPr>
      <w:ind w:left="1260" w:leftChars="600"/>
    </w:pPr>
    <w:rPr>
      <w:rFonts w:ascii="Times New Roman" w:hAnsi="Times New Roman" w:cs="Times New Roman"/>
      <w:color w:val="auto"/>
      <w:kern w:val="2"/>
      <w:szCs w:val="24"/>
    </w:rPr>
  </w:style>
  <w:style w:type="paragraph" w:styleId="8">
    <w:name w:val="toc 2"/>
    <w:basedOn w:val="1"/>
    <w:next w:val="1"/>
    <w:autoRedefine/>
    <w:qFormat/>
    <w:uiPriority w:val="39"/>
    <w:pPr>
      <w:ind w:left="420"/>
    </w:pPr>
    <w:rPr>
      <w:kern w:val="1"/>
    </w:rPr>
  </w:style>
  <w:style w:type="character" w:styleId="11">
    <w:name w:val="page number"/>
    <w:autoRedefine/>
    <w:qFormat/>
    <w:uiPriority w:val="0"/>
  </w:style>
  <w:style w:type="character" w:styleId="12">
    <w:name w:val="Hyperlink"/>
    <w:autoRedefine/>
    <w:qFormat/>
    <w:uiPriority w:val="0"/>
    <w:rPr>
      <w:color w:val="0000FF"/>
      <w:u w:val="single"/>
    </w:rPr>
  </w:style>
  <w:style w:type="character" w:customStyle="1" w:styleId="13">
    <w:name w:val="正文文本缩进 Char"/>
    <w:link w:val="2"/>
    <w:uiPriority w:val="0"/>
    <w:rPr>
      <w:rFonts w:eastAsia="仿宋_GB2312"/>
      <w:color w:val="000000"/>
      <w:kern w:val="1"/>
      <w:sz w:val="32"/>
      <w:szCs w:val="24"/>
    </w:rPr>
  </w:style>
  <w:style w:type="character" w:customStyle="1" w:styleId="14">
    <w:name w:val="页脚 Char"/>
    <w:link w:val="4"/>
    <w:uiPriority w:val="0"/>
    <w:rPr>
      <w:rFonts w:ascii="Calibri" w:hAnsi="Calibri" w:cs="Calibri"/>
      <w:color w:val="000000"/>
      <w:sz w:val="18"/>
      <w:szCs w:val="18"/>
    </w:rPr>
  </w:style>
  <w:style w:type="character" w:customStyle="1" w:styleId="15">
    <w:name w:val="页眉 Char"/>
    <w:link w:val="5"/>
    <w:uiPriority w:val="0"/>
    <w:rPr>
      <w:rFonts w:ascii="Calibri" w:hAnsi="Calibri" w:cs="Calibri"/>
      <w:color w:val="000000"/>
      <w:sz w:val="18"/>
      <w:szCs w:val="18"/>
    </w:rPr>
  </w:style>
  <w:style w:type="paragraph" w:customStyle="1" w:styleId="16">
    <w:name w:val="[Normal]"/>
    <w:uiPriority w:val="0"/>
    <w:pPr>
      <w:widowControl w:val="0"/>
    </w:pPr>
    <w:rPr>
      <w:rFonts w:ascii="宋体" w:hAnsi="宋体" w:eastAsia="宋体" w:cs="宋体"/>
      <w:color w:val="000000"/>
      <w:sz w:val="24"/>
      <w:szCs w:val="24"/>
      <w:lang w:val="en-US" w:eastAsia="zh-CN" w:bidi="ar-SA"/>
    </w:rPr>
  </w:style>
  <w:style w:type="paragraph" w:customStyle="1" w:styleId="17">
    <w:name w:val="列出段落*"/>
    <w:basedOn w:val="1"/>
    <w:uiPriority w:val="0"/>
    <w:pPr>
      <w:widowControl/>
      <w:spacing w:after="200"/>
      <w:ind w:firstLine="420"/>
      <w:jc w:val="left"/>
    </w:pPr>
    <w:rPr>
      <w:rFonts w:ascii="Tahoma" w:hAnsi="Tahoma" w:eastAsia="微软雅黑" w:cs="Tahoma"/>
      <w:sz w:val="22"/>
    </w:rPr>
  </w:style>
  <w:style w:type="character" w:customStyle="1" w:styleId="18">
    <w:name w:val=" Char Char2"/>
    <w:uiPriority w:val="0"/>
    <w:rPr>
      <w:sz w:val="18"/>
      <w:szCs w:val="18"/>
    </w:rPr>
  </w:style>
  <w:style w:type="character" w:customStyle="1" w:styleId="19">
    <w:name w:val=" Char Char"/>
    <w:uiPriority w:val="0"/>
    <w:rPr>
      <w:kern w:val="1"/>
      <w:sz w:val="18"/>
      <w:szCs w:val="18"/>
    </w:rPr>
  </w:style>
  <w:style w:type="character" w:customStyle="1" w:styleId="20">
    <w:name w:val=" Char Char3"/>
    <w:uiPriority w:val="0"/>
    <w:rPr>
      <w:sz w:val="18"/>
      <w:szCs w:val="18"/>
    </w:rPr>
  </w:style>
  <w:style w:type="character" w:customStyle="1" w:styleId="21">
    <w:name w:val=" Char Char1"/>
    <w:uiPriority w:val="0"/>
    <w:rPr>
      <w:rFonts w:ascii="Times New Roman" w:hAnsi="Times New Roman" w:eastAsia="仿宋_GB2312"/>
      <w:kern w:val="1"/>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45</Pages>
  <Words>3998</Words>
  <Characters>22789</Characters>
  <Lines>189</Lines>
  <Paragraphs>53</Paragraphs>
  <TotalTime>9</TotalTime>
  <ScaleCrop>false</ScaleCrop>
  <LinksUpToDate>false</LinksUpToDate>
  <CharactersWithSpaces>26734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2016-12-01T07:28:00Z</dcterms:created>
  <dc:creator>suix</dc:creator>
  <cp:lastModifiedBy>咔兹</cp:lastModifiedBy>
  <cp:lastPrinted>2017-06-21T08:26:00Z</cp:lastPrinted>
  <dcterms:modified xsi:type="dcterms:W3CDTF">2024-01-02T10:05:22Z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933177F9A2F84B949DD337B140E6483A_13</vt:lpwstr>
  </property>
</Properties>
</file>