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eastAsia="宋体" w:cs="宋体"/>
          <w:b/>
          <w:sz w:val="28"/>
          <w:szCs w:val="28"/>
        </w:rPr>
      </w:pPr>
    </w:p>
    <w:p>
      <w:pPr>
        <w:spacing w:line="500" w:lineRule="exact"/>
        <w:jc w:val="center"/>
        <w:rPr>
          <w:rFonts w:hint="eastAsia" w:ascii="宋体" w:hAnsi="宋体" w:eastAsia="宋体" w:cs="宋体"/>
          <w:b/>
          <w:sz w:val="28"/>
          <w:szCs w:val="28"/>
        </w:rPr>
      </w:pPr>
      <w:r>
        <w:rPr>
          <w:rFonts w:hint="eastAsia" w:ascii="宋体" w:hAnsi="宋体" w:eastAsia="宋体" w:cs="宋体"/>
          <w:b/>
          <w:sz w:val="28"/>
          <w:szCs w:val="28"/>
        </w:rPr>
        <w:t>保定市满城区方顺桥镇人民政府</w:t>
      </w:r>
    </w:p>
    <w:p>
      <w:pPr>
        <w:spacing w:line="500" w:lineRule="exact"/>
        <w:jc w:val="center"/>
        <w:rPr>
          <w:rFonts w:hint="eastAsia" w:ascii="宋体" w:hAnsi="宋体" w:eastAsia="宋体" w:cs="宋体"/>
          <w:sz w:val="28"/>
          <w:szCs w:val="28"/>
        </w:rPr>
      </w:pPr>
      <w:r>
        <w:rPr>
          <w:rFonts w:hint="eastAsia" w:ascii="宋体" w:hAnsi="宋体" w:eastAsia="宋体" w:cs="宋体"/>
          <w:b/>
          <w:sz w:val="28"/>
          <w:szCs w:val="28"/>
          <w:lang w:eastAsia="zh-CN"/>
        </w:rPr>
        <w:t>2021</w:t>
      </w:r>
      <w:r>
        <w:rPr>
          <w:rFonts w:hint="eastAsia" w:ascii="宋体" w:hAnsi="宋体" w:eastAsia="宋体" w:cs="宋体"/>
          <w:b/>
          <w:sz w:val="28"/>
          <w:szCs w:val="28"/>
        </w:rPr>
        <w:t>年预算信息公开</w:t>
      </w:r>
    </w:p>
    <w:p>
      <w:pPr>
        <w:spacing w:line="52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按照《</w:t>
      </w:r>
      <w:r>
        <w:rPr>
          <w:rFonts w:hint="eastAsia" w:ascii="宋体" w:hAnsi="宋体" w:eastAsia="宋体" w:cs="宋体"/>
          <w:sz w:val="28"/>
          <w:szCs w:val="28"/>
          <w:lang w:eastAsia="zh-CN"/>
        </w:rPr>
        <w:t>中华人民共和国</w:t>
      </w:r>
      <w:r>
        <w:rPr>
          <w:rFonts w:hint="eastAsia" w:ascii="宋体" w:hAnsi="宋体" w:eastAsia="宋体" w:cs="宋体"/>
          <w:sz w:val="28"/>
          <w:szCs w:val="28"/>
        </w:rPr>
        <w:t>预算法》、《地方预决算公开操作规程》和《河北省省级预算公开办法》规定，现将保定市满城区方顺桥镇人民政府</w:t>
      </w:r>
      <w:r>
        <w:rPr>
          <w:rFonts w:hint="eastAsia" w:ascii="宋体" w:hAnsi="宋体" w:eastAsia="宋体" w:cs="宋体"/>
          <w:sz w:val="28"/>
          <w:szCs w:val="28"/>
          <w:lang w:eastAsia="zh-CN"/>
        </w:rPr>
        <w:t>2021</w:t>
      </w:r>
      <w:r>
        <w:rPr>
          <w:rFonts w:hint="eastAsia" w:ascii="宋体" w:hAnsi="宋体" w:eastAsia="宋体" w:cs="宋体"/>
          <w:sz w:val="28"/>
          <w:szCs w:val="28"/>
        </w:rPr>
        <w:t>年</w:t>
      </w:r>
      <w:r>
        <w:rPr>
          <w:rFonts w:hint="eastAsia" w:ascii="宋体" w:hAnsi="宋体" w:eastAsia="宋体" w:cs="宋体"/>
          <w:sz w:val="28"/>
          <w:szCs w:val="28"/>
          <w:lang w:eastAsia="zh-CN"/>
        </w:rPr>
        <w:t>单位</w:t>
      </w:r>
      <w:r>
        <w:rPr>
          <w:rFonts w:hint="eastAsia" w:ascii="宋体" w:hAnsi="宋体" w:eastAsia="宋体" w:cs="宋体"/>
          <w:sz w:val="28"/>
          <w:szCs w:val="28"/>
        </w:rPr>
        <w:t>预算公开如下：</w:t>
      </w:r>
    </w:p>
    <w:p>
      <w:pPr>
        <w:jc w:val="center"/>
        <w:rPr>
          <w:rFonts w:hint="eastAsia" w:ascii="宋体" w:hAnsi="宋体" w:eastAsia="宋体" w:cs="宋体"/>
          <w:sz w:val="28"/>
          <w:szCs w:val="28"/>
        </w:rPr>
      </w:pPr>
      <w:r>
        <w:rPr>
          <w:rFonts w:hint="eastAsia" w:ascii="宋体" w:hAnsi="宋体" w:eastAsia="宋体" w:cs="宋体"/>
          <w:sz w:val="28"/>
          <w:szCs w:val="28"/>
        </w:rPr>
        <w:t xml:space="preserve"> 第一部分:</w:t>
      </w:r>
      <w:r>
        <w:rPr>
          <w:rFonts w:hint="eastAsia" w:ascii="宋体" w:hAnsi="宋体" w:eastAsia="宋体" w:cs="宋体"/>
          <w:sz w:val="28"/>
          <w:szCs w:val="28"/>
          <w:lang w:eastAsia="zh-CN"/>
        </w:rPr>
        <w:t>单位</w:t>
      </w:r>
      <w:r>
        <w:rPr>
          <w:rFonts w:hint="eastAsia" w:ascii="宋体" w:hAnsi="宋体" w:eastAsia="宋体" w:cs="宋体"/>
          <w:sz w:val="28"/>
          <w:szCs w:val="28"/>
        </w:rPr>
        <w:t xml:space="preserve">职责及机构设置 </w:t>
      </w:r>
    </w:p>
    <w:p>
      <w:pPr>
        <w:ind w:firstLine="560"/>
        <w:rPr>
          <w:rFonts w:hint="eastAsia" w:ascii="宋体" w:hAnsi="宋体" w:eastAsia="宋体" w:cs="宋体"/>
          <w:b/>
          <w:sz w:val="28"/>
          <w:szCs w:val="28"/>
        </w:rPr>
      </w:pPr>
      <w:r>
        <w:rPr>
          <w:rFonts w:hint="eastAsia" w:ascii="宋体" w:hAnsi="宋体" w:eastAsia="宋体" w:cs="宋体"/>
          <w:sz w:val="28"/>
          <w:szCs w:val="28"/>
        </w:rPr>
        <w:t xml:space="preserve"> </w:t>
      </w:r>
      <w:r>
        <w:rPr>
          <w:rFonts w:hint="eastAsia" w:ascii="宋体" w:hAnsi="宋体" w:eastAsia="宋体" w:cs="宋体"/>
          <w:b/>
          <w:bCs/>
          <w:sz w:val="28"/>
          <w:szCs w:val="28"/>
        </w:rPr>
        <w:t>一、</w:t>
      </w:r>
      <w:r>
        <w:rPr>
          <w:rFonts w:hint="eastAsia" w:ascii="宋体" w:hAnsi="宋体" w:eastAsia="宋体" w:cs="宋体"/>
          <w:sz w:val="28"/>
          <w:szCs w:val="28"/>
          <w:lang w:eastAsia="zh-CN"/>
        </w:rPr>
        <w:t>单位</w:t>
      </w:r>
      <w:r>
        <w:rPr>
          <w:rFonts w:hint="eastAsia" w:ascii="宋体" w:hAnsi="宋体" w:eastAsia="宋体" w:cs="宋体"/>
          <w:sz w:val="28"/>
          <w:szCs w:val="28"/>
        </w:rPr>
        <w:t>职责</w:t>
      </w:r>
    </w:p>
    <w:p>
      <w:pPr>
        <w:widowControl/>
        <w:snapToGrid w:val="0"/>
        <w:spacing w:line="640" w:lineRule="exact"/>
        <w:ind w:firstLine="1120" w:firstLineChars="4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1、执行本级人民代表大会的决议和上级国家行政机关的决定和命令，发布决定和命令;</w:t>
      </w:r>
    </w:p>
    <w:p>
      <w:pPr>
        <w:widowControl/>
        <w:snapToGrid w:val="0"/>
        <w:spacing w:line="640" w:lineRule="exact"/>
        <w:ind w:firstLine="1120" w:firstLineChars="4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2、执行本行政区域内的经济和社会发展计划、预算，管理本行政区域内的经济、教育、科学、文化、卫生、体育事业和财政、民政、公安、司法行政、计划生育等行政工作;</w:t>
      </w:r>
    </w:p>
    <w:p>
      <w:pPr>
        <w:widowControl/>
        <w:snapToGrid w:val="0"/>
        <w:spacing w:line="640" w:lineRule="exact"/>
        <w:ind w:firstLine="1120" w:firstLineChars="4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3、保护社会主义的全民所有的财产和劳动群众集体所有的财产，保护公民私人所有的合法财产，维护社会秩序，保障公民的人身权利、民主权利和其他权利;</w:t>
      </w:r>
    </w:p>
    <w:p>
      <w:pPr>
        <w:widowControl/>
        <w:snapToGrid w:val="0"/>
        <w:spacing w:line="640" w:lineRule="exact"/>
        <w:ind w:firstLine="1120" w:firstLineChars="4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4、保护各种经济组织的合法权益;</w:t>
      </w:r>
    </w:p>
    <w:p>
      <w:pPr>
        <w:widowControl/>
        <w:snapToGrid w:val="0"/>
        <w:spacing w:line="640" w:lineRule="exact"/>
        <w:ind w:firstLine="1120" w:firstLineChars="4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5、保障少数民族的权利和尊重少数民族的风俗习惯;</w:t>
      </w:r>
    </w:p>
    <w:p>
      <w:pPr>
        <w:widowControl/>
        <w:snapToGrid w:val="0"/>
        <w:spacing w:line="640" w:lineRule="exact"/>
        <w:ind w:firstLine="1120" w:firstLineChars="4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6、办理上级县委、县政府</w:t>
      </w:r>
      <w:bookmarkStart w:id="18" w:name="_GoBack"/>
      <w:bookmarkEnd w:id="18"/>
      <w:r>
        <w:rPr>
          <w:rFonts w:hint="eastAsia" w:ascii="宋体" w:hAnsi="宋体" w:eastAsia="宋体" w:cs="宋体"/>
          <w:color w:val="000000"/>
          <w:kern w:val="0"/>
          <w:sz w:val="28"/>
          <w:szCs w:val="28"/>
        </w:rPr>
        <w:t>交办的其他事项。</w:t>
      </w:r>
    </w:p>
    <w:p>
      <w:pPr>
        <w:widowControl/>
        <w:snapToGrid w:val="0"/>
        <w:spacing w:line="640" w:lineRule="exact"/>
        <w:rPr>
          <w:rFonts w:hint="eastAsia" w:ascii="宋体" w:hAnsi="宋体" w:eastAsia="宋体" w:cs="宋体"/>
          <w:color w:val="000000"/>
          <w:kern w:val="0"/>
          <w:sz w:val="28"/>
          <w:szCs w:val="28"/>
        </w:rPr>
      </w:pPr>
    </w:p>
    <w:p>
      <w:pPr>
        <w:widowControl/>
        <w:snapToGrid w:val="0"/>
        <w:spacing w:line="640" w:lineRule="exact"/>
        <w:rPr>
          <w:rFonts w:hint="eastAsia" w:ascii="宋体" w:hAnsi="宋体" w:eastAsia="宋体" w:cs="宋体"/>
          <w:color w:val="000000"/>
          <w:kern w:val="0"/>
          <w:sz w:val="28"/>
          <w:szCs w:val="28"/>
        </w:rPr>
      </w:pPr>
    </w:p>
    <w:p>
      <w:pPr>
        <w:widowControl/>
        <w:snapToGrid w:val="0"/>
        <w:spacing w:line="640" w:lineRule="exact"/>
        <w:rPr>
          <w:rFonts w:hint="eastAsia" w:ascii="宋体" w:hAnsi="宋体" w:eastAsia="宋体" w:cs="宋体"/>
          <w:color w:val="000000"/>
          <w:kern w:val="0"/>
          <w:sz w:val="28"/>
          <w:szCs w:val="28"/>
        </w:rPr>
      </w:pPr>
    </w:p>
    <w:p>
      <w:pPr>
        <w:ind w:firstLine="640"/>
        <w:jc w:val="left"/>
        <w:rPr>
          <w:rFonts w:hint="eastAsia" w:ascii="宋体" w:hAnsi="宋体" w:eastAsia="宋体" w:cs="宋体"/>
          <w:b/>
          <w:bCs/>
          <w:sz w:val="28"/>
          <w:szCs w:val="28"/>
        </w:rPr>
      </w:pPr>
      <w:r>
        <w:rPr>
          <w:rFonts w:hint="eastAsia" w:ascii="宋体" w:hAnsi="宋体" w:eastAsia="宋体" w:cs="宋体"/>
          <w:b/>
          <w:bCs/>
          <w:sz w:val="28"/>
          <w:szCs w:val="28"/>
        </w:rPr>
        <w:t>二、机构设置</w:t>
      </w:r>
    </w:p>
    <w:tbl>
      <w:tblPr>
        <w:tblStyle w:val="6"/>
        <w:tblW w:w="100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4230"/>
        <w:gridCol w:w="1395"/>
        <w:gridCol w:w="1455"/>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6" w:hRule="atLeast"/>
        </w:trPr>
        <w:tc>
          <w:tcPr>
            <w:tcW w:w="10053" w:type="dxa"/>
            <w:gridSpan w:val="5"/>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lang w:eastAsia="zh-CN"/>
              </w:rPr>
              <w:t>单位</w:t>
            </w:r>
            <w:r>
              <w:rPr>
                <w:rFonts w:hint="eastAsia" w:ascii="宋体" w:hAnsi="宋体" w:eastAsia="宋体" w:cs="宋体"/>
                <w:b/>
                <w:bCs/>
                <w:sz w:val="28"/>
                <w:szCs w:val="28"/>
              </w:rPr>
              <w:t>机构设置情况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933"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序号</w:t>
            </w:r>
          </w:p>
        </w:tc>
        <w:tc>
          <w:tcPr>
            <w:tcW w:w="4230"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单位名称</w:t>
            </w:r>
          </w:p>
        </w:tc>
        <w:tc>
          <w:tcPr>
            <w:tcW w:w="1395"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单位性质</w:t>
            </w:r>
          </w:p>
        </w:tc>
        <w:tc>
          <w:tcPr>
            <w:tcW w:w="1455"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单位规格</w:t>
            </w:r>
          </w:p>
        </w:tc>
        <w:tc>
          <w:tcPr>
            <w:tcW w:w="2040"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933"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1</w:t>
            </w:r>
          </w:p>
        </w:tc>
        <w:tc>
          <w:tcPr>
            <w:tcW w:w="4230" w:type="dxa"/>
            <w:noWrap w:val="0"/>
            <w:vAlign w:val="top"/>
          </w:tcPr>
          <w:p>
            <w:pPr>
              <w:jc w:val="left"/>
              <w:rPr>
                <w:rFonts w:hint="eastAsia" w:ascii="宋体" w:hAnsi="宋体" w:eastAsia="宋体" w:cs="宋体"/>
                <w:b/>
                <w:bCs/>
                <w:sz w:val="28"/>
                <w:szCs w:val="28"/>
                <w:lang w:eastAsia="zh-CN"/>
              </w:rPr>
            </w:pPr>
            <w:r>
              <w:rPr>
                <w:rFonts w:hint="eastAsia" w:ascii="宋体" w:hAnsi="宋体" w:eastAsia="宋体" w:cs="宋体"/>
                <w:b/>
                <w:bCs/>
                <w:sz w:val="28"/>
                <w:szCs w:val="28"/>
              </w:rPr>
              <w:t>保定市满城区方顺桥镇人民政府</w:t>
            </w:r>
            <w:r>
              <w:rPr>
                <w:rFonts w:hint="eastAsia" w:ascii="宋体" w:hAnsi="宋体" w:eastAsia="宋体" w:cs="宋体"/>
                <w:b/>
                <w:bCs/>
                <w:sz w:val="28"/>
                <w:szCs w:val="28"/>
                <w:lang w:eastAsia="zh-CN"/>
              </w:rPr>
              <w:t>（本级）</w:t>
            </w:r>
          </w:p>
        </w:tc>
        <w:tc>
          <w:tcPr>
            <w:tcW w:w="1395"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行政</w:t>
            </w:r>
          </w:p>
        </w:tc>
        <w:tc>
          <w:tcPr>
            <w:tcW w:w="1455"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正科级</w:t>
            </w:r>
          </w:p>
        </w:tc>
        <w:tc>
          <w:tcPr>
            <w:tcW w:w="2040" w:type="dxa"/>
            <w:noWrap w:val="0"/>
            <w:vAlign w:val="top"/>
          </w:tcPr>
          <w:p>
            <w:pPr>
              <w:jc w:val="left"/>
              <w:rPr>
                <w:rFonts w:hint="eastAsia" w:ascii="宋体" w:hAnsi="宋体" w:eastAsia="宋体" w:cs="宋体"/>
                <w:b/>
                <w:bCs/>
                <w:sz w:val="28"/>
                <w:szCs w:val="28"/>
              </w:rPr>
            </w:pPr>
            <w:r>
              <w:rPr>
                <w:rFonts w:hint="eastAsia" w:ascii="宋体" w:hAnsi="宋体" w:eastAsia="宋体" w:cs="宋体"/>
                <w:b/>
                <w:bCs/>
                <w:sz w:val="28"/>
                <w:szCs w:val="28"/>
              </w:rPr>
              <w:t>财政拨款</w:t>
            </w:r>
          </w:p>
        </w:tc>
      </w:tr>
    </w:tbl>
    <w:p>
      <w:pPr>
        <w:ind w:firstLine="640"/>
        <w:jc w:val="left"/>
        <w:rPr>
          <w:rFonts w:hint="eastAsia" w:ascii="宋体" w:hAnsi="宋体" w:eastAsia="宋体" w:cs="宋体"/>
          <w:b/>
          <w:bCs/>
          <w:sz w:val="28"/>
          <w:szCs w:val="28"/>
        </w:rPr>
      </w:pPr>
    </w:p>
    <w:p>
      <w:pPr>
        <w:spacing w:line="520" w:lineRule="exact"/>
        <w:jc w:val="center"/>
        <w:rPr>
          <w:rFonts w:hint="eastAsia" w:ascii="宋体" w:hAnsi="宋体" w:eastAsia="宋体" w:cs="宋体"/>
          <w:sz w:val="28"/>
          <w:szCs w:val="28"/>
        </w:rPr>
      </w:pPr>
      <w:bookmarkStart w:id="0" w:name="_Toc476814336"/>
      <w:r>
        <w:rPr>
          <w:rFonts w:hint="eastAsia" w:ascii="宋体" w:hAnsi="宋体" w:eastAsia="宋体" w:cs="宋体"/>
          <w:sz w:val="28"/>
          <w:szCs w:val="28"/>
        </w:rPr>
        <w:t>第二部分：</w:t>
      </w:r>
      <w:r>
        <w:rPr>
          <w:rFonts w:hint="eastAsia" w:ascii="宋体" w:hAnsi="宋体" w:eastAsia="宋体" w:cs="宋体"/>
          <w:sz w:val="28"/>
          <w:szCs w:val="28"/>
          <w:lang w:eastAsia="zh-CN"/>
        </w:rPr>
        <w:t>单位</w:t>
      </w:r>
      <w:r>
        <w:rPr>
          <w:rFonts w:hint="eastAsia" w:ascii="宋体" w:hAnsi="宋体" w:eastAsia="宋体" w:cs="宋体"/>
          <w:sz w:val="28"/>
          <w:szCs w:val="28"/>
        </w:rPr>
        <w:t>预算安排的总体情况</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1、收入说明</w:t>
      </w:r>
      <w:r>
        <w:rPr>
          <w:rFonts w:hint="eastAsia" w:ascii="宋体" w:hAnsi="宋体" w:eastAsia="宋体" w:cs="宋体"/>
          <w:sz w:val="28"/>
          <w:szCs w:val="28"/>
        </w:rPr>
        <w:t>：</w:t>
      </w:r>
    </w:p>
    <w:p>
      <w:pPr>
        <w:spacing w:line="480" w:lineRule="auto"/>
        <w:ind w:firstLine="840" w:firstLineChars="300"/>
        <w:rPr>
          <w:rFonts w:hint="eastAsia" w:ascii="宋体" w:hAnsi="宋体" w:eastAsia="宋体" w:cs="宋体"/>
          <w:sz w:val="28"/>
          <w:szCs w:val="28"/>
          <w:lang w:eastAsia="zh-CN"/>
        </w:rPr>
      </w:pPr>
      <w:r>
        <w:rPr>
          <w:rFonts w:hint="eastAsia" w:ascii="宋体" w:hAnsi="宋体" w:eastAsia="宋体" w:cs="宋体"/>
          <w:sz w:val="28"/>
          <w:szCs w:val="28"/>
          <w:lang w:eastAsia="zh-CN"/>
        </w:rPr>
        <w:t>2021</w:t>
      </w:r>
      <w:r>
        <w:rPr>
          <w:rFonts w:hint="eastAsia" w:ascii="宋体" w:hAnsi="宋体" w:eastAsia="宋体" w:cs="宋体"/>
          <w:sz w:val="28"/>
          <w:szCs w:val="28"/>
        </w:rPr>
        <w:t>年预算收入886.21万元</w:t>
      </w:r>
      <w:r>
        <w:rPr>
          <w:rFonts w:hint="eastAsia" w:ascii="宋体" w:hAnsi="宋体" w:eastAsia="宋体" w:cs="宋体"/>
          <w:sz w:val="28"/>
          <w:szCs w:val="28"/>
          <w:lang w:eastAsia="zh-CN"/>
        </w:rPr>
        <w:t>。</w:t>
      </w:r>
    </w:p>
    <w:p>
      <w:pPr>
        <w:spacing w:line="480" w:lineRule="auto"/>
        <w:ind w:firstLine="1400" w:firstLineChars="500"/>
        <w:rPr>
          <w:rFonts w:hint="eastAsia" w:ascii="宋体" w:hAnsi="宋体" w:eastAsia="宋体" w:cs="宋体"/>
          <w:sz w:val="28"/>
          <w:szCs w:val="28"/>
        </w:rPr>
      </w:pPr>
      <w:r>
        <w:rPr>
          <w:rFonts w:hint="eastAsia" w:ascii="宋体" w:hAnsi="宋体" w:eastAsia="宋体" w:cs="宋体"/>
          <w:sz w:val="28"/>
          <w:szCs w:val="28"/>
        </w:rPr>
        <w:t>其中：一般公共预算财政拨款</w:t>
      </w:r>
      <w:r>
        <w:rPr>
          <w:rFonts w:hint="eastAsia" w:ascii="宋体" w:hAnsi="宋体" w:eastAsia="宋体" w:cs="宋体"/>
          <w:sz w:val="28"/>
          <w:szCs w:val="28"/>
          <w:lang w:val="en-US" w:eastAsia="zh-CN"/>
        </w:rPr>
        <w:t>886.21</w:t>
      </w:r>
      <w:r>
        <w:rPr>
          <w:rFonts w:hint="eastAsia" w:ascii="宋体" w:hAnsi="宋体" w:eastAsia="宋体" w:cs="宋体"/>
          <w:sz w:val="28"/>
          <w:szCs w:val="28"/>
        </w:rPr>
        <w:t>万元</w:t>
      </w:r>
      <w:r>
        <w:rPr>
          <w:rFonts w:hint="eastAsia" w:ascii="宋体" w:hAnsi="宋体" w:eastAsia="宋体" w:cs="宋体"/>
          <w:sz w:val="28"/>
          <w:szCs w:val="28"/>
          <w:lang w:val="en-US" w:eastAsia="zh-CN"/>
        </w:rPr>
        <w:t>,政府性基金预算拨款收入0万元</w:t>
      </w:r>
      <w:r>
        <w:rPr>
          <w:rFonts w:hint="eastAsia" w:ascii="宋体" w:hAnsi="宋体" w:eastAsia="宋体" w:cs="宋体"/>
          <w:sz w:val="28"/>
          <w:szCs w:val="28"/>
        </w:rPr>
        <w:t>。</w:t>
      </w:r>
    </w:p>
    <w:p>
      <w:pPr>
        <w:numPr>
          <w:ilvl w:val="0"/>
          <w:numId w:val="1"/>
        </w:numPr>
        <w:spacing w:line="48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支出</w:t>
      </w:r>
      <w:r>
        <w:rPr>
          <w:rFonts w:hint="eastAsia" w:ascii="宋体" w:hAnsi="宋体" w:eastAsia="宋体" w:cs="宋体"/>
          <w:sz w:val="28"/>
          <w:szCs w:val="28"/>
          <w:lang w:eastAsia="zh-CN"/>
        </w:rPr>
        <w:t>说明</w:t>
      </w:r>
    </w:p>
    <w:p>
      <w:pPr>
        <w:numPr>
          <w:ilvl w:val="0"/>
          <w:numId w:val="0"/>
        </w:numPr>
        <w:spacing w:line="480" w:lineRule="auto"/>
        <w:ind w:firstLine="840" w:firstLineChars="300"/>
        <w:rPr>
          <w:rFonts w:hint="eastAsia" w:ascii="宋体" w:hAnsi="宋体" w:eastAsia="宋体" w:cs="宋体"/>
          <w:sz w:val="28"/>
          <w:szCs w:val="28"/>
          <w:lang w:eastAsia="zh-CN"/>
        </w:rPr>
      </w:pPr>
      <w:r>
        <w:rPr>
          <w:rFonts w:hint="eastAsia" w:ascii="宋体" w:hAnsi="宋体" w:eastAsia="宋体" w:cs="宋体"/>
          <w:sz w:val="28"/>
          <w:szCs w:val="28"/>
          <w:lang w:val="en-US" w:eastAsia="zh-CN"/>
        </w:rPr>
        <w:t>2021年预算支出886.21</w:t>
      </w:r>
      <w:r>
        <w:rPr>
          <w:rFonts w:hint="eastAsia" w:ascii="宋体" w:hAnsi="宋体" w:eastAsia="宋体" w:cs="宋体"/>
          <w:sz w:val="28"/>
          <w:szCs w:val="28"/>
        </w:rPr>
        <w:t>万元</w:t>
      </w:r>
      <w:r>
        <w:rPr>
          <w:rFonts w:hint="eastAsia" w:ascii="宋体" w:hAnsi="宋体" w:eastAsia="宋体" w:cs="宋体"/>
          <w:sz w:val="28"/>
          <w:szCs w:val="28"/>
          <w:lang w:eastAsia="zh-CN"/>
        </w:rPr>
        <w:t>。</w:t>
      </w:r>
    </w:p>
    <w:p>
      <w:pPr>
        <w:numPr>
          <w:ilvl w:val="0"/>
          <w:numId w:val="0"/>
        </w:numPr>
        <w:spacing w:line="480" w:lineRule="auto"/>
        <w:ind w:firstLine="1400" w:firstLineChars="500"/>
        <w:rPr>
          <w:rFonts w:hint="eastAsia" w:ascii="宋体" w:hAnsi="宋体" w:eastAsia="宋体" w:cs="宋体"/>
          <w:sz w:val="28"/>
          <w:szCs w:val="28"/>
          <w:lang w:eastAsia="zh-CN"/>
        </w:rPr>
      </w:pPr>
      <w:r>
        <w:rPr>
          <w:rFonts w:hint="eastAsia" w:ascii="宋体" w:hAnsi="宋体" w:eastAsia="宋体" w:cs="宋体"/>
          <w:sz w:val="28"/>
          <w:szCs w:val="28"/>
        </w:rPr>
        <w:t>其中：人员经费</w:t>
      </w:r>
      <w:r>
        <w:rPr>
          <w:rFonts w:hint="eastAsia" w:ascii="宋体" w:hAnsi="宋体" w:eastAsia="宋体" w:cs="宋体"/>
          <w:sz w:val="28"/>
          <w:szCs w:val="28"/>
          <w:lang w:val="en-US" w:eastAsia="zh-CN"/>
        </w:rPr>
        <w:t>360.07万</w:t>
      </w:r>
      <w:r>
        <w:rPr>
          <w:rFonts w:hint="eastAsia" w:ascii="宋体" w:hAnsi="宋体" w:eastAsia="宋体" w:cs="宋体"/>
          <w:sz w:val="28"/>
          <w:szCs w:val="28"/>
        </w:rPr>
        <w:t>元</w:t>
      </w:r>
      <w:r>
        <w:rPr>
          <w:rFonts w:hint="eastAsia" w:ascii="宋体" w:hAnsi="宋体" w:eastAsia="宋体" w:cs="宋体"/>
          <w:sz w:val="28"/>
          <w:szCs w:val="28"/>
          <w:lang w:eastAsia="zh-CN"/>
        </w:rPr>
        <w:t>。</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公用经费</w:t>
      </w:r>
      <w:r>
        <w:rPr>
          <w:rFonts w:hint="eastAsia" w:ascii="宋体" w:hAnsi="宋体" w:eastAsia="宋体" w:cs="宋体"/>
          <w:sz w:val="28"/>
          <w:szCs w:val="28"/>
          <w:lang w:val="en-US" w:eastAsia="zh-CN"/>
        </w:rPr>
        <w:t xml:space="preserve"> 56.01万元</w:t>
      </w:r>
      <w:r>
        <w:rPr>
          <w:rFonts w:hint="eastAsia" w:ascii="宋体" w:hAnsi="宋体" w:eastAsia="宋体" w:cs="宋体"/>
          <w:sz w:val="28"/>
          <w:szCs w:val="28"/>
        </w:rPr>
        <w:t>。</w:t>
      </w:r>
    </w:p>
    <w:p>
      <w:pPr>
        <w:spacing w:line="480" w:lineRule="auto"/>
        <w:ind w:firstLine="2240" w:firstLineChars="800"/>
        <w:rPr>
          <w:rFonts w:hint="eastAsia" w:ascii="宋体" w:hAnsi="宋体" w:eastAsia="宋体" w:cs="宋体"/>
          <w:sz w:val="28"/>
          <w:szCs w:val="28"/>
          <w:lang w:val="en-US" w:eastAsia="zh-CN"/>
        </w:rPr>
      </w:pPr>
      <w:r>
        <w:rPr>
          <w:rFonts w:hint="eastAsia" w:ascii="宋体" w:hAnsi="宋体" w:eastAsia="宋体" w:cs="宋体"/>
          <w:sz w:val="28"/>
          <w:szCs w:val="28"/>
        </w:rPr>
        <w:t>项目支出</w:t>
      </w:r>
      <w:r>
        <w:rPr>
          <w:rFonts w:hint="eastAsia" w:ascii="宋体" w:hAnsi="宋体" w:eastAsia="宋体" w:cs="宋体"/>
          <w:sz w:val="28"/>
          <w:szCs w:val="28"/>
          <w:lang w:val="en-US" w:eastAsia="zh-CN"/>
        </w:rPr>
        <w:t>470.13万元。</w:t>
      </w:r>
    </w:p>
    <w:p>
      <w:pPr>
        <w:numPr>
          <w:ilvl w:val="0"/>
          <w:numId w:val="1"/>
        </w:numPr>
        <w:spacing w:line="480" w:lineRule="auto"/>
        <w:ind w:left="0" w:leftChars="0"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比上年增减情况</w:t>
      </w:r>
    </w:p>
    <w:p>
      <w:pPr>
        <w:numPr>
          <w:ilvl w:val="0"/>
          <w:numId w:val="0"/>
        </w:numPr>
        <w:spacing w:line="480" w:lineRule="auto"/>
        <w:ind w:leftChars="200"/>
        <w:rPr>
          <w:rFonts w:hint="eastAsia" w:ascii="宋体" w:hAnsi="宋体" w:eastAsia="宋体" w:cs="宋体"/>
          <w:sz w:val="28"/>
          <w:szCs w:val="28"/>
          <w:lang w:val="en-US"/>
        </w:rPr>
      </w:pPr>
      <w:r>
        <w:rPr>
          <w:rFonts w:hint="eastAsia" w:ascii="宋体" w:hAnsi="宋体" w:eastAsia="宋体" w:cs="宋体"/>
          <w:sz w:val="28"/>
          <w:szCs w:val="28"/>
          <w:lang w:val="en-US" w:eastAsia="zh-CN"/>
        </w:rPr>
        <w:t xml:space="preserve">    本年度收支安排886.21万元，较上年增加122.88万元。</w:t>
      </w:r>
      <w:r>
        <w:rPr>
          <w:rFonts w:hint="eastAsia" w:ascii="宋体" w:hAnsi="宋体" w:eastAsia="宋体" w:cs="宋体"/>
          <w:sz w:val="28"/>
          <w:szCs w:val="28"/>
        </w:rPr>
        <w:t xml:space="preserve"> </w:t>
      </w:r>
      <w:r>
        <w:rPr>
          <w:rFonts w:hint="eastAsia" w:ascii="宋体" w:hAnsi="宋体" w:eastAsia="宋体" w:cs="宋体"/>
          <w:sz w:val="28"/>
          <w:szCs w:val="28"/>
          <w:lang w:eastAsia="zh-CN"/>
        </w:rPr>
        <w:t>其中</w:t>
      </w:r>
      <w:r>
        <w:rPr>
          <w:rFonts w:hint="eastAsia" w:ascii="宋体" w:hAnsi="宋体" w:eastAsia="宋体" w:cs="宋体"/>
          <w:sz w:val="28"/>
          <w:szCs w:val="28"/>
        </w:rPr>
        <w:t>基本支出比</w:t>
      </w:r>
      <w:r>
        <w:rPr>
          <w:rFonts w:hint="eastAsia" w:ascii="宋体" w:hAnsi="宋体" w:eastAsia="宋体" w:cs="宋体"/>
          <w:sz w:val="28"/>
          <w:szCs w:val="28"/>
          <w:lang w:eastAsia="zh-CN"/>
        </w:rPr>
        <w:t>2020</w:t>
      </w:r>
      <w:r>
        <w:rPr>
          <w:rFonts w:hint="eastAsia" w:ascii="宋体" w:hAnsi="宋体" w:eastAsia="宋体" w:cs="宋体"/>
          <w:sz w:val="28"/>
          <w:szCs w:val="28"/>
        </w:rPr>
        <w:t>年增长</w:t>
      </w:r>
      <w:r>
        <w:rPr>
          <w:rFonts w:hint="eastAsia" w:ascii="宋体" w:hAnsi="宋体" w:eastAsia="宋体" w:cs="宋体"/>
          <w:sz w:val="28"/>
          <w:szCs w:val="28"/>
          <w:lang w:val="en-US" w:eastAsia="zh-CN"/>
        </w:rPr>
        <w:t>8.87</w:t>
      </w:r>
      <w:r>
        <w:rPr>
          <w:rFonts w:hint="eastAsia" w:ascii="宋体" w:hAnsi="宋体" w:eastAsia="宋体" w:cs="宋体"/>
          <w:sz w:val="28"/>
          <w:szCs w:val="28"/>
        </w:rPr>
        <w:t>万元，增</w:t>
      </w:r>
      <w:r>
        <w:rPr>
          <w:rFonts w:hint="eastAsia" w:ascii="宋体" w:hAnsi="宋体" w:eastAsia="宋体" w:cs="宋体"/>
          <w:sz w:val="28"/>
          <w:szCs w:val="28"/>
          <w:lang w:eastAsia="zh-CN"/>
        </w:rPr>
        <w:t>加</w:t>
      </w:r>
      <w:r>
        <w:rPr>
          <w:rFonts w:hint="eastAsia" w:ascii="宋体" w:hAnsi="宋体" w:eastAsia="宋体" w:cs="宋体"/>
          <w:sz w:val="28"/>
          <w:szCs w:val="28"/>
        </w:rPr>
        <w:t>的主要原因是人员</w:t>
      </w:r>
      <w:r>
        <w:rPr>
          <w:rFonts w:hint="eastAsia" w:ascii="宋体" w:hAnsi="宋体" w:eastAsia="宋体" w:cs="宋体"/>
          <w:sz w:val="28"/>
          <w:szCs w:val="28"/>
          <w:lang w:eastAsia="zh-CN"/>
        </w:rPr>
        <w:t>增加和</w:t>
      </w:r>
      <w:r>
        <w:rPr>
          <w:rFonts w:hint="eastAsia" w:ascii="宋体" w:hAnsi="宋体" w:eastAsia="宋体" w:cs="宋体"/>
          <w:sz w:val="28"/>
          <w:szCs w:val="28"/>
        </w:rPr>
        <w:t>工资调整。</w:t>
      </w:r>
    </w:p>
    <w:p>
      <w:pPr>
        <w:spacing w:line="520" w:lineRule="exact"/>
        <w:jc w:val="center"/>
        <w:outlineLvl w:val="0"/>
        <w:rPr>
          <w:rFonts w:hint="eastAsia" w:ascii="宋体" w:hAnsi="宋体" w:eastAsia="宋体" w:cs="宋体"/>
          <w:sz w:val="28"/>
          <w:szCs w:val="28"/>
        </w:rPr>
      </w:pPr>
      <w:r>
        <w:rPr>
          <w:rFonts w:hint="eastAsia" w:ascii="宋体" w:hAnsi="宋体" w:eastAsia="宋体" w:cs="宋体"/>
          <w:sz w:val="28"/>
          <w:szCs w:val="28"/>
        </w:rPr>
        <w:t>第三部分：机关运行经费安排情况</w:t>
      </w:r>
    </w:p>
    <w:p>
      <w:pPr>
        <w:spacing w:line="500" w:lineRule="exact"/>
        <w:ind w:firstLine="548" w:firstLineChars="196"/>
        <w:jc w:val="left"/>
        <w:outlineLvl w:val="0"/>
        <w:rPr>
          <w:rFonts w:hint="default" w:ascii="宋体" w:hAnsi="宋体" w:eastAsia="宋体" w:cs="宋体"/>
          <w:sz w:val="28"/>
          <w:szCs w:val="28"/>
          <w:lang w:val="en-US" w:eastAsia="zh-CN"/>
        </w:rPr>
      </w:pPr>
      <w:r>
        <w:rPr>
          <w:rFonts w:hint="eastAsia" w:ascii="宋体" w:hAnsi="宋体" w:eastAsia="宋体" w:cs="宋体"/>
          <w:sz w:val="28"/>
          <w:szCs w:val="28"/>
        </w:rPr>
        <w:t>我</w:t>
      </w:r>
      <w:r>
        <w:rPr>
          <w:rFonts w:hint="eastAsia" w:ascii="宋体" w:hAnsi="宋体" w:eastAsia="宋体" w:cs="宋体"/>
          <w:sz w:val="28"/>
          <w:szCs w:val="28"/>
          <w:lang w:eastAsia="zh-CN"/>
        </w:rPr>
        <w:t>单位2021</w:t>
      </w:r>
      <w:r>
        <w:rPr>
          <w:rFonts w:hint="eastAsia" w:ascii="宋体" w:hAnsi="宋体" w:eastAsia="宋体" w:cs="宋体"/>
          <w:sz w:val="28"/>
          <w:szCs w:val="28"/>
        </w:rPr>
        <w:t>年机关运行经费安排</w:t>
      </w:r>
      <w:r>
        <w:rPr>
          <w:rFonts w:hint="eastAsia" w:ascii="宋体" w:hAnsi="宋体" w:eastAsia="宋体" w:cs="宋体"/>
          <w:sz w:val="28"/>
          <w:szCs w:val="28"/>
          <w:lang w:val="en-US" w:eastAsia="zh-CN"/>
        </w:rPr>
        <w:t>56.01</w:t>
      </w:r>
      <w:r>
        <w:rPr>
          <w:rFonts w:hint="eastAsia" w:ascii="宋体" w:hAnsi="宋体" w:eastAsia="宋体" w:cs="宋体"/>
          <w:sz w:val="28"/>
          <w:szCs w:val="28"/>
        </w:rPr>
        <w:t>万元，其中办公费</w:t>
      </w:r>
      <w:r>
        <w:rPr>
          <w:rFonts w:hint="eastAsia" w:ascii="宋体" w:hAnsi="宋体" w:eastAsia="宋体" w:cs="宋体"/>
          <w:sz w:val="28"/>
          <w:szCs w:val="28"/>
          <w:lang w:val="en-US" w:eastAsia="zh-CN"/>
        </w:rPr>
        <w:t>33.66</w:t>
      </w:r>
      <w:r>
        <w:rPr>
          <w:rFonts w:hint="eastAsia" w:ascii="宋体" w:hAnsi="宋体" w:eastAsia="宋体" w:cs="宋体"/>
          <w:sz w:val="28"/>
          <w:szCs w:val="28"/>
        </w:rPr>
        <w:t>万元，</w:t>
      </w:r>
      <w:r>
        <w:rPr>
          <w:rFonts w:hint="eastAsia" w:ascii="宋体" w:hAnsi="宋体" w:eastAsia="宋体" w:cs="宋体"/>
          <w:sz w:val="28"/>
          <w:szCs w:val="28"/>
          <w:lang w:eastAsia="zh-CN"/>
        </w:rPr>
        <w:t>水费</w:t>
      </w:r>
      <w:r>
        <w:rPr>
          <w:rFonts w:hint="eastAsia" w:ascii="宋体" w:hAnsi="宋体" w:eastAsia="宋体" w:cs="宋体"/>
          <w:sz w:val="28"/>
          <w:szCs w:val="28"/>
          <w:lang w:val="en-US" w:eastAsia="zh-CN"/>
        </w:rPr>
        <w:t>0.48万元，电费1.6万元，</w:t>
      </w:r>
      <w:r>
        <w:rPr>
          <w:rFonts w:hint="eastAsia" w:ascii="宋体" w:hAnsi="宋体" w:eastAsia="宋体" w:cs="宋体"/>
          <w:sz w:val="28"/>
          <w:szCs w:val="28"/>
        </w:rPr>
        <w:t>邮电费</w:t>
      </w:r>
      <w:r>
        <w:rPr>
          <w:rFonts w:hint="eastAsia" w:ascii="宋体" w:hAnsi="宋体" w:eastAsia="宋体" w:cs="宋体"/>
          <w:sz w:val="28"/>
          <w:szCs w:val="28"/>
          <w:lang w:val="en-US" w:eastAsia="zh-CN"/>
        </w:rPr>
        <w:t>2</w:t>
      </w:r>
      <w:r>
        <w:rPr>
          <w:rFonts w:hint="eastAsia" w:ascii="宋体" w:hAnsi="宋体" w:eastAsia="宋体" w:cs="宋体"/>
          <w:sz w:val="28"/>
          <w:szCs w:val="28"/>
        </w:rPr>
        <w:t>万元，办公取暖费9万元，</w:t>
      </w:r>
      <w:r>
        <w:rPr>
          <w:rFonts w:hint="eastAsia" w:ascii="宋体" w:hAnsi="宋体" w:eastAsia="宋体" w:cs="宋体"/>
          <w:sz w:val="28"/>
          <w:szCs w:val="28"/>
          <w:lang w:eastAsia="zh-CN"/>
        </w:rPr>
        <w:t>差旅费</w:t>
      </w:r>
      <w:r>
        <w:rPr>
          <w:rFonts w:hint="eastAsia" w:ascii="宋体" w:hAnsi="宋体" w:eastAsia="宋体" w:cs="宋体"/>
          <w:sz w:val="28"/>
          <w:szCs w:val="28"/>
          <w:lang w:val="en-US" w:eastAsia="zh-CN"/>
        </w:rPr>
        <w:t>0.48万元，</w:t>
      </w:r>
      <w:r>
        <w:rPr>
          <w:rFonts w:hint="eastAsia" w:ascii="宋体" w:hAnsi="宋体" w:eastAsia="宋体" w:cs="宋体"/>
          <w:sz w:val="28"/>
          <w:szCs w:val="28"/>
        </w:rPr>
        <w:t>公务招待费</w:t>
      </w:r>
      <w:r>
        <w:rPr>
          <w:rFonts w:hint="eastAsia" w:ascii="宋体" w:hAnsi="宋体" w:eastAsia="宋体" w:cs="宋体"/>
          <w:sz w:val="28"/>
          <w:szCs w:val="28"/>
          <w:lang w:val="en-US" w:eastAsia="zh-CN"/>
        </w:rPr>
        <w:t>1.1</w:t>
      </w:r>
      <w:r>
        <w:rPr>
          <w:rFonts w:hint="eastAsia" w:ascii="宋体" w:hAnsi="宋体" w:eastAsia="宋体" w:cs="宋体"/>
          <w:sz w:val="28"/>
          <w:szCs w:val="28"/>
        </w:rPr>
        <w:t>万元，公务用车运行维护费</w:t>
      </w:r>
      <w:r>
        <w:rPr>
          <w:rFonts w:hint="eastAsia" w:ascii="宋体" w:hAnsi="宋体" w:eastAsia="宋体" w:cs="宋体"/>
          <w:sz w:val="28"/>
          <w:szCs w:val="28"/>
          <w:lang w:val="en-US" w:eastAsia="zh-CN"/>
        </w:rPr>
        <w:t>5</w:t>
      </w:r>
      <w:r>
        <w:rPr>
          <w:rFonts w:hint="eastAsia" w:ascii="宋体" w:hAnsi="宋体" w:eastAsia="宋体" w:cs="宋体"/>
          <w:sz w:val="28"/>
          <w:szCs w:val="28"/>
        </w:rPr>
        <w:t>万元，</w:t>
      </w:r>
      <w:r>
        <w:rPr>
          <w:rFonts w:hint="eastAsia" w:ascii="宋体" w:hAnsi="宋体" w:eastAsia="宋体" w:cs="宋体"/>
          <w:sz w:val="28"/>
          <w:szCs w:val="28"/>
          <w:lang w:eastAsia="zh-CN"/>
        </w:rPr>
        <w:t>福利费</w:t>
      </w:r>
      <w:r>
        <w:rPr>
          <w:rFonts w:hint="eastAsia" w:ascii="宋体" w:hAnsi="宋体" w:eastAsia="宋体" w:cs="宋体"/>
          <w:sz w:val="28"/>
          <w:szCs w:val="28"/>
          <w:lang w:val="en-US" w:eastAsia="zh-CN"/>
        </w:rPr>
        <w:t>2.69万元。</w:t>
      </w:r>
    </w:p>
    <w:p>
      <w:pPr>
        <w:spacing w:line="50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第四部分：财政拨款“三公”经费预算情况及增减变化原因</w:t>
      </w:r>
    </w:p>
    <w:p>
      <w:pPr>
        <w:spacing w:line="500" w:lineRule="exact"/>
        <w:jc w:val="center"/>
        <w:outlineLvl w:val="0"/>
        <w:rPr>
          <w:rFonts w:hint="eastAsia" w:ascii="宋体" w:hAnsi="宋体" w:eastAsia="宋体" w:cs="宋体"/>
          <w:sz w:val="28"/>
          <w:szCs w:val="28"/>
        </w:rPr>
      </w:pPr>
    </w:p>
    <w:tbl>
      <w:tblPr>
        <w:tblStyle w:val="6"/>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sz w:val="28"/>
                <w:szCs w:val="28"/>
              </w:rPr>
              <w:t>“三公”经费预算情况</w:t>
            </w:r>
          </w:p>
        </w:tc>
      </w:tr>
      <w:tr>
        <w:tblPrEx>
          <w:tblCellMar>
            <w:top w:w="0" w:type="dxa"/>
            <w:left w:w="108" w:type="dxa"/>
            <w:bottom w:w="0" w:type="dxa"/>
            <w:right w:w="108" w:type="dxa"/>
          </w:tblCellMar>
        </w:tblPrEx>
        <w:trPr>
          <w:trHeight w:val="285" w:hRule="atLeast"/>
        </w:trPr>
        <w:tc>
          <w:tcPr>
            <w:tcW w:w="2136" w:type="dxa"/>
            <w:tcBorders>
              <w:top w:val="nil"/>
              <w:left w:val="nil"/>
              <w:bottom w:val="nil"/>
              <w:right w:val="nil"/>
            </w:tcBorders>
            <w:noWrap w:val="0"/>
            <w:vAlign w:val="center"/>
          </w:tcPr>
          <w:p>
            <w:pPr>
              <w:widowControl/>
              <w:jc w:val="center"/>
              <w:rPr>
                <w:rFonts w:hint="eastAsia" w:ascii="宋体" w:hAnsi="宋体" w:eastAsia="宋体" w:cs="宋体"/>
                <w:kern w:val="0"/>
                <w:sz w:val="28"/>
                <w:szCs w:val="28"/>
              </w:rPr>
            </w:pPr>
          </w:p>
        </w:tc>
        <w:tc>
          <w:tcPr>
            <w:tcW w:w="1717" w:type="dxa"/>
            <w:tcBorders>
              <w:top w:val="nil"/>
              <w:left w:val="nil"/>
              <w:bottom w:val="nil"/>
              <w:right w:val="nil"/>
            </w:tcBorders>
            <w:noWrap w:val="0"/>
            <w:vAlign w:val="center"/>
          </w:tcPr>
          <w:p>
            <w:pPr>
              <w:widowControl/>
              <w:jc w:val="center"/>
              <w:rPr>
                <w:rFonts w:hint="eastAsia" w:ascii="宋体" w:hAnsi="宋体" w:eastAsia="宋体" w:cs="宋体"/>
                <w:kern w:val="0"/>
                <w:sz w:val="28"/>
                <w:szCs w:val="28"/>
              </w:rPr>
            </w:pPr>
          </w:p>
        </w:tc>
        <w:tc>
          <w:tcPr>
            <w:tcW w:w="1717" w:type="dxa"/>
            <w:tcBorders>
              <w:top w:val="nil"/>
              <w:left w:val="nil"/>
              <w:bottom w:val="nil"/>
              <w:right w:val="nil"/>
            </w:tcBorders>
            <w:noWrap w:val="0"/>
            <w:vAlign w:val="center"/>
          </w:tcPr>
          <w:p>
            <w:pPr>
              <w:widowControl/>
              <w:jc w:val="center"/>
              <w:rPr>
                <w:rFonts w:hint="eastAsia" w:ascii="宋体" w:hAnsi="宋体" w:eastAsia="宋体" w:cs="宋体"/>
                <w:kern w:val="0"/>
                <w:sz w:val="28"/>
                <w:szCs w:val="28"/>
              </w:rPr>
            </w:pPr>
          </w:p>
        </w:tc>
        <w:tc>
          <w:tcPr>
            <w:tcW w:w="1177" w:type="dxa"/>
            <w:tcBorders>
              <w:top w:val="nil"/>
              <w:left w:val="nil"/>
              <w:bottom w:val="nil"/>
              <w:right w:val="nil"/>
            </w:tcBorders>
            <w:noWrap w:val="0"/>
            <w:vAlign w:val="center"/>
          </w:tcPr>
          <w:p>
            <w:pPr>
              <w:widowControl/>
              <w:jc w:val="center"/>
              <w:rPr>
                <w:rFonts w:hint="eastAsia" w:ascii="宋体" w:hAnsi="宋体" w:eastAsia="宋体" w:cs="宋体"/>
                <w:kern w:val="0"/>
                <w:sz w:val="28"/>
                <w:szCs w:val="28"/>
              </w:rPr>
            </w:pPr>
          </w:p>
        </w:tc>
        <w:tc>
          <w:tcPr>
            <w:tcW w:w="3108" w:type="dxa"/>
            <w:tcBorders>
              <w:top w:val="nil"/>
              <w:left w:val="nil"/>
              <w:bottom w:val="nil"/>
              <w:right w:val="nil"/>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项目名称</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lang w:eastAsia="zh-CN"/>
              </w:rPr>
              <w:t>2020</w:t>
            </w:r>
            <w:r>
              <w:rPr>
                <w:rFonts w:hint="eastAsia" w:ascii="宋体" w:hAnsi="宋体" w:eastAsia="宋体" w:cs="宋体"/>
                <w:kern w:val="0"/>
                <w:sz w:val="28"/>
                <w:szCs w:val="28"/>
              </w:rPr>
              <w:t>年度预算</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lang w:eastAsia="zh-CN"/>
              </w:rPr>
              <w:t>2021</w:t>
            </w:r>
            <w:r>
              <w:rPr>
                <w:rFonts w:hint="eastAsia" w:ascii="宋体" w:hAnsi="宋体" w:eastAsia="宋体" w:cs="宋体"/>
                <w:kern w:val="0"/>
                <w:sz w:val="28"/>
                <w:szCs w:val="28"/>
              </w:rPr>
              <w:t>年度预算</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增减金额</w:t>
            </w:r>
          </w:p>
        </w:tc>
        <w:tc>
          <w:tcPr>
            <w:tcW w:w="31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因公出国经费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0</w:t>
            </w:r>
          </w:p>
        </w:tc>
        <w:tc>
          <w:tcPr>
            <w:tcW w:w="31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公务用车购置经费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0</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0</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0</w:t>
            </w:r>
          </w:p>
        </w:tc>
        <w:tc>
          <w:tcPr>
            <w:tcW w:w="31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公务用车运行经费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val="en-US" w:eastAsia="zh-CN"/>
              </w:rPr>
              <w:t>6</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val="en-US" w:eastAsia="zh-CN"/>
              </w:rPr>
              <w:t>5</w:t>
            </w: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val="en-US" w:eastAsia="zh-CN"/>
              </w:rPr>
              <w:t>-1</w:t>
            </w:r>
          </w:p>
        </w:tc>
        <w:tc>
          <w:tcPr>
            <w:tcW w:w="31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按预算编制要求减少</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公务接待费支出</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1.01</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1.1</w:t>
            </w:r>
          </w:p>
        </w:tc>
        <w:tc>
          <w:tcPr>
            <w:tcW w:w="117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0.09</w:t>
            </w:r>
          </w:p>
        </w:tc>
        <w:tc>
          <w:tcPr>
            <w:tcW w:w="3108" w:type="dxa"/>
            <w:tcBorders>
              <w:top w:val="nil"/>
              <w:left w:val="nil"/>
              <w:bottom w:val="single" w:color="auto" w:sz="4" w:space="0"/>
              <w:right w:val="single" w:color="auto" w:sz="4" w:space="0"/>
            </w:tcBorders>
            <w:noWrap w:val="0"/>
            <w:vAlign w:val="center"/>
          </w:tcPr>
          <w:p>
            <w:pPr>
              <w:ind w:firstLine="560" w:firstLineChars="200"/>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按比例计提</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合计</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7.01</w:t>
            </w:r>
          </w:p>
        </w:tc>
        <w:tc>
          <w:tcPr>
            <w:tcW w:w="1717" w:type="dxa"/>
            <w:tcBorders>
              <w:top w:val="nil"/>
              <w:left w:val="nil"/>
              <w:bottom w:val="single" w:color="auto" w:sz="4" w:space="0"/>
              <w:right w:val="single" w:color="auto" w:sz="4" w:space="0"/>
            </w:tcBorders>
            <w:noWrap w:val="0"/>
            <w:vAlign w:val="center"/>
          </w:tcPr>
          <w:p>
            <w:pPr>
              <w:widowControl/>
              <w:ind w:firstLine="560" w:firstLineChars="200"/>
              <w:jc w:val="both"/>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6.1</w:t>
            </w:r>
          </w:p>
        </w:tc>
        <w:tc>
          <w:tcPr>
            <w:tcW w:w="117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-0.91</w:t>
            </w:r>
          </w:p>
        </w:tc>
        <w:tc>
          <w:tcPr>
            <w:tcW w:w="3108" w:type="dxa"/>
            <w:tcBorders>
              <w:top w:val="nil"/>
              <w:left w:val="nil"/>
              <w:bottom w:val="single" w:color="auto" w:sz="4" w:space="0"/>
              <w:right w:val="single" w:color="auto" w:sz="4" w:space="0"/>
            </w:tcBorders>
            <w:noWrap w:val="0"/>
            <w:vAlign w:val="center"/>
          </w:tcPr>
          <w:p>
            <w:pPr>
              <w:ind w:firstLine="560" w:firstLineChars="200"/>
              <w:jc w:val="center"/>
              <w:rPr>
                <w:rFonts w:hint="eastAsia" w:ascii="宋体" w:hAnsi="宋体" w:eastAsia="宋体" w:cs="宋体"/>
                <w:kern w:val="0"/>
                <w:sz w:val="28"/>
                <w:szCs w:val="28"/>
              </w:rPr>
            </w:pPr>
            <w:r>
              <w:rPr>
                <w:rFonts w:hint="eastAsia" w:ascii="宋体" w:hAnsi="宋体" w:eastAsia="宋体" w:cs="宋体"/>
                <w:kern w:val="0"/>
                <w:sz w:val="28"/>
                <w:szCs w:val="28"/>
                <w:lang w:eastAsia="zh-CN"/>
              </w:rPr>
              <w:t>按比例计提</w:t>
            </w:r>
          </w:p>
        </w:tc>
      </w:tr>
    </w:tbl>
    <w:p>
      <w:pPr>
        <w:spacing w:line="520" w:lineRule="exact"/>
        <w:jc w:val="center"/>
        <w:outlineLvl w:val="0"/>
        <w:rPr>
          <w:rFonts w:hint="eastAsia" w:ascii="宋体" w:hAnsi="宋体" w:eastAsia="宋体" w:cs="宋体"/>
          <w:sz w:val="28"/>
          <w:szCs w:val="28"/>
        </w:rPr>
      </w:pPr>
    </w:p>
    <w:p>
      <w:pPr>
        <w:spacing w:line="520" w:lineRule="exact"/>
        <w:jc w:val="center"/>
        <w:rPr>
          <w:rFonts w:hint="eastAsia" w:ascii="宋体" w:hAnsi="宋体" w:eastAsia="宋体" w:cs="宋体"/>
          <w:sz w:val="28"/>
          <w:szCs w:val="28"/>
        </w:rPr>
      </w:pPr>
    </w:p>
    <w:p>
      <w:pPr>
        <w:spacing w:line="520" w:lineRule="exact"/>
        <w:jc w:val="center"/>
        <w:rPr>
          <w:rFonts w:hint="eastAsia" w:ascii="宋体" w:hAnsi="宋体" w:eastAsia="宋体" w:cs="宋体"/>
          <w:sz w:val="28"/>
          <w:szCs w:val="28"/>
        </w:rPr>
      </w:pPr>
      <w:r>
        <w:rPr>
          <w:rFonts w:hint="eastAsia" w:ascii="宋体" w:hAnsi="宋体" w:eastAsia="宋体" w:cs="宋体"/>
          <w:sz w:val="28"/>
          <w:szCs w:val="28"/>
        </w:rPr>
        <w:t>第五部分：绩效预算信息</w:t>
      </w:r>
    </w:p>
    <w:p>
      <w:pPr>
        <w:spacing w:line="52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一、总体绩效目标：</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年度发展规划目标</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我镇将以习近平新时代中国特色社会主义思想为指导，紧紧围绕区委、区政府，继续以人民群众利益为根本，定目标、赶进度,以项目建设为重点，抢抓机遇促发展，坚持夯实党建基础，挖掘弘扬红色文化主旋律，认真抓好生态资源保护，主动适应新常态，全力打造宜居乐业新区，厚德尚美满城，抓好主城区建设，推进全镇各项工作进一步开展。</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一是惠民生，保障群众生活质量。持续抓好精准扶贫项目，做好全年贫困户的帮扶工作，保证各个弱势群体顺利度过雨季汛期、冬季取暖等特殊时期。积极做好城乡居民养老保险和医疗保险的保费收缴工作、加强农田水利建设、加快村级道路修建，从源头上解决村民医食住行的根本问题。</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二是重环境，打击非法违规行为。严厉打击违法占地、非法加油站点、焚烧秸秆、“五小”企业等各种非法违规及破坏大气环境的行为。控煤、抑尘、治气相结合，继续坚定不移抓好散小乱污企业治理；严格落实“三拆、一绿、一统一”的全域旅游发展要求，积极做好拆违工作，做实、做好辖区群众工作，确保各项重点项目建设无障碍进场施工。</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三是培育一流的干部队伍，夯实执政的基础。将学习、宣传、贯彻党的十九大精神和加强两委干部培训相结合，突出党支部书记、两委干部、全体党员、积极分子四个层面的培训教育，努力打造一支群众满意、敢抓敢管的“高铁动车组”。进一步深化拓展“双集中双提升”活动，抓好后进支部和党建示范村培树，积极探索为民服务全程代理的新举措，统筹推进企业党建工作，让基层党组织永葆生机活力。巩固“一问责八清理”暨微腐败治理行动成果，始终保持正风肃纪的高压态势。</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四是创造一流的社会环境，凝聚发展的强大合力。和谐稳定的社会环境是发展的前提，也是人民群众的期盼和要求。把做好群众信访工作作为和谐社会的重中之重，把解决问题作为信访工作的核心之举，深入推进领导干部公开接访、重点约访、带案下访“三访结合”，集中力量清积案、化新案，同时，做好重点信访人员的稳控工作，确保小事不出村、大事不出镇。全面推进依法治镇，坚持有法可依、有法必依，全面实施普法宣传教育，培育良好的社会秩序。高度重视安全生产、食品药品安全、防范处理邪教等工作，始终保持可持续稳定的良好局面。</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bookmarkStart w:id="1" w:name="_Toc70329494"/>
      <w:r>
        <w:rPr>
          <w:rFonts w:hint="eastAsia" w:ascii="宋体" w:hAnsi="宋体" w:eastAsia="宋体" w:cs="宋体"/>
          <w:sz w:val="28"/>
          <w:szCs w:val="28"/>
        </w:rPr>
        <w:t>二、分项绩效目标</w:t>
      </w:r>
      <w:bookmarkEnd w:id="1"/>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职责分类绩效目标情况说明</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职责1人大监督、人大代表。</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确保有关选举的法律法规符合实际，在充分考察调研的基础上，实施对其进行修改。对乡镇政府组成人员和乡镇人民法院主要负责人进行目标责任监督，确保依法履行职责，完成目标任务。承担乡镇人大换届选举、乡镇区领导人的选举和常委会人事任免的服务工作；负责对乡镇政府组成人员和乡镇人民法院主要负责人的目标责任书、述职报告的督办工作。</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职责2民族宗教事务管理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加强民族宗教的法制宣传和团结教育，团结和动员广大信教群众为改革开放和经济建设服务。协助处理民族宗教方面的维稳问题。进行清真食品检查；处理其他不可预见的民族宗教问题。对地下主教、神甫及其骨干分子进行监控、反渗透，巩固爱国人员的领导地位。</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职责3党政事务管理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完成党委、人大、纪检、组织、宣传、统计、妇联等工作，协调各办公室的工作关系，完成政府日常事务和机关后勤工作，完成党委政府交办的其他事项。</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职责4政法综治稳定和国家安全</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排查、化解影响社会稳定的重大不稳定隐患、群体性事件和突发事件及影响国家安全的事件。认真做好群众来信来访工作，特别是涉及政法各</w:t>
      </w:r>
      <w:r>
        <w:rPr>
          <w:rFonts w:hint="eastAsia" w:ascii="宋体" w:hAnsi="宋体" w:eastAsia="宋体" w:cs="宋体"/>
          <w:sz w:val="28"/>
          <w:szCs w:val="28"/>
          <w:lang w:eastAsia="zh-CN"/>
        </w:rPr>
        <w:t>单位</w:t>
      </w:r>
      <w:r>
        <w:rPr>
          <w:rFonts w:hint="eastAsia" w:ascii="宋体" w:hAnsi="宋体" w:eastAsia="宋体" w:cs="宋体"/>
          <w:sz w:val="28"/>
          <w:szCs w:val="28"/>
        </w:rPr>
        <w:t>的案件，信件，要及时准确的做好解释疏导工作，并转办（交办)政法各部限期办理或督导检查落实情况，维护群众利益诉求。完善矛盾纠纷排查机制，对乡镇内矛盾纠纷随时排查及时化解，做到小事不出村，大事不出乡镇，把矛盾化解在基层、化解在萌芽状态。组织开展好全国两会及其他重要时期公路护路联防工作，维护好公路的安全运行，保障公路运输及过往人员安全.</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职责5社会管理与服务</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组织指导乡镇、村民委员会和基层群众自治组织；指导村民委员会民主选举、民主决策、民主管理和民主监督，村务公开；指导乡镇村民委员会建设及服务管理工作。</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职责6政府专项工作服务与管理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政府采购、农村综合改革、政府债务、综合治税、政府购买服务、规范津补贴等政府专项工作的服务与管理.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职责7财政</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负责编制乡财政预算、决算预算，财政工作加强财务会计管理工作，依法按照财经制度管理会计事务。维护财经制度，办理好各项财经事项。</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职责8水利水电项目建设与管理</w:t>
      </w:r>
      <w:r>
        <w:rPr>
          <w:rFonts w:hint="eastAsia" w:ascii="宋体" w:hAnsi="宋体" w:eastAsia="宋体" w:cs="宋体"/>
          <w:sz w:val="28"/>
          <w:szCs w:val="28"/>
        </w:rPr>
        <w:tab/>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开展河道堤防、水库、排涝、水文等水利工程运行管理和加强对乡镇水利行业的安全生产监督、检查。对水利工程进行维修养护，确保工程安全运行，在全乡范围内通过实施农村饮水安全项目，解决农村居民饮水不安全问题。建设小型农田水利设施，实施节水灌溉、灌区续建配套与节水改造等，推广综合节水技术，农业水价综合改革，开展乡镇水利站建设。负责乡镇防汛抗旱组织建设，应急调度，建设应急度汛、抗旱应急、山洪灾害防治项目，储备管理防汛抗旱物资，建设水利信息化基础设施，提高乡镇抗御水旱灾害能力。</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职责9城乡建设管理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乡镇公用设施建设、安全和应急管理；落实村庄和小城镇建设政策；指导农村住房建设、住房安全和危房改造；改善小城镇和村庄人居环境。</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职责10交通运输基础设施建设</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完成路基路面大中型维修，加固桥梁，治理隐患；开展高速绿色廊道建设；农村公路养护实施“以奖代补”。</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职责11政务管理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管理乡镇机关网络建设、运转维护和电子政务；机关标准化建设、保密、档案以及政务接待、公务。办公楼修缮、供水、供电、供暖以及机关环境绿化美化、卫生保洁、安全保卫。离退休干部慰问。党组织活动。处理人民群众来信、来访。</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职责12医疗保障</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组织、引导、支持，农民自愿参加新型农村合作医疗，提高农村居民的医疗保障水平；建立大病保险制度；对城乡居民因患大病发生的高额医疗费用给予报销。</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职责13计划生育</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提供各类计划生育技术服务，建立利益导向机制，开展出生人口性别比治理以及流动人口计划生育管理等各项工作。</w:t>
      </w:r>
      <w:r>
        <w:rPr>
          <w:rFonts w:hint="eastAsia" w:ascii="宋体" w:hAnsi="宋体" w:eastAsia="宋体" w:cs="宋体"/>
          <w:sz w:val="28"/>
          <w:szCs w:val="28"/>
        </w:rPr>
        <w:tab/>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职责14农村文化建设</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协助完成国家下达的广播直播卫星户户通工程、农村电影工作、数字影院升级改造、农家书屋建设、全民阅读活动、老放映员生活补助以及应急广播体系建设等任务目标。</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职责15环境污染综合防治</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贯彻落实大气、水体、固体废物、化学品、机动车等污染防治管理制度，开展饮用水水源地环境保护。强化生态保护和监察监管，提高自然保护区建设水平，加强生物多样性保护力度，提升农村生态环境质量。</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职责16信访问题处理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负责正常信访、非访、突发性及群体性事件的办理；提供相关服务保障；协助区信访局处理群众进京上访；信访事项督查、复查、复核、听证。</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职责17民兵训练和专武干部培训</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根据上级要求，认真制定基干民兵和专武干部培训计划和方案，严格组织人员按质按量完成训练任务。保证装备器材的良好状态，随时执行紧急拉动和应急任务。</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职责18义务教育</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提高义务教育公用经费保障水平，改善办学条件，均衡配置基础教育资源，缩小城乡、区域、校际之间办学差距，落实学生资助政策。</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职责19食品药品安全管理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对食品制作流通各环节进行监管，及时发现和排除食品安全问题，确保大型活动期间的餐饮安全。</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职责20安全生产综合监督管理</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承担全乡安全生产综合监督管理责任，依法行使综合监督管理职权；根据</w:t>
      </w:r>
      <w:r>
        <w:rPr>
          <w:rFonts w:hint="eastAsia" w:ascii="宋体" w:hAnsi="宋体" w:cs="宋体"/>
          <w:sz w:val="28"/>
          <w:szCs w:val="28"/>
          <w:lang w:eastAsia="zh-CN"/>
        </w:rPr>
        <w:t>《中华人民共和国安全生产法》</w:t>
      </w:r>
      <w:r>
        <w:rPr>
          <w:rFonts w:hint="eastAsia" w:ascii="宋体" w:hAnsi="宋体" w:eastAsia="宋体" w:cs="宋体"/>
          <w:sz w:val="28"/>
          <w:szCs w:val="28"/>
        </w:rPr>
        <w:t>、《安全生产违法行为行政处罚办法》等法律法规，依法开展执法检查工作，对发现的安全生产违法行为依法进行行政处罚，遏制重特大事故发生，确保全乡安全生产形势稳定好转。</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职责21防灾减灾救灾</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组织开展乡镇防灾减灾救灾工作；组织救灾捐赠工作，负责救灾捐赠款物的接收和分配。</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职责22扶持农产品生产</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对生产者采取直接补贴的办法，支持推广优良品种、先进适用种养技术，实施科学管理，提高农产品质量、产量，提高生产经营效益</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职责23完善农村经营管理体制</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推进农村集体产权制度改革，完善农村土地承包制度，引导农村土地合理流转。创新农业经营主体。</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职责24林业生态建设</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贯彻执行国家、省、关于林业及其生态建设的方针、政策和法律法规；组织落实林业及其生态环境建设、森林资源保护、国土绿化、荒漠化防治和林业产业发展的政策，并组织实施监督和检查，组织开展森林资源、承担林业生态文明建设的有关工作</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lang w:eastAsia="zh-CN"/>
        </w:rPr>
        <w:t>单位</w:t>
      </w:r>
      <w:r>
        <w:rPr>
          <w:rFonts w:hint="eastAsia" w:ascii="宋体" w:hAnsi="宋体" w:eastAsia="宋体" w:cs="宋体"/>
          <w:sz w:val="28"/>
          <w:szCs w:val="28"/>
        </w:rPr>
        <w:t>职责25推进新农村建设</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560" w:firstLineChars="200"/>
        <w:jc w:val="left"/>
        <w:textAlignment w:val="auto"/>
        <w:outlineLvl w:val="1"/>
        <w:rPr>
          <w:rFonts w:hint="eastAsia" w:ascii="宋体" w:hAnsi="宋体" w:eastAsia="宋体" w:cs="宋体"/>
          <w:sz w:val="28"/>
          <w:szCs w:val="28"/>
        </w:rPr>
      </w:pPr>
      <w:r>
        <w:rPr>
          <w:rFonts w:hint="eastAsia" w:ascii="宋体" w:hAnsi="宋体" w:eastAsia="宋体" w:cs="宋体"/>
          <w:sz w:val="28"/>
          <w:szCs w:val="28"/>
        </w:rPr>
        <w:t>通过实施农村面貌改造提升行动和开展新民居中心村示范点建设，加快建设社会主义新农村。改善农村环境面貌，提升农民生产生活条件。</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三、工作保障措施</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 xml:space="preserve"> 我镇将以</w:t>
      </w:r>
      <w:r>
        <w:rPr>
          <w:rFonts w:hint="eastAsia" w:ascii="宋体" w:hAnsi="宋体" w:cs="宋体"/>
          <w:sz w:val="28"/>
          <w:szCs w:val="28"/>
          <w:lang w:eastAsia="zh-CN"/>
        </w:rPr>
        <w:t>党的十九大</w:t>
      </w:r>
      <w:r>
        <w:rPr>
          <w:rFonts w:hint="eastAsia" w:ascii="宋体" w:hAnsi="宋体" w:eastAsia="宋体" w:cs="宋体"/>
          <w:sz w:val="28"/>
          <w:szCs w:val="28"/>
        </w:rPr>
        <w:t>精神为指导，紧紧围绕区委、区政府，继续以人民群众利益为根本，定目标、赶进度,以项目建设为重点，抢抓机遇促发展，坚持夯实党建基础，认真抓好生态资源保护，主动适应新常态，推进全镇各项工作进一步开展。</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一是强化保护全乡生态环境态势。继续坚持“绿水青山就是金山银山”，以高压态势维护全乡生态环境。重点对PM、VOC、二氧化硫等大气污染物进行防治,推动城镇环境质量改善。</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二是加强党风廉政建设,营造风清气正、干事创业的工作氛围,巡视监督工作常态化、全覆盖。</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三是进一步进行精准扶贫工作。针对各贫户不同情况，进一步强化精准扶贫举措。专人指导帮扶贫困户，切实改善贫困户生活环境，达到贫困人员真脱贫的效果。</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四是强化监管手段,对食品药品生产、流通等的各个环节检查、抽验。</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五是以加强镇干部管理为目标，抓好班子自身建设。在机关内部实行上下班签到考勤制度，机关干部做到一天两签到，一周一整理，一月一汇总，对于无故迟到、早退、旷工的干部，从严处分，不包庇、不纵容；领导干部实行周一例会制度，逐一总结上周的工作情况，汇报本周的工作安排，互相探讨，互相促进，确保全镇各项工作扎实推进，加强乡镇班子的凝聚力。</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六是重民生，谋发展。继续落实“党务公开、村务公开、村财乡代管、村民代表大会制度”等行之有效的措施，加大教育、计生、卫生、扶贫、社保等工作力度，将各项惠民政策落实到位，使人民群众感受国家惠民政策带来的实实在在的利益和应有的权益。</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七是保稳定，促和谐。党员模范带头稳固群众基础，团结稳定促和谐。全力构建平安稳固，创建一个良好的发展环境和人居环境。</w:t>
      </w:r>
    </w:p>
    <w:p>
      <w:pPr>
        <w:spacing w:line="52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八是强组织。两委干部班子建设规范化，服务方式多样化。加强村级组织和干部作风建设，为实现全年工作目标增强凝聚力、战斗力和竞争力。</w:t>
      </w:r>
    </w:p>
    <w:p>
      <w:pPr>
        <w:spacing w:line="520" w:lineRule="exact"/>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预算项目绩效目标</w:t>
      </w:r>
    </w:p>
    <w:p>
      <w:pPr>
        <w:ind w:firstLine="562" w:firstLineChars="200"/>
        <w:jc w:val="left"/>
        <w:outlineLvl w:val="3"/>
        <w:rPr>
          <w:rFonts w:hint="eastAsia" w:ascii="宋体" w:hAnsi="宋体" w:eastAsia="宋体" w:cs="宋体"/>
          <w:b/>
          <w:sz w:val="28"/>
          <w:szCs w:val="28"/>
        </w:rPr>
      </w:pPr>
      <w:bookmarkStart w:id="2" w:name="_Toc70330729"/>
      <w:r>
        <w:rPr>
          <w:rFonts w:hint="eastAsia" w:ascii="宋体" w:hAnsi="宋体" w:eastAsia="宋体" w:cs="宋体"/>
          <w:b/>
          <w:sz w:val="28"/>
          <w:szCs w:val="28"/>
        </w:rPr>
        <w:t>1.村干部基础职务补贴绩效目标表</w:t>
      </w:r>
      <w:bookmarkEnd w:id="2"/>
      <w:r>
        <w:fldChar w:fldCharType="begin"/>
      </w:r>
      <w:r>
        <w:rPr>
          <w:rFonts w:hint="eastAsia" w:ascii="宋体" w:hAnsi="宋体" w:eastAsia="宋体" w:cs="宋体"/>
          <w:b/>
          <w:sz w:val="28"/>
          <w:szCs w:val="28"/>
        </w:rPr>
        <w:instrText xml:space="preserve"> TC 1、村干部基础职务补贴绩效目标表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1306212100CMQFWF3TS4G</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村干部基础职务补贴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308.49</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308.49</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发放村委两干部职务补贴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1.保障村干部正常生活</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2.提高村干部工作效率</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工资发放人数</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享受人员发放工资人数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112人</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发放率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实际发放额占应发放额的比例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发放及时性</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村干部人员工资具体发放时间</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补助标准</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平均每人每月补助金额</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2.17万元</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社会影响率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得到村两委干部的充分认可</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生活质量水平</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生活质量水平是否提高</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受益人员满意数量占总数的比例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3" w:name="_Toc70330730"/>
      <w:r>
        <w:rPr>
          <w:rFonts w:hint="eastAsia" w:ascii="宋体" w:hAnsi="宋体" w:eastAsia="宋体" w:cs="宋体"/>
          <w:b/>
          <w:sz w:val="28"/>
          <w:szCs w:val="28"/>
        </w:rPr>
        <w:t>2.服务群众专项经费绩效目标表</w:t>
      </w:r>
      <w:bookmarkEnd w:id="3"/>
      <w:r>
        <w:fldChar w:fldCharType="begin"/>
      </w:r>
      <w:r>
        <w:rPr>
          <w:rFonts w:hint="eastAsia" w:ascii="宋体" w:hAnsi="宋体" w:eastAsia="宋体" w:cs="宋体"/>
          <w:b/>
          <w:sz w:val="28"/>
          <w:szCs w:val="28"/>
        </w:rPr>
        <w:instrText xml:space="preserve"> TC 2、服务群众专项经费绩效目标表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13062121053L0XIAXL5Q7</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服务群众专项经费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18.31</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18.31</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拨付到村，发展农村集体经济，加强基层组织建设，村党员干部教育培训，村党组织</w:t>
            </w:r>
            <w:r>
              <w:rPr>
                <w:rFonts w:hint="eastAsia" w:ascii="宋体" w:hAnsi="宋体" w:eastAsia="宋体" w:cs="宋体"/>
                <w:sz w:val="28"/>
                <w:szCs w:val="28"/>
                <w:cs/>
              </w:rPr>
              <w:t>“</w:t>
            </w:r>
            <w:r>
              <w:rPr>
                <w:rFonts w:hint="eastAsia" w:ascii="宋体" w:hAnsi="宋体" w:eastAsia="宋体" w:cs="宋体"/>
                <w:sz w:val="28"/>
                <w:szCs w:val="28"/>
              </w:rPr>
              <w:t>三会一课</w:t>
            </w:r>
            <w:r>
              <w:rPr>
                <w:rFonts w:hint="eastAsia" w:ascii="宋体" w:hAnsi="宋体" w:eastAsia="宋体" w:cs="宋体"/>
                <w:sz w:val="28"/>
                <w:szCs w:val="28"/>
                <w:cs/>
              </w:rPr>
              <w:t>”</w:t>
            </w:r>
            <w:r>
              <w:rPr>
                <w:rFonts w:hint="eastAsia" w:ascii="宋体" w:hAnsi="宋体" w:eastAsia="宋体" w:cs="宋体"/>
                <w:sz w:val="28"/>
                <w:szCs w:val="28"/>
              </w:rPr>
              <w:t>主题教育培训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1.实现经济收益和社会效益最大化</w:t>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r>
              <w:rPr>
                <w:rFonts w:hint="eastAsia" w:ascii="宋体" w:hAnsi="宋体" w:eastAsia="宋体" w:cs="宋体"/>
                <w:sz w:val="28"/>
                <w:szCs w:val="28"/>
              </w:rPr>
              <w:tab/>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2.加强村级治理，为乡村振兴提供有力组织保障，推动乡村工作</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完成比例</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已完成占应完成的比例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按照要求和计划完成任务在所有任务的比例（百分比）</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按时发放率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服务群众专项经费按时发放率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补贴标准</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每个村补贴标准</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0.91万元</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改善基层环境</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改善村级办公等环境</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社会影响力</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得到广大群众的充分认可</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群众对服务的满意程度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4" w:name="_Toc70330731"/>
      <w:r>
        <w:rPr>
          <w:rFonts w:hint="eastAsia" w:ascii="宋体" w:hAnsi="宋体" w:eastAsia="宋体" w:cs="宋体"/>
          <w:b/>
          <w:sz w:val="28"/>
          <w:szCs w:val="28"/>
        </w:rPr>
        <w:t>3.维稳经费绩效目标表</w:t>
      </w:r>
      <w:bookmarkEnd w:id="4"/>
      <w:r>
        <w:fldChar w:fldCharType="begin"/>
      </w:r>
      <w:r>
        <w:rPr>
          <w:rFonts w:hint="eastAsia" w:ascii="宋体" w:hAnsi="宋体" w:eastAsia="宋体" w:cs="宋体"/>
          <w:b/>
          <w:sz w:val="28"/>
          <w:szCs w:val="28"/>
        </w:rPr>
        <w:instrText xml:space="preserve"> TC 3、维稳经费绩效目标表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1306212106XIDLPKM5PYR</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维稳经费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4.50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4.50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维稳经费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1.保障信访稳定工作</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2.保持镇、村和谐稳定</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信访隐患排除率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信访隐患排除数量占信访隐患总量的比例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≥95%</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解决信访案件合格率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解决信访案件合格率占上访案件的比例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≥95%</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工作完成及时率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信访维稳工作按时完成的比例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工作按时完成率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信访工作人员完成信访工作的比例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按时完成率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安排给工作人员的信访案件完成率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社会稳定水平</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促进社会稳定水平提高</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驻京人员的满意度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工作人员维稳经费发放情况的满意度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5" w:name="_Toc70330732"/>
      <w:r>
        <w:rPr>
          <w:rFonts w:hint="eastAsia" w:ascii="宋体" w:hAnsi="宋体" w:eastAsia="宋体" w:cs="宋体"/>
          <w:b/>
          <w:sz w:val="28"/>
          <w:szCs w:val="28"/>
        </w:rPr>
        <w:t>4.涉军维稳工作经费绩效目标表</w:t>
      </w:r>
      <w:bookmarkEnd w:id="5"/>
      <w:r>
        <w:fldChar w:fldCharType="begin"/>
      </w:r>
      <w:r>
        <w:rPr>
          <w:rFonts w:hint="eastAsia" w:ascii="宋体" w:hAnsi="宋体" w:eastAsia="宋体" w:cs="宋体"/>
          <w:b/>
          <w:sz w:val="28"/>
          <w:szCs w:val="28"/>
        </w:rPr>
        <w:instrText xml:space="preserve"> TC 4、涉军维稳工作经费绩效目标表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130621211DA92UWYUFXKH</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涉军维稳工作经费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4.00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4.00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涉军维稳经费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1.保障信访稳定工作</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2.保障驻京退役军人的基本生活保障</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涉军人员数量</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驻京涉军人员数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2人</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解决信访案件合格率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解决信访案件合格率占上访案件的比例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≥95%</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资金支付及时率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涉军维稳经费发放及时性</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工作按时完成率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驻京军人完成信访工作的比例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按时完成率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安排给驻京军人的信访案件完成率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社会稳定水平</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促进社会稳定水平提高</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驻京人员的满意度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驻京人员对涉军维稳经费发放情况的满意度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6" w:name="_Toc70330733"/>
      <w:r>
        <w:rPr>
          <w:rFonts w:hint="eastAsia" w:ascii="宋体" w:hAnsi="宋体" w:eastAsia="宋体" w:cs="宋体"/>
          <w:b/>
          <w:sz w:val="28"/>
          <w:szCs w:val="28"/>
        </w:rPr>
        <w:t>5.村党组织活动经费绩效目标表</w:t>
      </w:r>
      <w:bookmarkEnd w:id="6"/>
      <w:r>
        <w:fldChar w:fldCharType="begin"/>
      </w:r>
      <w:r>
        <w:rPr>
          <w:rFonts w:hint="eastAsia" w:ascii="宋体" w:hAnsi="宋体" w:eastAsia="宋体" w:cs="宋体"/>
          <w:b/>
          <w:sz w:val="28"/>
          <w:szCs w:val="28"/>
        </w:rPr>
        <w:instrText xml:space="preserve"> TC 5、村党组织活动经费绩效目标表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130621213TY5POBZC0G8P</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村党组织活动经费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16.00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16.00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拨付到村，发展农村集体经济，加强基层组织建设，村党员干部教育培训，村党组织</w:t>
            </w:r>
            <w:r>
              <w:rPr>
                <w:rFonts w:hint="eastAsia" w:ascii="宋体" w:hAnsi="宋体" w:eastAsia="宋体" w:cs="宋体"/>
                <w:sz w:val="28"/>
                <w:szCs w:val="28"/>
                <w:cs/>
              </w:rPr>
              <w:t>“</w:t>
            </w:r>
            <w:r>
              <w:rPr>
                <w:rFonts w:hint="eastAsia" w:ascii="宋体" w:hAnsi="宋体" w:eastAsia="宋体" w:cs="宋体"/>
                <w:sz w:val="28"/>
                <w:szCs w:val="28"/>
              </w:rPr>
              <w:t>三会一课</w:t>
            </w:r>
            <w:r>
              <w:rPr>
                <w:rFonts w:hint="eastAsia" w:ascii="宋体" w:hAnsi="宋体" w:eastAsia="宋体" w:cs="宋体"/>
                <w:sz w:val="28"/>
                <w:szCs w:val="28"/>
                <w:cs/>
              </w:rPr>
              <w:t>”</w:t>
            </w:r>
            <w:r>
              <w:rPr>
                <w:rFonts w:hint="eastAsia" w:ascii="宋体" w:hAnsi="宋体" w:eastAsia="宋体" w:cs="宋体"/>
                <w:sz w:val="28"/>
                <w:szCs w:val="28"/>
              </w:rPr>
              <w:t>主题教育培训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1.实现经济收益和社会效益最大化</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2.加强村级治理，为乡村振兴提供有力组织保障，推动乡村工作</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数量个数</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享受党组织活动经费村数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20个村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按照要求和计划完成任务在所有任务的比例（百分比）</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按时发放率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村党组织活动经费按时发放率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补贴标准</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每个村补贴标准</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0.8万元</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改善基层</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改善基层党组织活动环境</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社会影响力</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得到广大群众的充分认可</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群众对服务的满意程度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7" w:name="_Toc70330734"/>
      <w:r>
        <w:rPr>
          <w:rFonts w:hint="eastAsia" w:ascii="宋体" w:hAnsi="宋体" w:eastAsia="宋体" w:cs="宋体"/>
          <w:b/>
          <w:sz w:val="28"/>
          <w:szCs w:val="28"/>
        </w:rPr>
        <w:t>6.一二中占地绩效目标表</w:t>
      </w:r>
      <w:bookmarkEnd w:id="7"/>
      <w:r>
        <w:fldChar w:fldCharType="begin"/>
      </w:r>
      <w:r>
        <w:rPr>
          <w:rFonts w:hint="eastAsia" w:ascii="宋体" w:hAnsi="宋体" w:eastAsia="宋体" w:cs="宋体"/>
          <w:b/>
          <w:sz w:val="28"/>
          <w:szCs w:val="28"/>
        </w:rPr>
        <w:instrText xml:space="preserve"> TC 6、一二中占地绩效目标表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13062121FGPSLO7TQGF3G</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一二中占地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5.50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5.50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方顺桥镇一二中占地补偿款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1.保障农户的补偿款及时发放</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2.保障一二中学校的教育活动顺利开展</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一二中占地面积</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36亩</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资金到位率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一二中占地补偿款到位率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及时性</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一二中占地补偿款发放的及时性</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亩均补助标准</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亩均补助标准</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1600元/亩</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促进当地经济水平</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培育、吸引人才情况</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一二中培育、吸引人才情况</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群众满意度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受补偿人员的对补偿资金的满意程度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8" w:name="_Toc70330735"/>
      <w:r>
        <w:rPr>
          <w:rFonts w:hint="eastAsia" w:ascii="宋体" w:hAnsi="宋体" w:eastAsia="宋体" w:cs="宋体"/>
          <w:b/>
          <w:sz w:val="28"/>
          <w:szCs w:val="28"/>
        </w:rPr>
        <w:t>7.电力园区启步区线路改迁工程资金绩效目标表</w:t>
      </w:r>
      <w:bookmarkEnd w:id="8"/>
      <w:r>
        <w:fldChar w:fldCharType="begin"/>
      </w:r>
      <w:r>
        <w:rPr>
          <w:rFonts w:hint="eastAsia" w:ascii="宋体" w:hAnsi="宋体" w:eastAsia="宋体" w:cs="宋体"/>
          <w:b/>
          <w:sz w:val="28"/>
          <w:szCs w:val="28"/>
        </w:rPr>
        <w:instrText xml:space="preserve"> TC 7、电力园区启步区线路改迁工程资金绩效目标表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13062121HT6VSW3GXAQYF</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电力园区启步区线路改迁工程资金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25.00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25.00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电力园区启步区线路改迁资金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1.保障线路改迁的价款及时发放</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2.保障电力园区的工作顺利开展</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完成项目数量</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线路改迁完成项目数量</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4项</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项目合格率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合格项目占总项目的比率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项目完成时间</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线路改迁项目完成时间</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12月底</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项目总成本</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线路改迁项目完成总成本</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45.24万元</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经济发展</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线路改迁工程对经济发展的影响</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促进就业</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电力园区线路改迁对促进就业的影响</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企业满意度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招标企业满意度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9" w:name="_Toc70330736"/>
      <w:r>
        <w:rPr>
          <w:rFonts w:hint="eastAsia" w:ascii="宋体" w:hAnsi="宋体" w:eastAsia="宋体" w:cs="宋体"/>
          <w:b/>
          <w:sz w:val="28"/>
          <w:szCs w:val="28"/>
        </w:rPr>
        <w:t>8.基层组织运转经费和党建提升经费绩效目标表</w:t>
      </w:r>
      <w:bookmarkEnd w:id="9"/>
      <w:r>
        <w:fldChar w:fldCharType="begin"/>
      </w:r>
      <w:r>
        <w:rPr>
          <w:rFonts w:hint="eastAsia" w:ascii="宋体" w:hAnsi="宋体" w:eastAsia="宋体" w:cs="宋体"/>
          <w:b/>
          <w:sz w:val="28"/>
          <w:szCs w:val="28"/>
        </w:rPr>
        <w:instrText xml:space="preserve"> TC 8、基层组织运转经费和党建提升经费绩效目标表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13062121NQS141CEVXDND</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基层组织运转经费和党建提升经费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31.00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31.00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用于保障基层组织运转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1.实现经济收益和社会效益最大化</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2.加强村级治理，为乡村振兴提供有力组织保障，推动乡村工作</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数量个数</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享受基层组织经费经费村数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按照要求和计划完成任务在所有任务的比例（百分比）</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经费按时拨付比例</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基层组织运转和党建提升经费按时拨付情况</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补贴标准</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每个村补贴标准</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1.65万元</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改善基层</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改善基层党组织活动环境</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社会影响力</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得到广大群众的充分认可</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群众对服务的满意程度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10" w:name="_Toc70330737"/>
      <w:r>
        <w:rPr>
          <w:rFonts w:hint="eastAsia" w:ascii="宋体" w:hAnsi="宋体" w:eastAsia="宋体" w:cs="宋体"/>
          <w:b/>
          <w:sz w:val="28"/>
          <w:szCs w:val="28"/>
        </w:rPr>
        <w:t>9.村级组织办公经费绩效目标表</w:t>
      </w:r>
      <w:bookmarkEnd w:id="10"/>
      <w:r>
        <w:fldChar w:fldCharType="begin"/>
      </w:r>
      <w:r>
        <w:rPr>
          <w:rFonts w:hint="eastAsia" w:ascii="宋体" w:hAnsi="宋体" w:eastAsia="宋体" w:cs="宋体"/>
          <w:b/>
          <w:sz w:val="28"/>
          <w:szCs w:val="28"/>
        </w:rPr>
        <w:instrText xml:space="preserve"> TC 9、村级组织办公经费绩效目标表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13062121O6O4DEBGVW5V1</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村级组织办公经费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6.60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6.60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拨付到村，发展农村集体经济，加强基层组织建设，村党员干部教育培训，村党组织</w:t>
            </w:r>
            <w:r>
              <w:rPr>
                <w:rFonts w:hint="eastAsia" w:ascii="宋体" w:hAnsi="宋体" w:eastAsia="宋体" w:cs="宋体"/>
                <w:sz w:val="28"/>
                <w:szCs w:val="28"/>
                <w:cs/>
              </w:rPr>
              <w:t>“</w:t>
            </w:r>
            <w:r>
              <w:rPr>
                <w:rFonts w:hint="eastAsia" w:ascii="宋体" w:hAnsi="宋体" w:eastAsia="宋体" w:cs="宋体"/>
                <w:sz w:val="28"/>
                <w:szCs w:val="28"/>
              </w:rPr>
              <w:t>三会一课</w:t>
            </w:r>
            <w:r>
              <w:rPr>
                <w:rFonts w:hint="eastAsia" w:ascii="宋体" w:hAnsi="宋体" w:eastAsia="宋体" w:cs="宋体"/>
                <w:sz w:val="28"/>
                <w:szCs w:val="28"/>
                <w:cs/>
              </w:rPr>
              <w:t>”</w:t>
            </w:r>
            <w:r>
              <w:rPr>
                <w:rFonts w:hint="eastAsia" w:ascii="宋体" w:hAnsi="宋体" w:eastAsia="宋体" w:cs="宋体"/>
                <w:sz w:val="28"/>
                <w:szCs w:val="28"/>
              </w:rPr>
              <w:t>主题教育培训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1.实现经济收益和社会效益最大化</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2.加强村级治理，为乡村振兴提供有力组织保障，推动乡村工作</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数量个数</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享受村级组织部办公经费村数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20村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按照要求和计划完成任务在所有任务的比例（百分比）</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按时发放率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村级组织办公经费按时发放率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补贴标准</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每个村补贴标准</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0.33万元</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改善基层</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改善基层党组织活动环境</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社会影响力</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得到广大群众的充分认可</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群众对服务的满意程度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11" w:name="_Toc70330738"/>
      <w:r>
        <w:rPr>
          <w:rFonts w:hint="eastAsia" w:ascii="宋体" w:hAnsi="宋体" w:eastAsia="宋体" w:cs="宋体"/>
          <w:b/>
          <w:sz w:val="28"/>
          <w:szCs w:val="28"/>
        </w:rPr>
        <w:t>10.农村文化建设资金绩效目标表</w:t>
      </w:r>
      <w:bookmarkEnd w:id="11"/>
      <w:r>
        <w:fldChar w:fldCharType="begin"/>
      </w:r>
      <w:r>
        <w:rPr>
          <w:rFonts w:hint="eastAsia" w:ascii="宋体" w:hAnsi="宋体" w:eastAsia="宋体" w:cs="宋体"/>
          <w:b/>
          <w:sz w:val="28"/>
          <w:szCs w:val="28"/>
        </w:rPr>
        <w:instrText xml:space="preserve"> TC 10、农村文化建设资金绩效目标表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13062121QMT9ALPZWNQCS</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农村文化建设资金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20.00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20.00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用于农村文化建设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1.实现经济收益和社会效益最大化</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2.加强村级治理，为乡村振兴提供有力组织保障，推动乡村工作</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数量个数</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享受文化建设资金村数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足额拨付经费</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按时拨付经费</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按照要求和计划完成任务在所有任务的比例（百分比）</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补贴标准</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20个村补贴标准</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0.5万元</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改善文化环境</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改善基层文化环境</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社会影响力</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得到广大群众的充分认可</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群众对服务的满意程度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12" w:name="_Toc70330739"/>
      <w:r>
        <w:rPr>
          <w:rFonts w:hint="eastAsia" w:ascii="宋体" w:hAnsi="宋体" w:eastAsia="宋体" w:cs="宋体"/>
          <w:b/>
          <w:sz w:val="28"/>
          <w:szCs w:val="28"/>
        </w:rPr>
        <w:t>11.村干部保险绩效目标表</w:t>
      </w:r>
      <w:bookmarkEnd w:id="12"/>
      <w:r>
        <w:fldChar w:fldCharType="begin"/>
      </w:r>
      <w:r>
        <w:rPr>
          <w:rFonts w:hint="eastAsia" w:ascii="宋体" w:hAnsi="宋体" w:eastAsia="宋体" w:cs="宋体"/>
          <w:b/>
          <w:sz w:val="28"/>
          <w:szCs w:val="28"/>
        </w:rPr>
        <w:instrText xml:space="preserve"> TC 11、村干部保险绩效目标表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13062121SWS6STIVM4F5U</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村干部保险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14.04</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14.04</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为村干部缴纳保险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1.保障村干部自身利益</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2.调动村干部工作积极性</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享受保险的人数</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村干部享受养老保险政策的人数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人</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缴纳保险时间</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缴纳村干部养老保险及时性</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保险缴纳率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享受补贴人员的保险缴纳率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保险标准</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平均每人每年保险金额</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0.65万元</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社会影响率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及时缴纳保险,维护社会稳定</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生活保障</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生活是否得到保障</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受益群众满意度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村干部满意度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13" w:name="_Toc70330740"/>
      <w:r>
        <w:rPr>
          <w:rFonts w:hint="eastAsia" w:ascii="宋体" w:hAnsi="宋体" w:eastAsia="宋体" w:cs="宋体"/>
          <w:b/>
          <w:sz w:val="28"/>
          <w:szCs w:val="28"/>
        </w:rPr>
        <w:t>12.正常离任村干部生活补贴绩效目标表</w:t>
      </w:r>
      <w:bookmarkEnd w:id="13"/>
      <w:r>
        <w:fldChar w:fldCharType="begin"/>
      </w:r>
      <w:r>
        <w:rPr>
          <w:rFonts w:hint="eastAsia" w:ascii="宋体" w:hAnsi="宋体" w:eastAsia="宋体" w:cs="宋体"/>
          <w:b/>
          <w:sz w:val="28"/>
          <w:szCs w:val="28"/>
        </w:rPr>
        <w:instrText xml:space="preserve"> TC 12、正常离任村干部生活补贴绩效目标表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13062121TUAGPFNMUS53A</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正常离任村干部生活补贴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11.69</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11.69</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为正常离任的村干部发放补贴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1.保障离任干部的正常生活</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2.体现党对离任干部的关怀</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补助发放率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实际发放的补助占应发补助的比率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补助人员率概率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享受补贴的人数占应享受补贴人数的比率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及时性</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按时拨付的资金占总体资金的比率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补助标准</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平均每人每月补助金额</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0.68万元</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生活质量水平</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生活质量水平是否提高</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显著提高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社会影响力</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享受的干部充分认可</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享受补贴满意度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享受补贴的干部的满意程度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14" w:name="_Toc70330741"/>
      <w:r>
        <w:rPr>
          <w:rFonts w:hint="eastAsia" w:ascii="宋体" w:hAnsi="宋体" w:eastAsia="宋体" w:cs="宋体"/>
          <w:b/>
          <w:sz w:val="28"/>
          <w:szCs w:val="28"/>
        </w:rPr>
        <w:t>13.办公房租赁费绩效目标表</w:t>
      </w:r>
      <w:bookmarkEnd w:id="14"/>
      <w:r>
        <w:fldChar w:fldCharType="begin"/>
      </w:r>
      <w:r>
        <w:rPr>
          <w:rFonts w:hint="eastAsia" w:ascii="宋体" w:hAnsi="宋体" w:eastAsia="宋体" w:cs="宋体"/>
          <w:b/>
          <w:sz w:val="28"/>
          <w:szCs w:val="28"/>
        </w:rPr>
        <w:instrText xml:space="preserve"> TC 13、办公房租赁费绩效目标表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914001保定市满城区方顺桥镇财政所本级</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13062121Y4B8GBWKOLG5P</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办公房租赁费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5.00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5.00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办公房租赁费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25.00%</w:t>
            </w: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50.00%</w:t>
            </w: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75.00%</w:t>
            </w: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1.保障镇直机关工作人员的办公场所</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2.保障租赁办公房租金的及时发放</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租赁住房面积</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本单位办公房租赁面积</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404平方米</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资金发放率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租赁资金发放率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工作任务完成及时率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办公住房工作任务完成及时率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项目实际成本</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租赁住房的实际成本</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5万元</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对镇直机关工作运转的影响</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租赁办公住房对镇直机关工作运转的影响</w:t>
            </w:r>
          </w:p>
          <w:p>
            <w:pPr>
              <w:spacing w:line="300" w:lineRule="exact"/>
              <w:jc w:val="left"/>
              <w:rPr>
                <w:rFonts w:hint="eastAsia" w:ascii="宋体" w:hAnsi="宋体" w:eastAsia="宋体" w:cs="宋体"/>
                <w:sz w:val="28"/>
                <w:szCs w:val="28"/>
              </w:rPr>
            </w:pP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服务的改善与提升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办公住房的扩大对服务的改善与提升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机关工作人员满意度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机关工作人员对租赁办公房的满意度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15" w:name="_Toc70330742"/>
      <w:r>
        <w:rPr>
          <w:rFonts w:hint="eastAsia" w:ascii="宋体" w:hAnsi="宋体" w:eastAsia="宋体" w:cs="宋体"/>
          <w:b/>
          <w:sz w:val="28"/>
          <w:szCs w:val="28"/>
        </w:rPr>
        <w:t>14.（综）冀开旧厂区集体土地补偿费用绩效目标表</w:t>
      </w:r>
      <w:bookmarkEnd w:id="15"/>
      <w:r>
        <w:fldChar w:fldCharType="begin"/>
      </w:r>
      <w:r>
        <w:rPr>
          <w:rFonts w:hint="eastAsia" w:ascii="宋体" w:hAnsi="宋体" w:eastAsia="宋体" w:cs="宋体"/>
          <w:b/>
          <w:sz w:val="28"/>
          <w:szCs w:val="28"/>
        </w:rPr>
        <w:instrText xml:space="preserve"> TC 14、（综）冀开旧厂区集体土地补偿费用绩效目标表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914004保定市满城区方顺桥镇人民政府（供养人员）</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13062121GMF7HTDZ4XPUZ</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（综）冀开旧厂区集体土地补偿费用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217.00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217.00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冀开旧厂区集体土地的补偿款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1.保障京车项目的顺利开展</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2.保障冀开旧厂区的补偿款及时发放</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足额发放经费</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 xml:space="preserve"> 按时拨付</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资金到位率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冀开旧厂区补偿款到位率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支付及时率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是否及时支付</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是</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资金成本</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资金成本</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资金使用效率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资金的使用效率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受益对象满度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受益人口满意人数占总受益人口的比例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满意程度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16" w:name="_Toc70330743"/>
      <w:r>
        <w:rPr>
          <w:rFonts w:hint="eastAsia" w:ascii="宋体" w:hAnsi="宋体" w:eastAsia="宋体" w:cs="宋体"/>
          <w:b/>
          <w:sz w:val="28"/>
          <w:szCs w:val="28"/>
        </w:rPr>
        <w:t>15.（综）大赛窑坑回填资金绩效目标表</w:t>
      </w:r>
      <w:bookmarkEnd w:id="16"/>
      <w:r>
        <w:fldChar w:fldCharType="begin"/>
      </w:r>
      <w:r>
        <w:rPr>
          <w:rFonts w:hint="eastAsia" w:ascii="宋体" w:hAnsi="宋体" w:eastAsia="宋体" w:cs="宋体"/>
          <w:b/>
          <w:sz w:val="28"/>
          <w:szCs w:val="28"/>
        </w:rPr>
        <w:instrText xml:space="preserve"> TC 15、（综）大赛窑坑回填资金绩效目标表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914004保定市满城区方顺桥镇人民政府（供养人员）</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13062121TNOOPOKWRM861</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（综）大赛窑坑回填资金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350.00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350.00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大赛窑坑回填资金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1.保障京车项目的顺利进行</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2.保障大赛窑坑回填工作的顺利开展</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大赛窑坑回填完成比例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综合经济效益提高率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及时性</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回填资金发放的及时性</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资金成本</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资金成本</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受益对象满度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受益人口满意人数占总受益人口的比例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满意程度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300" w:lineRule="exact"/>
        <w:jc w:val="left"/>
        <w:rPr>
          <w:rFonts w:hint="eastAsia" w:ascii="宋体" w:hAnsi="宋体" w:eastAsia="宋体" w:cs="宋体"/>
          <w:sz w:val="28"/>
          <w:szCs w:val="28"/>
        </w:rPr>
        <w:sectPr>
          <w:pgSz w:w="11907" w:h="16839"/>
          <w:pgMar w:top="1984" w:right="1304" w:bottom="1134" w:left="1304" w:header="851" w:footer="992" w:gutter="0"/>
          <w:cols w:space="720" w:num="1"/>
          <w:docGrid w:type="lines" w:linePitch="312" w:charSpace="0"/>
        </w:sectPr>
      </w:pPr>
    </w:p>
    <w:p>
      <w:pPr>
        <w:spacing w:line="300" w:lineRule="exact"/>
        <w:jc w:val="left"/>
        <w:rPr>
          <w:rFonts w:hint="eastAsia" w:ascii="宋体" w:hAnsi="宋体" w:eastAsia="宋体" w:cs="宋体"/>
          <w:sz w:val="28"/>
          <w:szCs w:val="28"/>
        </w:rPr>
      </w:pPr>
    </w:p>
    <w:p>
      <w:pPr>
        <w:ind w:firstLine="562" w:firstLineChars="200"/>
        <w:jc w:val="left"/>
        <w:outlineLvl w:val="3"/>
        <w:rPr>
          <w:rFonts w:hint="eastAsia" w:ascii="宋体" w:hAnsi="宋体" w:eastAsia="宋体" w:cs="宋体"/>
          <w:b/>
          <w:sz w:val="28"/>
          <w:szCs w:val="28"/>
        </w:rPr>
      </w:pPr>
      <w:bookmarkStart w:id="17" w:name="_Toc70330744"/>
      <w:r>
        <w:rPr>
          <w:rFonts w:hint="eastAsia" w:ascii="宋体" w:hAnsi="宋体" w:eastAsia="宋体" w:cs="宋体"/>
          <w:b/>
          <w:sz w:val="28"/>
          <w:szCs w:val="28"/>
        </w:rPr>
        <w:t>16.(综)冀开占地补偿款绩效目标表</w:t>
      </w:r>
      <w:bookmarkEnd w:id="17"/>
      <w:r>
        <w:fldChar w:fldCharType="begin"/>
      </w:r>
      <w:r>
        <w:rPr>
          <w:rFonts w:hint="eastAsia" w:ascii="宋体" w:hAnsi="宋体" w:eastAsia="宋体" w:cs="宋体"/>
          <w:b/>
          <w:sz w:val="28"/>
          <w:szCs w:val="28"/>
        </w:rPr>
        <w:instrText xml:space="preserve"> TC 16、(综)冀开占地补偿款绩效目标表 \f C \l 1 </w:instrText>
      </w:r>
      <w:r>
        <w:rPr>
          <w:rFonts w:hint="eastAsia" w:ascii="宋体" w:hAnsi="宋体" w:eastAsia="宋体" w:cs="宋体"/>
          <w:b/>
          <w:sz w:val="28"/>
          <w:szCs w:val="28"/>
        </w:rPr>
        <w:fldChar w:fldCharType="end"/>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hint="eastAsia" w:ascii="宋体" w:hAnsi="宋体" w:eastAsia="宋体" w:cs="宋体"/>
                <w:b/>
                <w:sz w:val="28"/>
                <w:szCs w:val="28"/>
              </w:rPr>
            </w:pPr>
            <w:r>
              <w:rPr>
                <w:rFonts w:hint="eastAsia" w:ascii="宋体" w:hAnsi="宋体" w:eastAsia="宋体" w:cs="宋体"/>
                <w:b/>
                <w:sz w:val="28"/>
                <w:szCs w:val="28"/>
              </w:rPr>
              <w:t>914004保定市满城区方顺桥镇人民政府（供养人员）</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项目编码</w:t>
            </w:r>
          </w:p>
        </w:tc>
        <w:tc>
          <w:tcPr>
            <w:tcW w:w="2410" w:type="dxa"/>
            <w:gridSpan w:val="2"/>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13062121VYVGI9EZANYYO</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项目名称</w:t>
            </w:r>
          </w:p>
        </w:tc>
        <w:tc>
          <w:tcPr>
            <w:tcW w:w="4281" w:type="dxa"/>
            <w:gridSpan w:val="3"/>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(综)冀开占地补偿款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预算规模及资金用途</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预算数</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2734.00</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其中：财政资金</w:t>
            </w:r>
          </w:p>
        </w:tc>
        <w:tc>
          <w:tcPr>
            <w:tcW w:w="130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2734.00</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其他资金</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3"/>
              <w:rPr>
                <w:rFonts w:hint="eastAsia" w:ascii="宋体" w:hAnsi="宋体" w:eastAsia="宋体" w:cs="宋体"/>
                <w:sz w:val="28"/>
                <w:szCs w:val="28"/>
              </w:rPr>
            </w:pPr>
          </w:p>
        </w:tc>
        <w:tc>
          <w:tcPr>
            <w:tcW w:w="8278" w:type="dxa"/>
            <w:gridSpan w:val="6"/>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冀开占地补偿款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资金支出计划（%）</w:t>
            </w:r>
          </w:p>
        </w:tc>
        <w:tc>
          <w:tcPr>
            <w:tcW w:w="2410"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3月底</w:t>
            </w:r>
          </w:p>
        </w:tc>
        <w:tc>
          <w:tcPr>
            <w:tcW w:w="1587"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6月底</w:t>
            </w:r>
          </w:p>
        </w:tc>
        <w:tc>
          <w:tcPr>
            <w:tcW w:w="130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10月底</w:t>
            </w:r>
          </w:p>
        </w:tc>
        <w:tc>
          <w:tcPr>
            <w:tcW w:w="2977" w:type="dxa"/>
            <w:gridSpan w:val="2"/>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12月底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3"/>
              <w:rPr>
                <w:rFonts w:hint="eastAsia" w:ascii="宋体" w:hAnsi="宋体" w:eastAsia="宋体" w:cs="宋体"/>
                <w:sz w:val="28"/>
                <w:szCs w:val="28"/>
              </w:rPr>
            </w:pPr>
          </w:p>
        </w:tc>
        <w:tc>
          <w:tcPr>
            <w:tcW w:w="2410"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1587"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1304" w:type="dxa"/>
            <w:tcBorders>
              <w:bottom w:val="single" w:color="000000" w:sz="6" w:space="0"/>
            </w:tcBorders>
            <w:noWrap w:val="0"/>
            <w:vAlign w:val="center"/>
          </w:tcPr>
          <w:p>
            <w:pPr>
              <w:spacing w:line="300" w:lineRule="exact"/>
              <w:jc w:val="center"/>
              <w:rPr>
                <w:rFonts w:hint="eastAsia" w:ascii="宋体" w:hAnsi="宋体" w:eastAsia="宋体" w:cs="宋体"/>
                <w:sz w:val="28"/>
                <w:szCs w:val="28"/>
              </w:rPr>
            </w:pPr>
          </w:p>
        </w:tc>
        <w:tc>
          <w:tcPr>
            <w:tcW w:w="2977" w:type="dxa"/>
            <w:gridSpan w:val="2"/>
            <w:tcBorders>
              <w:bottom w:val="single" w:color="000000" w:sz="6" w:space="0"/>
            </w:tcBorders>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绩效目标</w:t>
            </w:r>
          </w:p>
        </w:tc>
        <w:tc>
          <w:tcPr>
            <w:tcW w:w="8278" w:type="dxa"/>
            <w:gridSpan w:val="6"/>
            <w:tcBorders>
              <w:bottom w:val="nil"/>
            </w:tcBorders>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1.保障京车项目顺利开展</w:t>
            </w:r>
          </w:p>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2.保障冀开占地补偿款及时发放</w:t>
            </w:r>
          </w:p>
        </w:tc>
      </w:tr>
    </w:tbl>
    <w:p>
      <w:pPr>
        <w:spacing w:line="14" w:lineRule="exact"/>
        <w:jc w:val="center"/>
        <w:rPr>
          <w:rFonts w:hint="eastAsia" w:ascii="宋体" w:hAnsi="宋体" w:eastAsia="宋体" w:cs="宋体"/>
          <w:sz w:val="28"/>
          <w:szCs w:val="28"/>
        </w:rPr>
      </w:pPr>
      <w:r>
        <w:rPr>
          <w:rFonts w:hint="eastAsia" w:ascii="宋体" w:hAnsi="宋体" w:eastAsia="宋体" w:cs="宋体"/>
          <w:sz w:val="28"/>
          <w:szCs w:val="28"/>
        </w:rPr>
        <w:t xml:space="preserve"> </w:t>
      </w:r>
    </w:p>
    <w:tbl>
      <w:tblPr>
        <w:tblStyle w:val="6"/>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一级指标</w:t>
            </w:r>
          </w:p>
        </w:tc>
        <w:tc>
          <w:tcPr>
            <w:tcW w:w="1134"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二级指标</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三级指标</w:t>
            </w:r>
          </w:p>
        </w:tc>
        <w:tc>
          <w:tcPr>
            <w:tcW w:w="289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绩效指标描述</w:t>
            </w:r>
          </w:p>
        </w:tc>
        <w:tc>
          <w:tcPr>
            <w:tcW w:w="1276"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w:t>
            </w:r>
          </w:p>
        </w:tc>
        <w:tc>
          <w:tcPr>
            <w:tcW w:w="1701" w:type="dxa"/>
            <w:noWrap w:val="0"/>
            <w:vAlign w:val="center"/>
          </w:tcPr>
          <w:p>
            <w:pPr>
              <w:spacing w:line="300" w:lineRule="exact"/>
              <w:jc w:val="center"/>
              <w:rPr>
                <w:rFonts w:hint="eastAsia" w:ascii="宋体" w:hAnsi="宋体" w:eastAsia="宋体" w:cs="宋体"/>
                <w:b/>
                <w:sz w:val="28"/>
                <w:szCs w:val="28"/>
              </w:rPr>
            </w:pPr>
            <w:r>
              <w:rPr>
                <w:rFonts w:hint="eastAsia" w:ascii="宋体" w:hAnsi="宋体" w:eastAsia="宋体" w:cs="宋体"/>
                <w:b/>
                <w:sz w:val="28"/>
                <w:szCs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产出指标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数量指标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质量指标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资金到位率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冀开占地补偿款占申请资金的比例</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时效指标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按期完成率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冀开占地补偿款按时发放率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成本指标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完成率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100%</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效益指标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经济效益指标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提高效率</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提高效率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宋体" w:hAnsi="宋体" w:eastAsia="宋体" w:cs="宋体"/>
                <w:sz w:val="28"/>
                <w:szCs w:val="28"/>
              </w:rPr>
            </w:pP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社会效益指标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社会稳定水平</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社会稳定水平</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明显提高</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宋体" w:hAnsi="宋体" w:eastAsia="宋体" w:cs="宋体"/>
                <w:sz w:val="28"/>
                <w:szCs w:val="28"/>
              </w:rPr>
            </w:pPr>
            <w:r>
              <w:rPr>
                <w:rFonts w:hint="eastAsia" w:ascii="宋体" w:hAnsi="宋体" w:eastAsia="宋体" w:cs="宋体"/>
                <w:sz w:val="28"/>
                <w:szCs w:val="28"/>
              </w:rPr>
              <w:t>满意度指标</w:t>
            </w:r>
          </w:p>
        </w:tc>
        <w:tc>
          <w:tcPr>
            <w:tcW w:w="1134"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服务对象满意度指标</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服务满意度</w:t>
            </w:r>
          </w:p>
        </w:tc>
        <w:tc>
          <w:tcPr>
            <w:tcW w:w="289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满意程度</w:t>
            </w:r>
          </w:p>
        </w:tc>
        <w:tc>
          <w:tcPr>
            <w:tcW w:w="1276"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满意</w:t>
            </w:r>
          </w:p>
        </w:tc>
        <w:tc>
          <w:tcPr>
            <w:tcW w:w="1701" w:type="dxa"/>
            <w:noWrap w:val="0"/>
            <w:vAlign w:val="center"/>
          </w:tcPr>
          <w:p>
            <w:pPr>
              <w:spacing w:line="300" w:lineRule="exact"/>
              <w:jc w:val="left"/>
              <w:rPr>
                <w:rFonts w:hint="eastAsia" w:ascii="宋体" w:hAnsi="宋体" w:eastAsia="宋体" w:cs="宋体"/>
                <w:sz w:val="28"/>
                <w:szCs w:val="28"/>
              </w:rPr>
            </w:pPr>
            <w:r>
              <w:rPr>
                <w:rFonts w:hint="eastAsia" w:ascii="宋体" w:hAnsi="宋体" w:eastAsia="宋体" w:cs="宋体"/>
                <w:sz w:val="28"/>
                <w:szCs w:val="28"/>
              </w:rPr>
              <w:t>工作需要</w:t>
            </w:r>
          </w:p>
        </w:tc>
      </w:tr>
    </w:tbl>
    <w:p>
      <w:pPr>
        <w:spacing w:line="520" w:lineRule="exact"/>
        <w:jc w:val="center"/>
        <w:rPr>
          <w:rFonts w:hint="eastAsia" w:ascii="宋体" w:hAnsi="宋体" w:eastAsia="宋体" w:cs="宋体"/>
          <w:sz w:val="28"/>
          <w:szCs w:val="28"/>
        </w:rPr>
      </w:pPr>
    </w:p>
    <w:bookmarkEnd w:id="0"/>
    <w:p>
      <w:pPr>
        <w:jc w:val="center"/>
        <w:outlineLvl w:val="0"/>
        <w:rPr>
          <w:rFonts w:hint="eastAsia" w:ascii="宋体" w:hAnsi="宋体" w:eastAsia="宋体" w:cs="宋体"/>
          <w:sz w:val="28"/>
          <w:szCs w:val="28"/>
        </w:rPr>
      </w:pPr>
    </w:p>
    <w:p>
      <w:pPr>
        <w:jc w:val="center"/>
        <w:outlineLvl w:val="0"/>
        <w:rPr>
          <w:rFonts w:hint="eastAsia" w:ascii="宋体" w:hAnsi="宋体" w:eastAsia="宋体" w:cs="宋体"/>
          <w:sz w:val="28"/>
          <w:szCs w:val="28"/>
        </w:rPr>
      </w:pPr>
    </w:p>
    <w:p>
      <w:pPr>
        <w:jc w:val="center"/>
        <w:outlineLvl w:val="0"/>
        <w:rPr>
          <w:rFonts w:hint="eastAsia" w:ascii="宋体" w:hAnsi="宋体" w:eastAsia="宋体" w:cs="宋体"/>
          <w:sz w:val="28"/>
          <w:szCs w:val="28"/>
        </w:rPr>
      </w:pPr>
    </w:p>
    <w:p>
      <w:pPr>
        <w:jc w:val="center"/>
        <w:outlineLvl w:val="0"/>
        <w:rPr>
          <w:rFonts w:hint="eastAsia" w:ascii="宋体" w:hAnsi="宋体" w:eastAsia="宋体" w:cs="宋体"/>
          <w:sz w:val="28"/>
          <w:szCs w:val="28"/>
        </w:rPr>
      </w:pPr>
    </w:p>
    <w:p>
      <w:pPr>
        <w:jc w:val="center"/>
        <w:outlineLvl w:val="0"/>
        <w:rPr>
          <w:rFonts w:hint="eastAsia" w:ascii="宋体" w:hAnsi="宋体" w:eastAsia="宋体" w:cs="宋体"/>
          <w:sz w:val="28"/>
          <w:szCs w:val="28"/>
        </w:rPr>
      </w:pPr>
    </w:p>
    <w:p>
      <w:pPr>
        <w:jc w:val="center"/>
        <w:outlineLvl w:val="0"/>
        <w:rPr>
          <w:rFonts w:hint="eastAsia" w:ascii="宋体" w:hAnsi="宋体" w:eastAsia="宋体" w:cs="宋体"/>
          <w:sz w:val="28"/>
          <w:szCs w:val="28"/>
        </w:rPr>
      </w:pPr>
    </w:p>
    <w:p>
      <w:pPr>
        <w:jc w:val="center"/>
        <w:outlineLvl w:val="0"/>
        <w:rPr>
          <w:rFonts w:hint="eastAsia" w:ascii="宋体" w:hAnsi="宋体" w:eastAsia="宋体" w:cs="宋体"/>
          <w:sz w:val="28"/>
          <w:szCs w:val="28"/>
        </w:rPr>
      </w:pPr>
    </w:p>
    <w:p>
      <w:pPr>
        <w:jc w:val="center"/>
        <w:outlineLvl w:val="0"/>
        <w:rPr>
          <w:rFonts w:hint="eastAsia" w:ascii="宋体" w:hAnsi="宋体" w:eastAsia="宋体" w:cs="宋体"/>
          <w:sz w:val="28"/>
          <w:szCs w:val="28"/>
        </w:rPr>
      </w:pPr>
      <w:r>
        <w:rPr>
          <w:rFonts w:hint="eastAsia" w:ascii="宋体" w:hAnsi="宋体" w:eastAsia="宋体" w:cs="宋体"/>
          <w:sz w:val="28"/>
          <w:szCs w:val="28"/>
        </w:rPr>
        <w:t>第六部分：政府采购预算情况</w:t>
      </w:r>
    </w:p>
    <w:tbl>
      <w:tblPr>
        <w:tblStyle w:val="6"/>
        <w:tblpPr w:leftFromText="180" w:rightFromText="180" w:vertAnchor="text" w:horzAnchor="page" w:tblpX="1780" w:tblpY="863"/>
        <w:tblOverlap w:val="never"/>
        <w:tblW w:w="9495" w:type="dxa"/>
        <w:tblInd w:w="0" w:type="dxa"/>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trPr>
        <w:tc>
          <w:tcPr>
            <w:tcW w:w="5075"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rPr>
                <w:rFonts w:hint="eastAsia" w:ascii="宋体" w:hAnsi="宋体" w:eastAsia="宋体" w:cs="宋体"/>
                <w:sz w:val="28"/>
                <w:szCs w:val="28"/>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r>
              <w:rPr>
                <w:rFonts w:hint="eastAsia" w:ascii="宋体" w:hAnsi="宋体" w:eastAsia="宋体" w:cs="宋体"/>
                <w:sz w:val="28"/>
                <w:szCs w:val="28"/>
              </w:rPr>
              <w:t>单位：万元</w:t>
            </w:r>
          </w:p>
        </w:tc>
      </w:tr>
      <w:tr>
        <w:tblPrEx>
          <w:tblCellMar>
            <w:top w:w="0" w:type="dxa"/>
            <w:left w:w="10" w:type="dxa"/>
            <w:bottom w:w="0" w:type="dxa"/>
            <w:right w:w="10" w:type="dxa"/>
          </w:tblCellMar>
        </w:tblPrEx>
        <w:trPr>
          <w:trHeight w:val="373" w:hRule="atLeast"/>
        </w:trPr>
        <w:tc>
          <w:tcPr>
            <w:tcW w:w="1987"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政府采购项目来源</w:t>
            </w:r>
          </w:p>
        </w:tc>
        <w:tc>
          <w:tcPr>
            <w:tcW w:w="87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数量  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政府采购金额</w:t>
            </w:r>
          </w:p>
        </w:tc>
      </w:tr>
      <w:tr>
        <w:tblPrEx>
          <w:tblCellMar>
            <w:top w:w="0" w:type="dxa"/>
            <w:left w:w="10" w:type="dxa"/>
            <w:bottom w:w="0" w:type="dxa"/>
            <w:right w:w="10" w:type="dxa"/>
          </w:tblCellMar>
        </w:tblPrEx>
        <w:trPr>
          <w:trHeight w:val="373" w:hRule="atLeast"/>
        </w:trPr>
        <w:tc>
          <w:tcPr>
            <w:tcW w:w="74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项目名称</w:t>
            </w:r>
          </w:p>
        </w:tc>
        <w:tc>
          <w:tcPr>
            <w:tcW w:w="1243" w:type="dxa"/>
            <w:vMerge w:val="restart"/>
            <w:tcBorders>
              <w:top w:val="single" w:color="000000" w:sz="6" w:space="0"/>
              <w:left w:val="single" w:color="000000" w:sz="6" w:space="0"/>
              <w:bottom w:val="single" w:color="000000" w:sz="6" w:space="0"/>
              <w:right w:val="single" w:color="000000" w:sz="6" w:space="0"/>
            </w:tcBorders>
            <w:shd w:val="clear" w:color="auto" w:fill="FFFFFF"/>
            <w:noWrap w:val="0"/>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预算资金</w:t>
            </w:r>
          </w:p>
        </w:tc>
        <w:tc>
          <w:tcPr>
            <w:tcW w:w="87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当年</w:t>
            </w:r>
            <w:r>
              <w:rPr>
                <w:rFonts w:hint="eastAsia" w:ascii="宋体" w:hAnsi="宋体" w:eastAsia="宋体" w:cs="宋体"/>
                <w:b/>
                <w:sz w:val="28"/>
                <w:szCs w:val="28"/>
                <w:lang w:eastAsia="zh-CN"/>
              </w:rPr>
              <w:t>单位</w:t>
            </w:r>
            <w:r>
              <w:rPr>
                <w:rFonts w:hint="eastAsia" w:ascii="宋体" w:hAnsi="宋体" w:eastAsia="宋体" w:cs="宋体"/>
                <w:b/>
                <w:sz w:val="28"/>
                <w:szCs w:val="28"/>
              </w:rPr>
              <w:t>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其他渠道资金</w:t>
            </w:r>
          </w:p>
        </w:tc>
      </w:tr>
      <w:tr>
        <w:tblPrEx>
          <w:tblCellMar>
            <w:top w:w="0" w:type="dxa"/>
            <w:left w:w="10" w:type="dxa"/>
            <w:bottom w:w="0" w:type="dxa"/>
            <w:right w:w="10" w:type="dxa"/>
          </w:tblCellMar>
        </w:tblPrEx>
        <w:trPr>
          <w:trHeight w:val="2548" w:hRule="atLeast"/>
        </w:trPr>
        <w:tc>
          <w:tcPr>
            <w:tcW w:w="74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1243"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87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hint="eastAsia" w:ascii="宋体" w:hAnsi="宋体" w:eastAsia="宋体" w:cs="宋体"/>
                <w:sz w:val="28"/>
                <w:szCs w:val="28"/>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hint="eastAsia" w:ascii="宋体" w:hAnsi="宋体" w:eastAsia="宋体" w:cs="宋体"/>
                <w:sz w:val="28"/>
                <w:szCs w:val="28"/>
              </w:rPr>
            </w:pPr>
          </w:p>
        </w:tc>
      </w:tr>
      <w:tr>
        <w:tblPrEx>
          <w:tblCellMar>
            <w:top w:w="0" w:type="dxa"/>
            <w:left w:w="10" w:type="dxa"/>
            <w:bottom w:w="0" w:type="dxa"/>
            <w:right w:w="10" w:type="dxa"/>
          </w:tblCellMar>
        </w:tblPrEx>
        <w:trPr>
          <w:trHeight w:val="550" w:hRule="atLeast"/>
        </w:trPr>
        <w:tc>
          <w:tcPr>
            <w:tcW w:w="74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hint="eastAsia" w:ascii="宋体" w:hAnsi="宋体" w:eastAsia="宋体" w:cs="宋体"/>
                <w:sz w:val="28"/>
                <w:szCs w:val="28"/>
              </w:rPr>
            </w:pPr>
            <w:r>
              <w:rPr>
                <w:rFonts w:hint="eastAsia" w:ascii="宋体" w:hAnsi="宋体" w:eastAsia="宋体" w:cs="宋体"/>
                <w:b/>
                <w:sz w:val="28"/>
                <w:szCs w:val="28"/>
              </w:rPr>
              <w:t>合计</w:t>
            </w:r>
          </w:p>
        </w:tc>
        <w:tc>
          <w:tcPr>
            <w:tcW w:w="1243"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87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sz w:val="28"/>
                <w:szCs w:val="28"/>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sz w:val="28"/>
                <w:szCs w:val="28"/>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hint="eastAsia" w:ascii="宋体" w:hAnsi="宋体" w:eastAsia="宋体" w:cs="宋体"/>
                <w:sz w:val="28"/>
                <w:szCs w:val="28"/>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hint="eastAsia" w:ascii="宋体" w:hAnsi="宋体" w:eastAsia="宋体" w:cs="宋体"/>
                <w:sz w:val="28"/>
                <w:szCs w:val="28"/>
              </w:rPr>
            </w:pPr>
          </w:p>
        </w:tc>
      </w:tr>
    </w:tbl>
    <w:p>
      <w:pPr>
        <w:ind w:firstLine="560"/>
        <w:outlineLvl w:val="0"/>
        <w:rPr>
          <w:rFonts w:hint="eastAsia" w:ascii="宋体" w:hAnsi="宋体" w:eastAsia="宋体" w:cs="宋体"/>
          <w:sz w:val="28"/>
          <w:szCs w:val="28"/>
          <w:lang w:eastAsia="zh-CN"/>
        </w:rPr>
      </w:pPr>
      <w:r>
        <w:rPr>
          <w:rFonts w:hint="eastAsia" w:ascii="宋体" w:hAnsi="宋体" w:eastAsia="宋体" w:cs="宋体"/>
          <w:sz w:val="28"/>
          <w:szCs w:val="28"/>
        </w:rPr>
        <w:t>我</w:t>
      </w:r>
      <w:r>
        <w:rPr>
          <w:rFonts w:hint="eastAsia" w:ascii="宋体" w:hAnsi="宋体" w:eastAsia="宋体" w:cs="宋体"/>
          <w:sz w:val="28"/>
          <w:szCs w:val="28"/>
          <w:lang w:eastAsia="zh-CN"/>
        </w:rPr>
        <w:t>单位2021</w:t>
      </w:r>
      <w:r>
        <w:rPr>
          <w:rFonts w:hint="eastAsia" w:ascii="宋体" w:hAnsi="宋体" w:eastAsia="宋体" w:cs="宋体"/>
          <w:sz w:val="28"/>
          <w:szCs w:val="28"/>
        </w:rPr>
        <w:t>年无政府采购预算</w:t>
      </w:r>
      <w:r>
        <w:rPr>
          <w:rFonts w:hint="eastAsia" w:ascii="宋体" w:hAnsi="宋体" w:eastAsia="宋体" w:cs="宋体"/>
          <w:sz w:val="28"/>
          <w:szCs w:val="28"/>
          <w:lang w:eastAsia="zh-CN"/>
        </w:rPr>
        <w:t>，空表列示</w:t>
      </w:r>
    </w:p>
    <w:p>
      <w:pPr>
        <w:ind w:firstLine="560"/>
        <w:outlineLvl w:val="0"/>
        <w:rPr>
          <w:rFonts w:hint="eastAsia" w:ascii="宋体" w:hAnsi="宋体" w:eastAsia="宋体" w:cs="宋体"/>
          <w:sz w:val="28"/>
          <w:szCs w:val="28"/>
          <w:lang w:eastAsia="zh-CN"/>
        </w:rPr>
      </w:pPr>
    </w:p>
    <w:p>
      <w:pPr>
        <w:outlineLvl w:val="0"/>
        <w:rPr>
          <w:rFonts w:hint="eastAsia" w:ascii="宋体" w:hAnsi="宋体" w:eastAsia="宋体" w:cs="宋体"/>
          <w:sz w:val="28"/>
          <w:szCs w:val="28"/>
        </w:rPr>
      </w:pPr>
    </w:p>
    <w:p>
      <w:pPr>
        <w:numPr>
          <w:ilvl w:val="0"/>
          <w:numId w:val="2"/>
        </w:numPr>
        <w:jc w:val="center"/>
        <w:rPr>
          <w:rFonts w:hint="eastAsia" w:ascii="宋体" w:hAnsi="宋体" w:eastAsia="宋体" w:cs="宋体"/>
          <w:sz w:val="28"/>
          <w:szCs w:val="28"/>
        </w:rPr>
      </w:pPr>
      <w:r>
        <w:rPr>
          <w:rFonts w:hint="eastAsia" w:ascii="宋体" w:hAnsi="宋体" w:eastAsia="宋体" w:cs="宋体"/>
          <w:sz w:val="28"/>
          <w:szCs w:val="28"/>
        </w:rPr>
        <w:t>分：国有资产信息情况说明</w:t>
      </w:r>
    </w:p>
    <w:p>
      <w:pPr>
        <w:rPr>
          <w:rFonts w:hint="eastAsia" w:ascii="宋体" w:hAnsi="宋体" w:eastAsia="宋体" w:cs="宋体"/>
          <w:sz w:val="28"/>
          <w:szCs w:val="28"/>
        </w:rPr>
      </w:pPr>
      <w:r>
        <w:rPr>
          <w:rFonts w:hint="eastAsia" w:ascii="宋体" w:hAnsi="宋体" w:eastAsia="宋体" w:cs="宋体"/>
          <w:sz w:val="28"/>
          <w:szCs w:val="28"/>
        </w:rPr>
        <w:t xml:space="preserve">    满城区方顺桥镇人民政府</w:t>
      </w:r>
      <w:r>
        <w:rPr>
          <w:rFonts w:hint="eastAsia" w:ascii="宋体" w:hAnsi="宋体" w:eastAsia="宋体" w:cs="宋体"/>
          <w:sz w:val="28"/>
          <w:szCs w:val="28"/>
          <w:lang w:eastAsia="zh-CN"/>
        </w:rPr>
        <w:t>2020</w:t>
      </w:r>
      <w:r>
        <w:rPr>
          <w:rFonts w:hint="eastAsia" w:ascii="宋体" w:hAnsi="宋体" w:eastAsia="宋体" w:cs="宋体"/>
          <w:sz w:val="28"/>
          <w:szCs w:val="28"/>
        </w:rPr>
        <w:t>年末固定资产总金额305</w:t>
      </w:r>
      <w:r>
        <w:rPr>
          <w:rFonts w:hint="eastAsia" w:ascii="宋体" w:hAnsi="宋体" w:eastAsia="宋体" w:cs="宋体"/>
          <w:sz w:val="28"/>
          <w:szCs w:val="28"/>
          <w:lang w:val="en-US" w:eastAsia="zh-CN"/>
        </w:rPr>
        <w:t>.92</w:t>
      </w:r>
      <w:r>
        <w:rPr>
          <w:rFonts w:hint="eastAsia" w:ascii="宋体" w:hAnsi="宋体" w:eastAsia="宋体" w:cs="宋体"/>
          <w:sz w:val="28"/>
          <w:szCs w:val="28"/>
        </w:rPr>
        <w:t>万元（详见下表）。</w:t>
      </w:r>
      <w:r>
        <w:rPr>
          <w:rFonts w:hint="eastAsia" w:ascii="宋体" w:hAnsi="宋体" w:eastAsia="宋体" w:cs="宋体"/>
          <w:sz w:val="28"/>
          <w:szCs w:val="28"/>
          <w:lang w:eastAsia="zh-CN"/>
        </w:rPr>
        <w:t>2021</w:t>
      </w:r>
      <w:r>
        <w:rPr>
          <w:rFonts w:hint="eastAsia" w:ascii="宋体" w:hAnsi="宋体" w:eastAsia="宋体" w:cs="宋体"/>
          <w:sz w:val="28"/>
          <w:szCs w:val="28"/>
        </w:rPr>
        <w:t>年无拟购置固定资产。</w:t>
      </w:r>
    </w:p>
    <w:tbl>
      <w:tblPr>
        <w:tblStyle w:val="6"/>
        <w:tblW w:w="0" w:type="auto"/>
        <w:tblInd w:w="93" w:type="dxa"/>
        <w:tblLayout w:type="fixed"/>
        <w:tblCellMar>
          <w:top w:w="0" w:type="dxa"/>
          <w:left w:w="108" w:type="dxa"/>
          <w:bottom w:w="0" w:type="dxa"/>
          <w:right w:w="108" w:type="dxa"/>
        </w:tblCellMar>
      </w:tblPr>
      <w:tblGrid>
        <w:gridCol w:w="3947"/>
        <w:gridCol w:w="1648"/>
        <w:gridCol w:w="3525"/>
      </w:tblGrid>
      <w:tr>
        <w:tblPrEx>
          <w:tblCellMar>
            <w:top w:w="0" w:type="dxa"/>
            <w:left w:w="108" w:type="dxa"/>
            <w:bottom w:w="0" w:type="dxa"/>
            <w:right w:w="108" w:type="dxa"/>
          </w:tblCellMar>
        </w:tblPrEx>
        <w:trPr>
          <w:trHeight w:val="90" w:hRule="atLeast"/>
        </w:trPr>
        <w:tc>
          <w:tcPr>
            <w:tcW w:w="9120" w:type="dxa"/>
            <w:gridSpan w:val="3"/>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sz w:val="28"/>
                <w:szCs w:val="28"/>
              </w:rPr>
              <w:t>满城区方顺桥镇人民政府固定资产占用情况表</w:t>
            </w:r>
          </w:p>
        </w:tc>
      </w:tr>
      <w:tr>
        <w:tblPrEx>
          <w:tblCellMar>
            <w:top w:w="0" w:type="dxa"/>
            <w:left w:w="108" w:type="dxa"/>
            <w:bottom w:w="0" w:type="dxa"/>
            <w:right w:w="108" w:type="dxa"/>
          </w:tblCellMar>
        </w:tblPrEx>
        <w:trPr>
          <w:trHeight w:val="90" w:hRule="atLeast"/>
        </w:trPr>
        <w:tc>
          <w:tcPr>
            <w:tcW w:w="9120" w:type="dxa"/>
            <w:gridSpan w:val="3"/>
            <w:tcBorders>
              <w:top w:val="nil"/>
              <w:left w:val="nil"/>
              <w:bottom w:val="single" w:color="auto" w:sz="4" w:space="0"/>
              <w:right w:val="nil"/>
            </w:tcBorders>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bCs/>
                <w:color w:val="000000"/>
                <w:kern w:val="0"/>
                <w:sz w:val="28"/>
                <w:szCs w:val="28"/>
              </w:rPr>
              <w:t xml:space="preserve">                           截止时间：</w:t>
            </w:r>
            <w:r>
              <w:rPr>
                <w:rFonts w:hint="eastAsia" w:ascii="宋体" w:hAnsi="宋体" w:eastAsia="宋体" w:cs="宋体"/>
                <w:bCs/>
                <w:color w:val="000000"/>
                <w:kern w:val="0"/>
                <w:sz w:val="28"/>
                <w:szCs w:val="28"/>
                <w:lang w:eastAsia="zh-CN"/>
              </w:rPr>
              <w:t>2020</w:t>
            </w:r>
            <w:r>
              <w:rPr>
                <w:rFonts w:hint="eastAsia" w:ascii="宋体" w:hAnsi="宋体" w:eastAsia="宋体" w:cs="宋体"/>
                <w:bCs/>
                <w:color w:val="000000"/>
                <w:kern w:val="0"/>
                <w:sz w:val="28"/>
                <w:szCs w:val="28"/>
              </w:rPr>
              <w:t>年12月31日</w:t>
            </w:r>
          </w:p>
        </w:tc>
      </w:tr>
      <w:tr>
        <w:tblPrEx>
          <w:tblCellMar>
            <w:top w:w="0" w:type="dxa"/>
            <w:left w:w="108" w:type="dxa"/>
            <w:bottom w:w="0" w:type="dxa"/>
            <w:right w:w="108" w:type="dxa"/>
          </w:tblCellMar>
        </w:tblPrEx>
        <w:trPr>
          <w:trHeight w:val="90" w:hRule="atLeast"/>
        </w:trPr>
        <w:tc>
          <w:tcPr>
            <w:tcW w:w="394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项　　目</w:t>
            </w:r>
          </w:p>
        </w:tc>
        <w:tc>
          <w:tcPr>
            <w:tcW w:w="164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数量</w:t>
            </w:r>
          </w:p>
        </w:tc>
        <w:tc>
          <w:tcPr>
            <w:tcW w:w="352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价值（单位：万元）</w:t>
            </w:r>
          </w:p>
        </w:tc>
      </w:tr>
      <w:tr>
        <w:tblPrEx>
          <w:tblCellMar>
            <w:top w:w="0" w:type="dxa"/>
            <w:left w:w="108" w:type="dxa"/>
            <w:bottom w:w="0" w:type="dxa"/>
            <w:right w:w="108" w:type="dxa"/>
          </w:tblCellMar>
        </w:tblPrEx>
        <w:trPr>
          <w:trHeight w:val="90" w:hRule="atLeast"/>
        </w:trPr>
        <w:tc>
          <w:tcPr>
            <w:tcW w:w="394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固定资产总额</w:t>
            </w:r>
          </w:p>
        </w:tc>
        <w:tc>
          <w:tcPr>
            <w:tcW w:w="164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352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color w:val="000000"/>
                <w:kern w:val="0"/>
                <w:sz w:val="28"/>
                <w:szCs w:val="28"/>
                <w:lang w:val="en-US" w:eastAsia="zh-CN"/>
              </w:rPr>
            </w:pPr>
            <w:r>
              <w:rPr>
                <w:rFonts w:hint="eastAsia" w:ascii="宋体" w:hAnsi="宋体" w:eastAsia="宋体" w:cs="宋体"/>
                <w:b/>
                <w:color w:val="000000"/>
                <w:kern w:val="0"/>
                <w:sz w:val="28"/>
                <w:szCs w:val="28"/>
                <w:lang w:val="en-US" w:eastAsia="zh-CN"/>
              </w:rPr>
              <w:t>305.92</w:t>
            </w:r>
          </w:p>
        </w:tc>
      </w:tr>
      <w:tr>
        <w:tblPrEx>
          <w:tblCellMar>
            <w:top w:w="0" w:type="dxa"/>
            <w:left w:w="108" w:type="dxa"/>
            <w:bottom w:w="0" w:type="dxa"/>
            <w:right w:w="108" w:type="dxa"/>
          </w:tblCellMar>
        </w:tblPrEx>
        <w:trPr>
          <w:trHeight w:val="90" w:hRule="atLeast"/>
        </w:trPr>
        <w:tc>
          <w:tcPr>
            <w:tcW w:w="39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1、房屋（平方米）</w:t>
            </w:r>
          </w:p>
        </w:tc>
        <w:tc>
          <w:tcPr>
            <w:tcW w:w="164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4094</w:t>
            </w:r>
          </w:p>
        </w:tc>
        <w:tc>
          <w:tcPr>
            <w:tcW w:w="352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218.7</w:t>
            </w:r>
          </w:p>
        </w:tc>
      </w:tr>
      <w:tr>
        <w:tblPrEx>
          <w:tblCellMar>
            <w:top w:w="0" w:type="dxa"/>
            <w:left w:w="108" w:type="dxa"/>
            <w:bottom w:w="0" w:type="dxa"/>
            <w:right w:w="108" w:type="dxa"/>
          </w:tblCellMar>
        </w:tblPrEx>
        <w:trPr>
          <w:trHeight w:val="90" w:hRule="atLeast"/>
        </w:trPr>
        <w:tc>
          <w:tcPr>
            <w:tcW w:w="394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其中：办公用房（平方米）</w:t>
            </w:r>
          </w:p>
        </w:tc>
        <w:tc>
          <w:tcPr>
            <w:tcW w:w="164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1800</w:t>
            </w:r>
          </w:p>
        </w:tc>
        <w:tc>
          <w:tcPr>
            <w:tcW w:w="352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158.7</w:t>
            </w:r>
          </w:p>
        </w:tc>
      </w:tr>
      <w:tr>
        <w:tblPrEx>
          <w:tblCellMar>
            <w:top w:w="0" w:type="dxa"/>
            <w:left w:w="108" w:type="dxa"/>
            <w:bottom w:w="0" w:type="dxa"/>
            <w:right w:w="108" w:type="dxa"/>
          </w:tblCellMar>
        </w:tblPrEx>
        <w:trPr>
          <w:trHeight w:val="90" w:hRule="atLeast"/>
        </w:trPr>
        <w:tc>
          <w:tcPr>
            <w:tcW w:w="39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2、车辆（台、辆）</w:t>
            </w:r>
          </w:p>
        </w:tc>
        <w:tc>
          <w:tcPr>
            <w:tcW w:w="164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w:t>
            </w:r>
          </w:p>
        </w:tc>
        <w:tc>
          <w:tcPr>
            <w:tcW w:w="352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26</w:t>
            </w:r>
          </w:p>
        </w:tc>
      </w:tr>
      <w:tr>
        <w:tblPrEx>
          <w:tblCellMar>
            <w:top w:w="0" w:type="dxa"/>
            <w:left w:w="108" w:type="dxa"/>
            <w:bottom w:w="0" w:type="dxa"/>
            <w:right w:w="108" w:type="dxa"/>
          </w:tblCellMar>
        </w:tblPrEx>
        <w:trPr>
          <w:trHeight w:val="90" w:hRule="atLeast"/>
        </w:trPr>
        <w:tc>
          <w:tcPr>
            <w:tcW w:w="39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3、单价在20万元以上的设备</w:t>
            </w:r>
          </w:p>
        </w:tc>
        <w:tc>
          <w:tcPr>
            <w:tcW w:w="164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352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0.00</w:t>
            </w:r>
          </w:p>
        </w:tc>
      </w:tr>
      <w:tr>
        <w:tblPrEx>
          <w:tblCellMar>
            <w:top w:w="0" w:type="dxa"/>
            <w:left w:w="108" w:type="dxa"/>
            <w:bottom w:w="0" w:type="dxa"/>
            <w:right w:w="108" w:type="dxa"/>
          </w:tblCellMar>
        </w:tblPrEx>
        <w:trPr>
          <w:trHeight w:val="90" w:hRule="atLeast"/>
        </w:trPr>
        <w:tc>
          <w:tcPr>
            <w:tcW w:w="3947"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4、其他固定资产</w:t>
            </w:r>
          </w:p>
        </w:tc>
        <w:tc>
          <w:tcPr>
            <w:tcW w:w="164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w:t>
            </w:r>
          </w:p>
        </w:tc>
        <w:tc>
          <w:tcPr>
            <w:tcW w:w="352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61.22</w:t>
            </w:r>
          </w:p>
        </w:tc>
      </w:tr>
    </w:tbl>
    <w:p>
      <w:pPr>
        <w:spacing w:line="520" w:lineRule="exact"/>
        <w:ind w:firstLine="560" w:firstLineChars="200"/>
        <w:rPr>
          <w:rFonts w:hint="eastAsia" w:ascii="宋体" w:hAnsi="宋体" w:eastAsia="宋体" w:cs="宋体"/>
          <w:sz w:val="28"/>
          <w:szCs w:val="28"/>
        </w:rPr>
      </w:pPr>
    </w:p>
    <w:p>
      <w:pPr>
        <w:spacing w:line="500" w:lineRule="exact"/>
        <w:jc w:val="center"/>
        <w:outlineLvl w:val="0"/>
        <w:rPr>
          <w:rFonts w:hint="eastAsia" w:ascii="宋体" w:hAnsi="宋体" w:eastAsia="宋体" w:cs="宋体"/>
          <w:sz w:val="28"/>
          <w:szCs w:val="28"/>
        </w:rPr>
      </w:pPr>
      <w:r>
        <w:rPr>
          <w:rFonts w:hint="eastAsia" w:ascii="宋体" w:hAnsi="宋体" w:eastAsia="宋体" w:cs="宋体"/>
          <w:sz w:val="28"/>
          <w:szCs w:val="28"/>
        </w:rPr>
        <w:t>第八部分：名词解释</w:t>
      </w:r>
    </w:p>
    <w:p>
      <w:pPr>
        <w:spacing w:line="50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1、一般公共预算拨款收入：指区级财政当年拨付的资金。</w:t>
      </w:r>
    </w:p>
    <w:p>
      <w:pPr>
        <w:spacing w:line="50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2、其他收入：指除上述“财政拨款收入”、“事业收入”等以外的收入。</w:t>
      </w:r>
    </w:p>
    <w:p>
      <w:pPr>
        <w:spacing w:line="50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3、基本支出：指为保障机构正常运转、完成日常工作任务而发生的人员支出和公用支出。</w:t>
      </w:r>
    </w:p>
    <w:p>
      <w:pPr>
        <w:spacing w:line="50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4、项目支出：指在基本支出之外为完成特定行政任务和事业发展目标所发生的支出。</w:t>
      </w:r>
    </w:p>
    <w:p>
      <w:pPr>
        <w:spacing w:line="50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5、“三公”经费：纳入区级财政预算管理的“三公”经费，是指区级</w:t>
      </w:r>
      <w:r>
        <w:rPr>
          <w:rFonts w:hint="eastAsia" w:ascii="宋体" w:hAnsi="宋体" w:eastAsia="宋体" w:cs="宋体"/>
          <w:sz w:val="28"/>
          <w:szCs w:val="28"/>
          <w:lang w:eastAsia="zh-CN"/>
        </w:rPr>
        <w:t>单位</w:t>
      </w:r>
      <w:r>
        <w:rPr>
          <w:rFonts w:hint="eastAsia" w:ascii="宋体" w:hAnsi="宋体" w:eastAsia="宋体" w:cs="宋体"/>
          <w:sz w:val="28"/>
          <w:szCs w:val="28"/>
        </w:rPr>
        <w:t>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703" w:firstLineChars="250"/>
        <w:rPr>
          <w:rFonts w:hint="eastAsia" w:ascii="宋体" w:hAnsi="宋体" w:eastAsia="宋体" w:cs="宋体"/>
          <w:sz w:val="28"/>
          <w:szCs w:val="28"/>
        </w:rPr>
      </w:pPr>
      <w:r>
        <w:rPr>
          <w:rFonts w:hint="eastAsia" w:ascii="宋体" w:hAnsi="宋体" w:eastAsia="宋体" w:cs="宋体"/>
          <w:b/>
          <w:sz w:val="28"/>
          <w:szCs w:val="28"/>
        </w:rPr>
        <w:t>6、机关运行费：</w:t>
      </w:r>
      <w:r>
        <w:rPr>
          <w:rFonts w:hint="eastAsia" w:ascii="宋体" w:hAnsi="宋体" w:eastAsia="宋体" w:cs="宋体"/>
          <w:sz w:val="28"/>
          <w:szCs w:val="28"/>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703" w:firstLineChars="250"/>
        <w:rPr>
          <w:rFonts w:hint="eastAsia" w:ascii="宋体" w:hAnsi="宋体" w:eastAsia="宋体" w:cs="宋体"/>
          <w:sz w:val="28"/>
          <w:szCs w:val="28"/>
        </w:rPr>
      </w:pPr>
      <w:r>
        <w:rPr>
          <w:rFonts w:hint="eastAsia" w:ascii="宋体" w:hAnsi="宋体" w:eastAsia="宋体" w:cs="宋体"/>
          <w:b/>
          <w:sz w:val="28"/>
          <w:szCs w:val="28"/>
        </w:rPr>
        <w:t>7、公务费：</w:t>
      </w:r>
      <w:r>
        <w:rPr>
          <w:rFonts w:hint="eastAsia" w:ascii="宋体" w:hAnsi="宋体" w:eastAsia="宋体" w:cs="宋体"/>
          <w:sz w:val="28"/>
          <w:szCs w:val="28"/>
        </w:rPr>
        <w:t>包括办公费、水电费、邮电费、取暖费、交通费、一般会议费和物业管理费之和。</w:t>
      </w:r>
    </w:p>
    <w:p>
      <w:pPr>
        <w:spacing w:line="500" w:lineRule="exact"/>
        <w:jc w:val="center"/>
        <w:outlineLvl w:val="0"/>
        <w:rPr>
          <w:rFonts w:hint="eastAsia" w:ascii="宋体" w:hAnsi="宋体" w:eastAsia="宋体" w:cs="宋体"/>
          <w:sz w:val="28"/>
          <w:szCs w:val="28"/>
        </w:rPr>
      </w:pPr>
      <w:r>
        <w:rPr>
          <w:rFonts w:hint="eastAsia" w:ascii="宋体" w:hAnsi="宋体" w:eastAsia="宋体" w:cs="宋体"/>
          <w:sz w:val="28"/>
          <w:szCs w:val="28"/>
        </w:rPr>
        <w:t>第九部分：其他需说明的事项</w:t>
      </w:r>
    </w:p>
    <w:p>
      <w:pPr>
        <w:spacing w:line="500" w:lineRule="exact"/>
        <w:ind w:firstLine="1106" w:firstLineChars="395"/>
        <w:jc w:val="left"/>
        <w:outlineLvl w:val="0"/>
        <w:rPr>
          <w:rFonts w:hint="eastAsia" w:ascii="宋体" w:hAnsi="宋体" w:eastAsia="宋体" w:cs="宋体"/>
          <w:sz w:val="28"/>
          <w:szCs w:val="28"/>
        </w:rPr>
      </w:pPr>
    </w:p>
    <w:p>
      <w:pPr>
        <w:spacing w:line="500" w:lineRule="exact"/>
        <w:ind w:firstLine="560" w:firstLineChars="200"/>
        <w:jc w:val="left"/>
        <w:outlineLvl w:val="0"/>
        <w:rPr>
          <w:rFonts w:hint="eastAsia" w:ascii="宋体" w:hAnsi="宋体" w:eastAsia="宋体" w:cs="宋体"/>
          <w:sz w:val="28"/>
          <w:szCs w:val="28"/>
        </w:rPr>
      </w:pPr>
      <w:r>
        <w:rPr>
          <w:rFonts w:hint="eastAsia" w:ascii="宋体" w:hAnsi="宋体" w:eastAsia="宋体" w:cs="宋体"/>
          <w:sz w:val="28"/>
          <w:szCs w:val="28"/>
        </w:rPr>
        <w:t>无其他需说明的事项。</w:t>
      </w:r>
    </w:p>
    <w:p>
      <w:pPr>
        <w:ind w:firstLine="560" w:firstLineChars="200"/>
        <w:rPr>
          <w:rFonts w:hint="eastAsia" w:ascii="宋体" w:hAnsi="宋体" w:eastAsia="宋体" w:cs="宋体"/>
          <w:sz w:val="28"/>
          <w:szCs w:val="28"/>
        </w:rPr>
      </w:pPr>
    </w:p>
    <w:p>
      <w:pPr>
        <w:spacing w:line="480" w:lineRule="auto"/>
        <w:ind w:firstLine="648"/>
        <w:rPr>
          <w:rFonts w:hint="eastAsia" w:ascii="宋体" w:hAnsi="宋体" w:eastAsia="宋体" w:cs="宋体"/>
          <w:sz w:val="28"/>
          <w:szCs w:val="28"/>
        </w:rPr>
      </w:pPr>
    </w:p>
    <w:sectPr>
      <w:headerReference r:id="rId3" w:type="default"/>
      <w:pgSz w:w="11907" w:h="16839"/>
      <w:pgMar w:top="1020" w:right="1134" w:bottom="102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239092"/>
    <w:multiLevelType w:val="singleLevel"/>
    <w:tmpl w:val="4F239092"/>
    <w:lvl w:ilvl="0" w:tentative="0">
      <w:start w:val="2"/>
      <w:numFmt w:val="decimal"/>
      <w:suff w:val="nothing"/>
      <w:lvlText w:val="%1、"/>
      <w:lvlJc w:val="left"/>
    </w:lvl>
  </w:abstractNum>
  <w:abstractNum w:abstractNumId="1">
    <w:nsid w:val="59E85552"/>
    <w:multiLevelType w:val="singleLevel"/>
    <w:tmpl w:val="59E85552"/>
    <w:lvl w:ilvl="0" w:tentative="0">
      <w:start w:val="7"/>
      <w:numFmt w:val="chineseCounting"/>
      <w:suff w:val="nothing"/>
      <w:lvlText w:val="第%1部"/>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yNzllOWY2MjAwMGE5NDcwMjI5ODUyNDcwZTEwMjcifQ=="/>
  </w:docVars>
  <w:rsids>
    <w:rsidRoot w:val="003150AA"/>
    <w:rsid w:val="00004066"/>
    <w:rsid w:val="0006017B"/>
    <w:rsid w:val="0007750C"/>
    <w:rsid w:val="000A4356"/>
    <w:rsid w:val="000E7699"/>
    <w:rsid w:val="00130820"/>
    <w:rsid w:val="001717D5"/>
    <w:rsid w:val="001D7AE2"/>
    <w:rsid w:val="00227FD9"/>
    <w:rsid w:val="002361FC"/>
    <w:rsid w:val="00261BF9"/>
    <w:rsid w:val="002C3007"/>
    <w:rsid w:val="002D6070"/>
    <w:rsid w:val="002E1008"/>
    <w:rsid w:val="002E5735"/>
    <w:rsid w:val="002F182F"/>
    <w:rsid w:val="002F6916"/>
    <w:rsid w:val="00301073"/>
    <w:rsid w:val="003150AA"/>
    <w:rsid w:val="00355E89"/>
    <w:rsid w:val="00383D4A"/>
    <w:rsid w:val="003E39B6"/>
    <w:rsid w:val="004056AE"/>
    <w:rsid w:val="0042070B"/>
    <w:rsid w:val="00465EC8"/>
    <w:rsid w:val="004D2B0D"/>
    <w:rsid w:val="004E2235"/>
    <w:rsid w:val="0056532D"/>
    <w:rsid w:val="005745A0"/>
    <w:rsid w:val="005E0BCB"/>
    <w:rsid w:val="00601DA3"/>
    <w:rsid w:val="00627C94"/>
    <w:rsid w:val="00677C41"/>
    <w:rsid w:val="006B541F"/>
    <w:rsid w:val="007E07AD"/>
    <w:rsid w:val="00862104"/>
    <w:rsid w:val="008E4C09"/>
    <w:rsid w:val="00946548"/>
    <w:rsid w:val="009F009E"/>
    <w:rsid w:val="00A46EE5"/>
    <w:rsid w:val="00A81406"/>
    <w:rsid w:val="00B63BFE"/>
    <w:rsid w:val="00BE2DEF"/>
    <w:rsid w:val="00C31442"/>
    <w:rsid w:val="00C325FA"/>
    <w:rsid w:val="00CE5E8C"/>
    <w:rsid w:val="00D14835"/>
    <w:rsid w:val="00D22D3A"/>
    <w:rsid w:val="00D30A37"/>
    <w:rsid w:val="00E1783E"/>
    <w:rsid w:val="00EB63AC"/>
    <w:rsid w:val="00EB76B8"/>
    <w:rsid w:val="00EC183B"/>
    <w:rsid w:val="00EC481B"/>
    <w:rsid w:val="00F92783"/>
    <w:rsid w:val="00FE0BBF"/>
    <w:rsid w:val="00FE355A"/>
    <w:rsid w:val="00FF33AA"/>
    <w:rsid w:val="01AD274C"/>
    <w:rsid w:val="025840DE"/>
    <w:rsid w:val="028B36A9"/>
    <w:rsid w:val="044729A1"/>
    <w:rsid w:val="047C036D"/>
    <w:rsid w:val="05A646C4"/>
    <w:rsid w:val="05BE0DFE"/>
    <w:rsid w:val="064F5537"/>
    <w:rsid w:val="06E67783"/>
    <w:rsid w:val="06F6734C"/>
    <w:rsid w:val="0A4610BD"/>
    <w:rsid w:val="0BA83303"/>
    <w:rsid w:val="0D816198"/>
    <w:rsid w:val="0E1B71C0"/>
    <w:rsid w:val="0E5A1A6C"/>
    <w:rsid w:val="0FE505A0"/>
    <w:rsid w:val="101114D8"/>
    <w:rsid w:val="10601AD0"/>
    <w:rsid w:val="11E2388F"/>
    <w:rsid w:val="12603E93"/>
    <w:rsid w:val="132E16E0"/>
    <w:rsid w:val="19820F45"/>
    <w:rsid w:val="1AD57115"/>
    <w:rsid w:val="1D1B5B51"/>
    <w:rsid w:val="1EA57235"/>
    <w:rsid w:val="2024670E"/>
    <w:rsid w:val="221C07CF"/>
    <w:rsid w:val="24D84BAA"/>
    <w:rsid w:val="275B2D9A"/>
    <w:rsid w:val="280C1FAC"/>
    <w:rsid w:val="29B0632A"/>
    <w:rsid w:val="29CD679A"/>
    <w:rsid w:val="2A132992"/>
    <w:rsid w:val="2A79302F"/>
    <w:rsid w:val="2BCC37A4"/>
    <w:rsid w:val="2C9C64C9"/>
    <w:rsid w:val="2E3B3794"/>
    <w:rsid w:val="2F1A1762"/>
    <w:rsid w:val="30200B58"/>
    <w:rsid w:val="33CD33D0"/>
    <w:rsid w:val="344D3D55"/>
    <w:rsid w:val="34A13831"/>
    <w:rsid w:val="3613241E"/>
    <w:rsid w:val="36631656"/>
    <w:rsid w:val="367A49FB"/>
    <w:rsid w:val="3690788A"/>
    <w:rsid w:val="372C4753"/>
    <w:rsid w:val="387C2961"/>
    <w:rsid w:val="392B67EA"/>
    <w:rsid w:val="4332244B"/>
    <w:rsid w:val="435075A4"/>
    <w:rsid w:val="43954B27"/>
    <w:rsid w:val="43E215BB"/>
    <w:rsid w:val="464852A7"/>
    <w:rsid w:val="4AAF52E9"/>
    <w:rsid w:val="4B4C5970"/>
    <w:rsid w:val="4CA812B2"/>
    <w:rsid w:val="4E9742AE"/>
    <w:rsid w:val="52CB703C"/>
    <w:rsid w:val="5E413FCA"/>
    <w:rsid w:val="63A92B04"/>
    <w:rsid w:val="643D6515"/>
    <w:rsid w:val="65F06C48"/>
    <w:rsid w:val="66011E83"/>
    <w:rsid w:val="673044A8"/>
    <w:rsid w:val="6A660817"/>
    <w:rsid w:val="6AF62F7B"/>
    <w:rsid w:val="6B31265D"/>
    <w:rsid w:val="6C640134"/>
    <w:rsid w:val="6CB844F8"/>
    <w:rsid w:val="6DE867F0"/>
    <w:rsid w:val="711A4036"/>
    <w:rsid w:val="73BD7917"/>
    <w:rsid w:val="74BB41DE"/>
    <w:rsid w:val="78C67D68"/>
    <w:rsid w:val="7CED5019"/>
    <w:rsid w:val="7CED55D8"/>
    <w:rsid w:val="7E054296"/>
    <w:rsid w:val="7EB36D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uiPriority w:val="39"/>
  </w:style>
  <w:style w:type="paragraph" w:styleId="5">
    <w:name w:val="toc 2"/>
    <w:basedOn w:val="1"/>
    <w:next w:val="1"/>
    <w:unhideWhenUsed/>
    <w:qFormat/>
    <w:uiPriority w:val="39"/>
    <w:pPr>
      <w:ind w:left="420" w:leftChars="200"/>
    </w:pPr>
  </w:style>
  <w:style w:type="table" w:styleId="7">
    <w:name w:val="Table Grid"/>
    <w:basedOn w:val="6"/>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Char"/>
    <w:link w:val="2"/>
    <w:semiHidden/>
    <w:uiPriority w:val="99"/>
    <w:rPr>
      <w:kern w:val="2"/>
      <w:sz w:val="18"/>
      <w:szCs w:val="18"/>
    </w:rPr>
  </w:style>
  <w:style w:type="character" w:customStyle="1" w:styleId="10">
    <w:name w:val="页眉 Char"/>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30</Pages>
  <Words>12172</Words>
  <Characters>13411</Characters>
  <Lines>36</Lines>
  <Paragraphs>10</Paragraphs>
  <TotalTime>5</TotalTime>
  <ScaleCrop>false</ScaleCrop>
  <LinksUpToDate>false</LinksUpToDate>
  <CharactersWithSpaces>13504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2017-06-22T04:31:00Z</dcterms:created>
  <dc:creator>赵江龙</dc:creator>
  <cp:lastModifiedBy>Administrator</cp:lastModifiedBy>
  <cp:lastPrinted>2021-04-27T06:37:00Z</cp:lastPrinted>
  <dcterms:modified xsi:type="dcterms:W3CDTF">2024-01-04T08:33:46Z</dcterms:modified>
  <dc:title>中共保定市纪律检查委员会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16E801588F9546789616DE07B747F270</vt:lpwstr>
  </property>
</Properties>
</file>