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w:t>中共保定市满城区纪律检查委员会</w:t>
      </w:r>
    </w:p>
    <w:p>
      <w:pPr>
        <w:jc w:val="center"/>
        <w:rPr>
          <w:rFonts w:hint="eastAsia" w:ascii="宋体" w:hAnsi="宋体"/>
          <w:b/>
          <w:sz w:val="44"/>
          <w:szCs w:val="44"/>
        </w:rPr>
      </w:pPr>
      <w:r>
        <w:rPr>
          <w:rFonts w:hint="eastAsia" w:ascii="宋体" w:hAnsi="宋体"/>
          <w:b/>
          <w:sz w:val="44"/>
          <w:szCs w:val="44"/>
        </w:rPr>
        <w:t>2020年预算信息公开</w:t>
      </w:r>
    </w:p>
    <w:p>
      <w:pPr>
        <w:jc w:val="center"/>
        <w:rPr>
          <w:rFonts w:hint="eastAsia" w:ascii="宋体" w:hAnsi="宋体"/>
          <w:b/>
          <w:sz w:val="44"/>
          <w:szCs w:val="44"/>
        </w:rPr>
      </w:pPr>
    </w:p>
    <w:p>
      <w:pPr>
        <w:jc w:val="center"/>
        <w:rPr>
          <w:rFonts w:ascii="宋体" w:hAnsi="宋体"/>
          <w:b/>
          <w:sz w:val="44"/>
          <w:szCs w:val="44"/>
        </w:rPr>
      </w:pPr>
    </w:p>
    <w:p>
      <w:pPr>
        <w:spacing w:line="520" w:lineRule="exact"/>
        <w:ind w:firstLine="640" w:firstLineChars="200"/>
        <w:jc w:val="left"/>
        <w:rPr>
          <w:rFonts w:hint="eastAsia" w:ascii="黑体" w:hAnsi="黑体" w:eastAsia="黑体"/>
          <w:sz w:val="32"/>
          <w:szCs w:val="32"/>
        </w:rPr>
      </w:pPr>
      <w:r>
        <w:rPr>
          <w:rFonts w:hint="eastAsia" w:ascii="仿宋" w:hAnsi="仿宋" w:eastAsia="仿宋" w:cs="仿宋_GB2312"/>
          <w:sz w:val="32"/>
          <w:szCs w:val="32"/>
        </w:rPr>
        <w:t>按照</w:t>
      </w:r>
      <w:r>
        <w:rPr>
          <w:rFonts w:hint="eastAsia" w:ascii="仿宋" w:hAnsi="仿宋" w:eastAsia="仿宋"/>
          <w:sz w:val="32"/>
          <w:szCs w:val="32"/>
        </w:rPr>
        <w:t>《地方预决算公开操作规程》和《河北省省级预算公开办法》</w:t>
      </w:r>
      <w:r>
        <w:rPr>
          <w:rFonts w:hint="eastAsia" w:ascii="仿宋" w:hAnsi="仿宋" w:eastAsia="仿宋" w:cs="仿宋_GB2312"/>
          <w:sz w:val="32"/>
          <w:szCs w:val="32"/>
        </w:rPr>
        <w:t>规定，现将中共保定市满城区纪律检查委员会2020年部门预算公开如下：</w:t>
      </w:r>
    </w:p>
    <w:p>
      <w:pPr>
        <w:numPr>
          <w:ilvl w:val="0"/>
          <w:numId w:val="1"/>
        </w:numPr>
        <w:spacing w:line="520" w:lineRule="exact"/>
        <w:ind w:firstLine="640" w:firstLineChars="200"/>
        <w:jc w:val="center"/>
        <w:rPr>
          <w:rFonts w:hint="eastAsia" w:ascii="黑体" w:hAnsi="黑体" w:eastAsia="黑体"/>
          <w:sz w:val="32"/>
          <w:szCs w:val="32"/>
        </w:rPr>
      </w:pPr>
      <w:r>
        <w:rPr>
          <w:rFonts w:hint="eastAsia" w:ascii="黑体" w:hAnsi="黑体" w:eastAsia="黑体"/>
          <w:sz w:val="32"/>
          <w:szCs w:val="32"/>
        </w:rPr>
        <w:t>分:部门职责及机构设置情况</w:t>
      </w:r>
    </w:p>
    <w:p>
      <w:pPr>
        <w:ind w:firstLine="560"/>
        <w:rPr>
          <w:rFonts w:hint="eastAsia" w:ascii="宋体" w:hAnsi="宋体" w:cs="宋体"/>
          <w:sz w:val="32"/>
          <w:szCs w:val="32"/>
        </w:rPr>
      </w:pPr>
      <w:r>
        <w:rPr>
          <w:rFonts w:hint="eastAsia" w:ascii="宋体" w:hAnsi="宋体" w:cs="宋体"/>
          <w:sz w:val="32"/>
          <w:szCs w:val="32"/>
        </w:rPr>
        <w:t>一、部门职责：</w:t>
      </w:r>
    </w:p>
    <w:p>
      <w:pPr>
        <w:ind w:firstLine="560"/>
        <w:rPr>
          <w:rFonts w:hint="eastAsia" w:ascii="仿宋_GB2312" w:hAnsi="仿宋" w:eastAsia="仿宋_GB2312" w:cs="仿宋_GB2312"/>
          <w:sz w:val="32"/>
          <w:szCs w:val="32"/>
        </w:rPr>
      </w:pPr>
      <w:r>
        <w:rPr>
          <w:rFonts w:hint="eastAsia" w:ascii="仿宋_GB2312" w:hAnsi="仿宋" w:eastAsia="仿宋_GB2312" w:cs="仿宋_GB2312"/>
          <w:sz w:val="32"/>
          <w:szCs w:val="32"/>
        </w:rPr>
        <w:t>（一）办案问责</w:t>
      </w:r>
    </w:p>
    <w:p>
      <w:pPr>
        <w:ind w:firstLine="560"/>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1.1 线索管理  受理信访、举报，集中管理问题线索。线索管理规范有序、处置合理，为案件查办奠定基础。</w:t>
      </w:r>
    </w:p>
    <w:p>
      <w:pPr>
        <w:ind w:firstLine="560"/>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1.2案件查办  对有关对象违反党纪政纪和违纪违法行为进行调查处理。组织协调案件查办工作。严肃查处各项违纪违法案件，坚决维护党纪国法尊严。</w:t>
      </w:r>
    </w:p>
    <w:p>
      <w:pPr>
        <w:ind w:firstLine="560"/>
        <w:rPr>
          <w:rFonts w:hint="eastAsia" w:ascii="仿宋_GB2312" w:hAnsi="仿宋" w:eastAsia="仿宋_GB2312" w:cs="仿宋_GB2312"/>
          <w:sz w:val="32"/>
          <w:szCs w:val="32"/>
        </w:rPr>
      </w:pPr>
      <w:r>
        <w:rPr>
          <w:rFonts w:hint="eastAsia" w:ascii="仿宋_GB2312" w:hAnsi="仿宋" w:eastAsia="仿宋_GB2312" w:cs="仿宋_GB2312"/>
          <w:sz w:val="32"/>
          <w:szCs w:val="32"/>
        </w:rPr>
        <w:t>（二）党风廉政建设</w:t>
      </w:r>
    </w:p>
    <w:p>
      <w:pPr>
        <w:ind w:firstLine="560"/>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2.1反腐倡廉宣传教育  组织协调全区党风廉政建设和反腐败宣传教育工作，开展对党员、公务员的廉洁自律教育。充分发挥正面典型的示范作用和反面典型的警示作用，促进各级干部廉洁从政。</w:t>
      </w:r>
    </w:p>
    <w:p>
      <w:pPr>
        <w:ind w:firstLine="560"/>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2.2预防腐败工作  认真查找腐败问题易发多发的重点领域和关键环节，研究分析腐败现象的规律，制定针对性强的防控措施。</w:t>
      </w:r>
    </w:p>
    <w:p>
      <w:pPr>
        <w:ind w:firstLine="560"/>
        <w:rPr>
          <w:rFonts w:hint="eastAsia" w:ascii="仿宋_GB2312" w:hAnsi="仿宋" w:eastAsia="仿宋_GB2312" w:cs="仿宋_GB2312"/>
          <w:sz w:val="32"/>
          <w:szCs w:val="32"/>
        </w:rPr>
      </w:pPr>
      <w:r>
        <w:rPr>
          <w:rFonts w:hint="eastAsia" w:ascii="仿宋_GB2312" w:hAnsi="仿宋" w:eastAsia="仿宋_GB2312" w:cs="仿宋_GB2312"/>
          <w:sz w:val="32"/>
          <w:szCs w:val="32"/>
        </w:rPr>
        <w:t>（三）监督检查及巡视督查</w:t>
      </w:r>
    </w:p>
    <w:p>
      <w:pPr>
        <w:ind w:firstLine="560"/>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3.1监督检查  监督检查党内法规政策、国家法律法规、党风廉政建设等的执行情况；履行区政府纠正行业不正之风办公室职能；贯彻落实区委有关部署，开展常态化全覆盖监督。加大问责力度，促进“两个责任”有效落实。</w:t>
      </w:r>
    </w:p>
    <w:p>
      <w:pPr>
        <w:ind w:firstLine="560"/>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3.2巡视监督  做好市委巡视组、区委巡视工作联络组的服务保障工作。研究开展驻点巡查工作，探索工作规律，发现工作问题，提出改进措施。巡视监督常态化、全覆盖。</w:t>
      </w:r>
    </w:p>
    <w:p>
      <w:pPr>
        <w:ind w:firstLine="560"/>
        <w:rPr>
          <w:rFonts w:hint="eastAsia" w:ascii="仿宋_GB2312" w:hAnsi="仿宋" w:eastAsia="仿宋_GB2312" w:cs="仿宋_GB2312"/>
          <w:sz w:val="32"/>
          <w:szCs w:val="32"/>
        </w:rPr>
      </w:pPr>
      <w:r>
        <w:rPr>
          <w:rFonts w:hint="eastAsia" w:ascii="仿宋_GB2312" w:hAnsi="仿宋" w:eastAsia="仿宋_GB2312" w:cs="仿宋_GB2312"/>
          <w:sz w:val="32"/>
          <w:szCs w:val="32"/>
        </w:rPr>
        <w:t>（四）派驻纪检监察机构管理</w:t>
      </w:r>
    </w:p>
    <w:p>
      <w:pPr>
        <w:ind w:firstLine="560"/>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4.1派驻纪检监察机构管理  加强派驻机构建设，提高发现问题、案件查办、监督检查工作能力。</w:t>
      </w:r>
    </w:p>
    <w:p>
      <w:pPr>
        <w:ind w:firstLine="560"/>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4.2干部教育培训  提高全市纪检监察系统干部队伍能力素质，打造反腐倡廉铁军。</w:t>
      </w:r>
    </w:p>
    <w:p>
      <w:pPr>
        <w:ind w:firstLine="560"/>
        <w:rPr>
          <w:rFonts w:hint="eastAsia" w:ascii="仿宋_GB2312" w:hAnsi="仿宋" w:eastAsia="仿宋_GB2312" w:cs="仿宋_GB2312"/>
          <w:sz w:val="32"/>
          <w:szCs w:val="32"/>
        </w:rPr>
      </w:pPr>
      <w:r>
        <w:rPr>
          <w:rFonts w:hint="eastAsia" w:ascii="仿宋_GB2312" w:hAnsi="仿宋" w:eastAsia="仿宋_GB2312" w:cs="仿宋_GB2312"/>
          <w:sz w:val="32"/>
          <w:szCs w:val="32"/>
        </w:rPr>
        <w:t>（五）纪检事务管理</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 xml:space="preserve"> 5.1综合事务管理  为案件查办、纪检监察业务、党风廉政建设提高服务和保障。</w:t>
      </w:r>
    </w:p>
    <w:p>
      <w:pPr>
        <w:spacing w:line="620" w:lineRule="exact"/>
        <w:ind w:firstLine="640" w:firstLineChars="200"/>
        <w:rPr>
          <w:rFonts w:hint="eastAsia" w:ascii="宋体" w:hAnsi="宋体"/>
          <w:bCs/>
          <w:sz w:val="32"/>
          <w:szCs w:val="32"/>
        </w:rPr>
      </w:pPr>
      <w:r>
        <w:rPr>
          <w:rFonts w:hint="eastAsia" w:ascii="宋体" w:hAnsi="宋体"/>
          <w:bCs/>
          <w:sz w:val="32"/>
          <w:szCs w:val="32"/>
        </w:rPr>
        <w:t>二、机构设置</w:t>
      </w:r>
    </w:p>
    <w:p>
      <w:pPr>
        <w:spacing w:line="620" w:lineRule="exact"/>
        <w:jc w:val="center"/>
        <w:rPr>
          <w:rFonts w:hint="eastAsia" w:ascii="黑体" w:hAnsi="黑体" w:eastAsia="黑体"/>
          <w:b/>
          <w:bCs/>
          <w:sz w:val="32"/>
          <w:szCs w:val="32"/>
        </w:rPr>
      </w:pPr>
      <w:r>
        <w:rPr>
          <w:rFonts w:hint="eastAsia" w:ascii="黑体" w:hAnsi="黑体" w:eastAsia="黑体"/>
          <w:b/>
          <w:bCs/>
          <w:sz w:val="32"/>
          <w:szCs w:val="32"/>
        </w:rPr>
        <w:t>部门机构设置情况</w:t>
      </w:r>
    </w:p>
    <w:p>
      <w:pPr>
        <w:spacing w:line="620" w:lineRule="exact"/>
        <w:ind w:firstLine="482" w:firstLineChars="200"/>
        <w:rPr>
          <w:rFonts w:hint="eastAsia" w:ascii="宋体" w:hAnsi="宋体" w:cs="宋体"/>
          <w:b/>
          <w:bCs/>
          <w:sz w:val="24"/>
          <w:szCs w:val="24"/>
        </w:rPr>
      </w:pPr>
      <w:r>
        <w:rPr>
          <w:rFonts w:hint="eastAsia" w:ascii="宋体" w:hAnsi="宋体" w:cs="宋体"/>
          <w:b/>
          <w:bCs/>
          <w:sz w:val="24"/>
          <w:szCs w:val="24"/>
        </w:rPr>
        <w:t>161保定高新区法院</w:t>
      </w:r>
    </w:p>
    <w:tbl>
      <w:tblPr>
        <w:tblStyle w:val="7"/>
        <w:tblW w:w="862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2"/>
        <w:gridCol w:w="2867"/>
        <w:gridCol w:w="1744"/>
        <w:gridCol w:w="1330"/>
        <w:gridCol w:w="18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852" w:type="dxa"/>
            <w:vMerge w:val="restart"/>
            <w:tcBorders>
              <w:right w:val="single" w:color="auto" w:sz="4" w:space="0"/>
            </w:tcBorders>
            <w:noWrap w:val="0"/>
            <w:vAlign w:val="center"/>
          </w:tcPr>
          <w:p>
            <w:pPr>
              <w:spacing w:line="300" w:lineRule="exact"/>
              <w:jc w:val="center"/>
              <w:rPr>
                <w:rFonts w:hint="eastAsia" w:ascii="宋体" w:hAnsi="宋体" w:cs="宋体"/>
                <w:b/>
                <w:sz w:val="24"/>
                <w:szCs w:val="24"/>
              </w:rPr>
            </w:pPr>
            <w:r>
              <w:rPr>
                <w:rFonts w:hint="eastAsia" w:ascii="宋体" w:hAnsi="宋体" w:cs="宋体"/>
                <w:b/>
                <w:sz w:val="24"/>
                <w:szCs w:val="24"/>
              </w:rPr>
              <w:t>序号</w:t>
            </w:r>
          </w:p>
        </w:tc>
        <w:tc>
          <w:tcPr>
            <w:tcW w:w="2867" w:type="dxa"/>
            <w:vMerge w:val="restart"/>
            <w:tcBorders>
              <w:left w:val="single" w:color="auto" w:sz="4" w:space="0"/>
            </w:tcBorders>
            <w:noWrap w:val="0"/>
            <w:vAlign w:val="center"/>
          </w:tcPr>
          <w:p>
            <w:pPr>
              <w:spacing w:line="300" w:lineRule="exact"/>
              <w:jc w:val="center"/>
              <w:rPr>
                <w:rFonts w:hint="eastAsia" w:ascii="宋体" w:hAnsi="宋体" w:cs="宋体"/>
                <w:b/>
                <w:sz w:val="24"/>
                <w:szCs w:val="24"/>
              </w:rPr>
            </w:pPr>
            <w:r>
              <w:rPr>
                <w:rFonts w:hint="eastAsia" w:ascii="宋体" w:hAnsi="宋体" w:cs="宋体"/>
                <w:b/>
                <w:sz w:val="24"/>
                <w:szCs w:val="24"/>
              </w:rPr>
              <w:t>单位名称</w:t>
            </w:r>
          </w:p>
        </w:tc>
        <w:tc>
          <w:tcPr>
            <w:tcW w:w="1744" w:type="dxa"/>
            <w:vMerge w:val="restart"/>
            <w:noWrap w:val="0"/>
            <w:vAlign w:val="center"/>
          </w:tcPr>
          <w:p>
            <w:pPr>
              <w:spacing w:line="300" w:lineRule="exact"/>
              <w:jc w:val="center"/>
              <w:rPr>
                <w:rFonts w:hint="eastAsia" w:ascii="宋体" w:hAnsi="宋体" w:cs="宋体"/>
                <w:b/>
                <w:sz w:val="24"/>
                <w:szCs w:val="24"/>
              </w:rPr>
            </w:pPr>
            <w:r>
              <w:rPr>
                <w:rFonts w:hint="eastAsia" w:ascii="宋体" w:hAnsi="宋体" w:cs="宋体"/>
                <w:b/>
                <w:sz w:val="24"/>
                <w:szCs w:val="24"/>
              </w:rPr>
              <w:t>单位性质</w:t>
            </w:r>
          </w:p>
        </w:tc>
        <w:tc>
          <w:tcPr>
            <w:tcW w:w="1330" w:type="dxa"/>
            <w:vMerge w:val="restart"/>
            <w:noWrap w:val="0"/>
            <w:vAlign w:val="center"/>
          </w:tcPr>
          <w:p>
            <w:pPr>
              <w:spacing w:line="300" w:lineRule="exact"/>
              <w:jc w:val="center"/>
              <w:rPr>
                <w:rFonts w:hint="eastAsia" w:ascii="宋体" w:hAnsi="宋体" w:cs="宋体"/>
                <w:b/>
                <w:sz w:val="24"/>
                <w:szCs w:val="24"/>
              </w:rPr>
            </w:pPr>
            <w:r>
              <w:rPr>
                <w:rFonts w:hint="eastAsia" w:ascii="宋体" w:hAnsi="宋体" w:cs="宋体"/>
                <w:b/>
                <w:sz w:val="24"/>
                <w:szCs w:val="24"/>
              </w:rPr>
              <w:t>单位规格</w:t>
            </w:r>
          </w:p>
        </w:tc>
        <w:tc>
          <w:tcPr>
            <w:tcW w:w="1834" w:type="dxa"/>
            <w:vMerge w:val="restart"/>
            <w:noWrap w:val="0"/>
            <w:vAlign w:val="center"/>
          </w:tcPr>
          <w:p>
            <w:pPr>
              <w:spacing w:line="300" w:lineRule="exact"/>
              <w:jc w:val="center"/>
              <w:rPr>
                <w:rFonts w:hint="eastAsia" w:ascii="宋体" w:hAnsi="宋体" w:cs="宋体"/>
                <w:b/>
                <w:sz w:val="24"/>
                <w:szCs w:val="24"/>
              </w:rPr>
            </w:pPr>
            <w:r>
              <w:rPr>
                <w:rFonts w:hint="eastAsia" w:ascii="宋体" w:hAnsi="宋体" w:cs="宋体"/>
                <w:b/>
                <w:sz w:val="24"/>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9" w:hRule="atLeast"/>
          <w:tblHeader/>
          <w:jc w:val="center"/>
        </w:trPr>
        <w:tc>
          <w:tcPr>
            <w:tcW w:w="852" w:type="dxa"/>
            <w:vMerge w:val="continue"/>
            <w:tcBorders>
              <w:bottom w:val="single" w:color="000000" w:sz="6" w:space="0"/>
              <w:right w:val="single" w:color="auto" w:sz="4" w:space="0"/>
            </w:tcBorders>
            <w:noWrap w:val="0"/>
            <w:vAlign w:val="center"/>
          </w:tcPr>
          <w:p>
            <w:pPr>
              <w:spacing w:line="300" w:lineRule="exact"/>
              <w:jc w:val="left"/>
              <w:outlineLvl w:val="0"/>
              <w:rPr>
                <w:rFonts w:hint="eastAsia" w:ascii="宋体" w:hAnsi="宋体" w:cs="宋体"/>
                <w:sz w:val="24"/>
                <w:szCs w:val="24"/>
              </w:rPr>
            </w:pPr>
          </w:p>
        </w:tc>
        <w:tc>
          <w:tcPr>
            <w:tcW w:w="2867" w:type="dxa"/>
            <w:vMerge w:val="continue"/>
            <w:tcBorders>
              <w:left w:val="single" w:color="auto" w:sz="4" w:space="0"/>
              <w:bottom w:val="single" w:color="000000" w:sz="6" w:space="0"/>
            </w:tcBorders>
            <w:noWrap w:val="0"/>
            <w:vAlign w:val="center"/>
          </w:tcPr>
          <w:p>
            <w:pPr>
              <w:spacing w:line="300" w:lineRule="exact"/>
              <w:jc w:val="center"/>
              <w:rPr>
                <w:rFonts w:hint="eastAsia" w:ascii="宋体" w:hAnsi="宋体" w:cs="宋体"/>
                <w:sz w:val="24"/>
                <w:szCs w:val="24"/>
              </w:rPr>
            </w:pPr>
            <w:r>
              <w:rPr>
                <w:rFonts w:hint="eastAsia" w:ascii="宋体" w:hAnsi="宋体" w:cs="宋体"/>
                <w:b/>
                <w:sz w:val="24"/>
                <w:szCs w:val="24"/>
              </w:rPr>
              <w:t>合    计</w:t>
            </w:r>
          </w:p>
        </w:tc>
        <w:tc>
          <w:tcPr>
            <w:tcW w:w="1744" w:type="dxa"/>
            <w:vMerge w:val="continue"/>
            <w:tcBorders>
              <w:bottom w:val="single" w:color="000000" w:sz="6" w:space="0"/>
            </w:tcBorders>
            <w:noWrap w:val="0"/>
            <w:vAlign w:val="center"/>
          </w:tcPr>
          <w:p>
            <w:pPr>
              <w:spacing w:line="300" w:lineRule="exact"/>
              <w:jc w:val="left"/>
              <w:outlineLvl w:val="0"/>
              <w:rPr>
                <w:rFonts w:hint="eastAsia" w:ascii="宋体" w:hAnsi="宋体" w:cs="宋体"/>
                <w:sz w:val="24"/>
                <w:szCs w:val="24"/>
              </w:rPr>
            </w:pPr>
          </w:p>
        </w:tc>
        <w:tc>
          <w:tcPr>
            <w:tcW w:w="1330" w:type="dxa"/>
            <w:vMerge w:val="continue"/>
            <w:tcBorders>
              <w:bottom w:val="single" w:color="000000" w:sz="6" w:space="0"/>
            </w:tcBorders>
            <w:noWrap w:val="0"/>
            <w:vAlign w:val="center"/>
          </w:tcPr>
          <w:p>
            <w:pPr>
              <w:spacing w:line="300" w:lineRule="exact"/>
              <w:jc w:val="left"/>
              <w:outlineLvl w:val="0"/>
              <w:rPr>
                <w:rFonts w:hint="eastAsia" w:ascii="宋体" w:hAnsi="宋体" w:cs="宋体"/>
                <w:sz w:val="24"/>
                <w:szCs w:val="24"/>
              </w:rPr>
            </w:pPr>
          </w:p>
        </w:tc>
        <w:tc>
          <w:tcPr>
            <w:tcW w:w="1834" w:type="dxa"/>
            <w:vMerge w:val="continue"/>
            <w:tcBorders>
              <w:bottom w:val="single" w:color="000000" w:sz="6" w:space="0"/>
            </w:tcBorders>
            <w:noWrap w:val="0"/>
            <w:vAlign w:val="center"/>
          </w:tcPr>
          <w:p>
            <w:pPr>
              <w:spacing w:line="300" w:lineRule="exact"/>
              <w:jc w:val="left"/>
              <w:outlineLvl w:val="0"/>
              <w:rPr>
                <w:rFonts w:hint="eastAsia" w:ascii="宋体" w:hAnsi="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7" w:hRule="atLeast"/>
          <w:jc w:val="center"/>
        </w:trPr>
        <w:tc>
          <w:tcPr>
            <w:tcW w:w="852" w:type="dxa"/>
            <w:tcBorders>
              <w:right w:val="single" w:color="auto" w:sz="4" w:space="0"/>
            </w:tcBorders>
            <w:noWrap w:val="0"/>
            <w:vAlign w:val="center"/>
          </w:tcPr>
          <w:p>
            <w:pPr>
              <w:spacing w:line="300" w:lineRule="exact"/>
              <w:jc w:val="center"/>
              <w:rPr>
                <w:rFonts w:hint="eastAsia" w:ascii="宋体" w:hAnsi="宋体" w:cs="宋体"/>
                <w:sz w:val="24"/>
                <w:szCs w:val="24"/>
              </w:rPr>
            </w:pPr>
            <w:r>
              <w:rPr>
                <w:rFonts w:hint="eastAsia" w:ascii="宋体" w:hAnsi="宋体" w:cs="宋体"/>
                <w:sz w:val="24"/>
                <w:szCs w:val="24"/>
              </w:rPr>
              <w:t>1</w:t>
            </w:r>
          </w:p>
        </w:tc>
        <w:tc>
          <w:tcPr>
            <w:tcW w:w="2867" w:type="dxa"/>
            <w:tcBorders>
              <w:left w:val="single" w:color="auto" w:sz="4" w:space="0"/>
            </w:tcBorders>
            <w:noWrap w:val="0"/>
            <w:vAlign w:val="center"/>
          </w:tcPr>
          <w:p>
            <w:pPr>
              <w:spacing w:line="300" w:lineRule="exact"/>
              <w:jc w:val="center"/>
              <w:rPr>
                <w:rFonts w:hint="eastAsia" w:ascii="宋体" w:hAnsi="宋体" w:cs="宋体"/>
                <w:sz w:val="24"/>
                <w:szCs w:val="24"/>
              </w:rPr>
            </w:pPr>
            <w:r>
              <w:rPr>
                <w:rFonts w:hint="eastAsia" w:ascii="宋体" w:hAnsi="宋体" w:cs="宋体"/>
                <w:sz w:val="24"/>
                <w:szCs w:val="24"/>
              </w:rPr>
              <w:t>中共保定市满城区纪律检查委员会</w:t>
            </w:r>
          </w:p>
        </w:tc>
        <w:tc>
          <w:tcPr>
            <w:tcW w:w="1744" w:type="dxa"/>
            <w:noWrap w:val="0"/>
            <w:vAlign w:val="center"/>
          </w:tcPr>
          <w:p>
            <w:pPr>
              <w:spacing w:line="300" w:lineRule="exact"/>
              <w:jc w:val="center"/>
              <w:rPr>
                <w:rFonts w:hint="eastAsia" w:ascii="宋体" w:hAnsi="宋体" w:cs="宋体"/>
                <w:sz w:val="24"/>
                <w:szCs w:val="24"/>
              </w:rPr>
            </w:pPr>
            <w:r>
              <w:rPr>
                <w:rFonts w:hint="eastAsia" w:ascii="宋体" w:hAnsi="宋体" w:cs="宋体"/>
                <w:sz w:val="24"/>
                <w:szCs w:val="24"/>
              </w:rPr>
              <w:t>行政</w:t>
            </w:r>
          </w:p>
        </w:tc>
        <w:tc>
          <w:tcPr>
            <w:tcW w:w="1330" w:type="dxa"/>
            <w:noWrap w:val="0"/>
            <w:vAlign w:val="center"/>
          </w:tcPr>
          <w:p>
            <w:pPr>
              <w:spacing w:line="300" w:lineRule="exact"/>
              <w:jc w:val="center"/>
              <w:rPr>
                <w:rFonts w:hint="eastAsia" w:ascii="宋体" w:hAnsi="宋体" w:cs="宋体"/>
                <w:sz w:val="24"/>
                <w:szCs w:val="24"/>
              </w:rPr>
            </w:pPr>
            <w:r>
              <w:rPr>
                <w:rFonts w:hint="eastAsia" w:ascii="宋体" w:hAnsi="宋体" w:cs="宋体"/>
                <w:sz w:val="24"/>
                <w:szCs w:val="24"/>
              </w:rPr>
              <w:t>正科级</w:t>
            </w:r>
          </w:p>
        </w:tc>
        <w:tc>
          <w:tcPr>
            <w:tcW w:w="1834" w:type="dxa"/>
            <w:noWrap w:val="0"/>
            <w:vAlign w:val="center"/>
          </w:tcPr>
          <w:p>
            <w:pPr>
              <w:spacing w:line="300" w:lineRule="exact"/>
              <w:jc w:val="center"/>
              <w:rPr>
                <w:rFonts w:hint="eastAsia" w:ascii="宋体" w:hAnsi="宋体" w:cs="宋体"/>
                <w:sz w:val="24"/>
                <w:szCs w:val="24"/>
              </w:rPr>
            </w:pPr>
            <w:r>
              <w:rPr>
                <w:rFonts w:hint="eastAsia" w:ascii="宋体" w:hAnsi="宋体" w:cs="宋体"/>
                <w:sz w:val="24"/>
                <w:szCs w:val="24"/>
              </w:rPr>
              <w:t>财政拨款</w:t>
            </w:r>
          </w:p>
        </w:tc>
      </w:tr>
    </w:tbl>
    <w:p>
      <w:pPr>
        <w:rPr>
          <w:rFonts w:hint="eastAsia" w:ascii="方正楷体_GBK" w:eastAsia="方正楷体_GBK"/>
          <w:b/>
          <w:sz w:val="28"/>
        </w:rPr>
      </w:pPr>
    </w:p>
    <w:p>
      <w:pPr>
        <w:rPr>
          <w:rFonts w:hint="eastAsia" w:ascii="方正楷体_GBK" w:eastAsia="方正楷体_GBK"/>
          <w:b/>
          <w:sz w:val="28"/>
        </w:rPr>
      </w:pPr>
    </w:p>
    <w:p>
      <w:pPr>
        <w:jc w:val="center"/>
        <w:rPr>
          <w:rFonts w:hint="eastAsia" w:ascii="黑体" w:hAnsi="黑体" w:eastAsia="黑体"/>
          <w:sz w:val="32"/>
          <w:szCs w:val="32"/>
        </w:rPr>
      </w:pPr>
      <w:r>
        <w:rPr>
          <w:rFonts w:hint="eastAsia" w:ascii="黑体" w:hAnsi="黑体" w:eastAsia="黑体"/>
          <w:b/>
          <w:sz w:val="32"/>
          <w:szCs w:val="32"/>
        </w:rPr>
        <w:t xml:space="preserve">第二部分  </w:t>
      </w:r>
      <w:r>
        <w:rPr>
          <w:rFonts w:hint="eastAsia" w:ascii="黑体" w:hAnsi="黑体" w:eastAsia="黑体"/>
          <w:sz w:val="32"/>
          <w:szCs w:val="32"/>
        </w:rPr>
        <w:t>部门预算安排的总体情况</w:t>
      </w:r>
    </w:p>
    <w:p>
      <w:pPr>
        <w:rPr>
          <w:rFonts w:hint="eastAsia" w:ascii="仿宋" w:hAnsi="仿宋" w:eastAsia="仿宋"/>
          <w:sz w:val="32"/>
          <w:szCs w:val="32"/>
        </w:rPr>
      </w:pP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一、2020年部门预算收入情况</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2020年我单位年初部门收入预算总额为1329.74万元。</w:t>
      </w:r>
    </w:p>
    <w:p>
      <w:pPr>
        <w:ind w:firstLine="640" w:firstLineChars="200"/>
        <w:rPr>
          <w:rFonts w:hint="eastAsia" w:ascii="仿宋" w:hAnsi="仿宋" w:eastAsia="仿宋"/>
          <w:sz w:val="32"/>
          <w:szCs w:val="32"/>
        </w:rPr>
      </w:pPr>
      <w:r>
        <w:rPr>
          <w:rFonts w:hint="eastAsia" w:ascii="仿宋" w:hAnsi="仿宋" w:eastAsia="仿宋"/>
          <w:sz w:val="32"/>
          <w:szCs w:val="32"/>
        </w:rPr>
        <w:t>其中：一般公共预算收入1329.74万元。</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二、2020年部门预算支出情况</w:t>
      </w:r>
    </w:p>
    <w:p>
      <w:pPr>
        <w:ind w:firstLine="640" w:firstLineChars="200"/>
        <w:rPr>
          <w:rFonts w:hint="eastAsia" w:ascii="仿宋" w:hAnsi="仿宋" w:eastAsia="仿宋"/>
          <w:sz w:val="32"/>
          <w:szCs w:val="32"/>
        </w:rPr>
      </w:pPr>
      <w:r>
        <w:rPr>
          <w:rFonts w:hint="eastAsia" w:ascii="仿宋" w:hAnsi="仿宋" w:eastAsia="仿宋"/>
          <w:sz w:val="32"/>
          <w:szCs w:val="32"/>
        </w:rPr>
        <w:t>2020年部门支出安排预算总额：1329.74万元</w:t>
      </w:r>
    </w:p>
    <w:p>
      <w:pPr>
        <w:spacing w:line="480" w:lineRule="auto"/>
        <w:ind w:firstLine="640" w:firstLineChars="200"/>
        <w:rPr>
          <w:rFonts w:hint="eastAsia" w:ascii="仿宋_GB2312" w:hAnsi="仿宋" w:eastAsia="仿宋_GB2312" w:cs="仿宋_GB2312"/>
          <w:sz w:val="32"/>
          <w:szCs w:val="32"/>
        </w:rPr>
      </w:pPr>
      <w:r>
        <w:rPr>
          <w:rFonts w:hint="eastAsia" w:ascii="仿宋" w:hAnsi="仿宋" w:eastAsia="仿宋"/>
          <w:sz w:val="32"/>
          <w:szCs w:val="32"/>
        </w:rPr>
        <w:t>基本支出：1257.14万元</w:t>
      </w:r>
    </w:p>
    <w:p>
      <w:pPr>
        <w:ind w:firstLine="1280" w:firstLineChars="400"/>
        <w:rPr>
          <w:rFonts w:hint="eastAsia" w:ascii="仿宋" w:hAnsi="仿宋" w:eastAsia="仿宋"/>
          <w:sz w:val="32"/>
          <w:szCs w:val="32"/>
        </w:rPr>
      </w:pPr>
      <w:r>
        <w:rPr>
          <w:rFonts w:hint="eastAsia" w:ascii="仿宋" w:hAnsi="仿宋" w:eastAsia="仿宋"/>
          <w:sz w:val="32"/>
          <w:szCs w:val="32"/>
        </w:rPr>
        <w:t>其中：人员经费     1021.18万元</w:t>
      </w:r>
    </w:p>
    <w:p>
      <w:pPr>
        <w:ind w:firstLine="640" w:firstLineChars="200"/>
        <w:rPr>
          <w:rFonts w:hint="eastAsia" w:ascii="仿宋" w:hAnsi="仿宋" w:eastAsia="仿宋"/>
          <w:sz w:val="32"/>
          <w:szCs w:val="32"/>
        </w:rPr>
      </w:pPr>
      <w:r>
        <w:rPr>
          <w:rFonts w:hint="eastAsia" w:ascii="仿宋" w:hAnsi="仿宋" w:eastAsia="仿宋"/>
          <w:sz w:val="32"/>
          <w:szCs w:val="32"/>
        </w:rPr>
        <w:t xml:space="preserve">         日常公用经费   235.96万元</w:t>
      </w:r>
    </w:p>
    <w:p>
      <w:pPr>
        <w:ind w:firstLine="640" w:firstLineChars="200"/>
        <w:rPr>
          <w:rFonts w:hint="eastAsia" w:ascii="仿宋" w:hAnsi="仿宋" w:eastAsia="仿宋"/>
          <w:sz w:val="32"/>
          <w:szCs w:val="32"/>
        </w:rPr>
      </w:pPr>
      <w:r>
        <w:rPr>
          <w:rFonts w:hint="eastAsia" w:ascii="仿宋" w:hAnsi="仿宋" w:eastAsia="仿宋"/>
          <w:sz w:val="32"/>
          <w:szCs w:val="32"/>
        </w:rPr>
        <w:t>项目支出：72.6万元</w:t>
      </w:r>
    </w:p>
    <w:p>
      <w:pPr>
        <w:ind w:firstLine="960" w:firstLineChars="300"/>
        <w:rPr>
          <w:rFonts w:hint="eastAsia" w:ascii="仿宋" w:hAnsi="仿宋" w:eastAsia="仿宋"/>
          <w:sz w:val="32"/>
          <w:szCs w:val="32"/>
        </w:rPr>
      </w:pPr>
      <w:r>
        <w:rPr>
          <w:rFonts w:hint="eastAsia" w:ascii="仿宋" w:hAnsi="仿宋" w:eastAsia="仿宋"/>
          <w:sz w:val="32"/>
          <w:szCs w:val="32"/>
        </w:rPr>
        <w:t xml:space="preserve"> 其中：本级支出 72.6万元</w:t>
      </w:r>
    </w:p>
    <w:p>
      <w:pPr>
        <w:tabs>
          <w:tab w:val="left" w:pos="916"/>
        </w:tabs>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三、与上年增减情况</w:t>
      </w:r>
    </w:p>
    <w:p>
      <w:pPr>
        <w:tabs>
          <w:tab w:val="left" w:pos="916"/>
        </w:tabs>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本年度预算收支安排1329.74万元，较上年增加414.6万元。其中:基本支出增加343.6万元，其中人员经费增加312.41万元，日常公用经费增加31.19万元，主要原因是我委新增16名检察院转隶干部及巡察办11人，工资项目和与人员有关的日常公用经费都有所增加。项目支出增加71万元，主要原因是</w:t>
      </w:r>
      <w:r>
        <w:rPr>
          <w:rFonts w:hint="eastAsia" w:ascii="仿宋_GB2312" w:hAnsi="仿宋" w:eastAsia="仿宋_GB2312" w:cs="仿宋_GB2312"/>
          <w:sz w:val="32"/>
          <w:szCs w:val="32"/>
        </w:rPr>
        <w:t>按照冀纪字【2018】15号文《关于进一步加强乡镇纪检组织建设的指导意见》和中共保定市纪委《关于进一步加强乡镇纪检组织规范化建设的通知（【2019】-3）的文件要求，全区乡镇纪委的日常办公经费、办案经费原则上纳入区纪委监委预算。2020年全区11个乡镇纪委日常办公经费、办案经费均纳入了区纪委监委预算。</w:t>
      </w:r>
    </w:p>
    <w:p>
      <w:pPr>
        <w:jc w:val="center"/>
        <w:rPr>
          <w:rFonts w:hint="eastAsia" w:ascii="黑体" w:hAnsi="黑体" w:eastAsia="黑体"/>
          <w:b/>
          <w:sz w:val="32"/>
          <w:szCs w:val="32"/>
        </w:rPr>
      </w:pPr>
    </w:p>
    <w:p>
      <w:pPr>
        <w:jc w:val="center"/>
        <w:rPr>
          <w:rFonts w:hint="eastAsia" w:ascii="黑体" w:hAnsi="黑体" w:eastAsia="黑体"/>
          <w:sz w:val="32"/>
          <w:szCs w:val="32"/>
        </w:rPr>
      </w:pPr>
      <w:r>
        <w:rPr>
          <w:rFonts w:hint="eastAsia" w:ascii="黑体" w:hAnsi="黑体" w:eastAsia="黑体"/>
          <w:b/>
          <w:sz w:val="32"/>
          <w:szCs w:val="32"/>
        </w:rPr>
        <w:t>第三部分 ：</w:t>
      </w:r>
      <w:r>
        <w:rPr>
          <w:rFonts w:hint="eastAsia" w:ascii="黑体" w:hAnsi="黑体" w:eastAsia="黑体"/>
          <w:sz w:val="32"/>
          <w:szCs w:val="32"/>
        </w:rPr>
        <w:t>机关运行经费安排情况</w:t>
      </w:r>
    </w:p>
    <w:p>
      <w:pPr>
        <w:spacing w:line="500" w:lineRule="exact"/>
        <w:ind w:firstLine="627" w:firstLineChars="196"/>
        <w:jc w:val="left"/>
        <w:outlineLvl w:val="0"/>
        <w:rPr>
          <w:rFonts w:hint="eastAsia" w:ascii="仿宋_GB2312" w:hAnsi="仿宋" w:eastAsia="仿宋_GB2312" w:cs="仿宋_GB2312"/>
          <w:sz w:val="32"/>
          <w:szCs w:val="32"/>
        </w:rPr>
      </w:pPr>
      <w:r>
        <w:rPr>
          <w:rFonts w:hint="eastAsia" w:ascii="仿宋_GB2312" w:hAnsi="仿宋" w:eastAsia="仿宋_GB2312" w:cs="仿宋_GB2312"/>
          <w:sz w:val="32"/>
          <w:szCs w:val="32"/>
        </w:rPr>
        <w:t>保定市满城区纪委监委部门2020年机关运行经费安排235.96万元，其中办公费4.98万元，邮电费35.28万元。公务用车运行维护费25万元，公务接待费0.85万元，其他交通费用51.6万元。其他商品和服务支出主要是办案经费118.25万元。</w:t>
      </w:r>
    </w:p>
    <w:p>
      <w:pPr>
        <w:numPr>
          <w:ilvl w:val="0"/>
          <w:numId w:val="2"/>
        </w:numPr>
        <w:spacing w:line="500" w:lineRule="exact"/>
        <w:jc w:val="center"/>
        <w:outlineLvl w:val="0"/>
        <w:rPr>
          <w:rFonts w:hint="eastAsia" w:ascii="黑体" w:hAnsi="黑体" w:eastAsia="黑体"/>
          <w:sz w:val="32"/>
          <w:szCs w:val="32"/>
        </w:rPr>
      </w:pPr>
      <w:r>
        <w:rPr>
          <w:rFonts w:hint="eastAsia" w:ascii="黑体" w:hAnsi="黑体" w:eastAsia="黑体"/>
          <w:b/>
          <w:sz w:val="32"/>
          <w:szCs w:val="32"/>
        </w:rPr>
        <w:t>：</w:t>
      </w:r>
      <w:r>
        <w:rPr>
          <w:rFonts w:hint="eastAsia" w:ascii="黑体" w:hAnsi="黑体" w:eastAsia="黑体"/>
          <w:sz w:val="32"/>
          <w:szCs w:val="32"/>
        </w:rPr>
        <w:t>财政拨款“三公”经费预算情况及增减变化原因</w:t>
      </w:r>
    </w:p>
    <w:p>
      <w:pPr>
        <w:widowControl/>
        <w:ind w:firstLine="1920" w:firstLineChars="600"/>
        <w:rPr>
          <w:rFonts w:hint="eastAsia" w:ascii="黑体" w:hAnsi="黑体" w:eastAsia="黑体"/>
          <w:sz w:val="32"/>
          <w:szCs w:val="32"/>
        </w:rPr>
      </w:pPr>
      <w:r>
        <w:rPr>
          <w:rFonts w:hint="eastAsia" w:ascii="黑体" w:hAnsi="黑体" w:eastAsia="黑体"/>
          <w:sz w:val="32"/>
          <w:szCs w:val="32"/>
        </w:rPr>
        <w:t>“三公”经费预算情况及增减变化原因</w:t>
      </w:r>
    </w:p>
    <w:p>
      <w:pPr>
        <w:ind w:firstLine="7680" w:firstLineChars="3200"/>
        <w:rPr>
          <w:rFonts w:hint="eastAsia" w:ascii="宋体" w:hAnsi="宋体" w:cs="宋体"/>
          <w:kern w:val="0"/>
          <w:sz w:val="24"/>
          <w:szCs w:val="24"/>
        </w:rPr>
      </w:pPr>
      <w:r>
        <w:rPr>
          <w:rFonts w:hint="eastAsia" w:ascii="宋体" w:hAnsi="宋体" w:cs="宋体"/>
          <w:kern w:val="0"/>
          <w:sz w:val="24"/>
          <w:szCs w:val="24"/>
        </w:rPr>
        <w:t>单位：万元</w:t>
      </w:r>
    </w:p>
    <w:tbl>
      <w:tblPr>
        <w:tblStyle w:val="7"/>
        <w:tblW w:w="8038" w:type="dxa"/>
        <w:tblInd w:w="658" w:type="dxa"/>
        <w:tblLayout w:type="fixed"/>
        <w:tblCellMar>
          <w:top w:w="0" w:type="dxa"/>
          <w:left w:w="108" w:type="dxa"/>
          <w:bottom w:w="0" w:type="dxa"/>
          <w:right w:w="108" w:type="dxa"/>
        </w:tblCellMar>
      </w:tblPr>
      <w:tblGrid>
        <w:gridCol w:w="1481"/>
        <w:gridCol w:w="1177"/>
        <w:gridCol w:w="1206"/>
        <w:gridCol w:w="978"/>
        <w:gridCol w:w="3196"/>
      </w:tblGrid>
      <w:tr>
        <w:tblPrEx>
          <w:tblCellMar>
            <w:top w:w="0" w:type="dxa"/>
            <w:left w:w="108" w:type="dxa"/>
            <w:bottom w:w="0" w:type="dxa"/>
            <w:right w:w="108" w:type="dxa"/>
          </w:tblCellMar>
        </w:tblPrEx>
        <w:trPr>
          <w:trHeight w:val="90" w:hRule="atLeast"/>
        </w:trPr>
        <w:tc>
          <w:tcPr>
            <w:tcW w:w="14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项目名称</w:t>
            </w:r>
          </w:p>
        </w:tc>
        <w:tc>
          <w:tcPr>
            <w:tcW w:w="11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2019年度预算</w:t>
            </w:r>
          </w:p>
        </w:tc>
        <w:tc>
          <w:tcPr>
            <w:tcW w:w="120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2020年度预算</w:t>
            </w:r>
          </w:p>
        </w:tc>
        <w:tc>
          <w:tcPr>
            <w:tcW w:w="97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增减金额</w:t>
            </w:r>
          </w:p>
        </w:tc>
        <w:tc>
          <w:tcPr>
            <w:tcW w:w="319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变化原因</w:t>
            </w:r>
          </w:p>
        </w:tc>
      </w:tr>
      <w:tr>
        <w:tblPrEx>
          <w:tblCellMar>
            <w:top w:w="0" w:type="dxa"/>
            <w:left w:w="108" w:type="dxa"/>
            <w:bottom w:w="0" w:type="dxa"/>
            <w:right w:w="108" w:type="dxa"/>
          </w:tblCellMar>
        </w:tblPrEx>
        <w:trPr>
          <w:trHeight w:val="624" w:hRule="exact"/>
        </w:trPr>
        <w:tc>
          <w:tcPr>
            <w:tcW w:w="148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因公出国经费</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120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97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3196"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624" w:hRule="exact"/>
        </w:trPr>
        <w:tc>
          <w:tcPr>
            <w:tcW w:w="148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公务用车购置经费</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120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97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3196"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624" w:hRule="exact"/>
        </w:trPr>
        <w:tc>
          <w:tcPr>
            <w:tcW w:w="148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公务用车运行经费</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34.2</w:t>
            </w:r>
          </w:p>
        </w:tc>
        <w:tc>
          <w:tcPr>
            <w:tcW w:w="120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25</w:t>
            </w:r>
          </w:p>
        </w:tc>
        <w:tc>
          <w:tcPr>
            <w:tcW w:w="97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-9.2</w:t>
            </w:r>
          </w:p>
        </w:tc>
        <w:tc>
          <w:tcPr>
            <w:tcW w:w="3196"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单位车辆预算减少</w:t>
            </w:r>
          </w:p>
        </w:tc>
      </w:tr>
      <w:tr>
        <w:tblPrEx>
          <w:tblCellMar>
            <w:top w:w="0" w:type="dxa"/>
            <w:left w:w="108" w:type="dxa"/>
            <w:bottom w:w="0" w:type="dxa"/>
            <w:right w:w="108" w:type="dxa"/>
          </w:tblCellMar>
        </w:tblPrEx>
        <w:trPr>
          <w:trHeight w:val="624" w:hRule="exact"/>
        </w:trPr>
        <w:tc>
          <w:tcPr>
            <w:tcW w:w="14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公务接待费支出</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0.85</w:t>
            </w:r>
          </w:p>
        </w:tc>
        <w:tc>
          <w:tcPr>
            <w:tcW w:w="9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0.85</w:t>
            </w:r>
          </w:p>
        </w:tc>
        <w:tc>
          <w:tcPr>
            <w:tcW w:w="319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2019年未安排公务接待，2020年安排0.85万元</w:t>
            </w:r>
          </w:p>
        </w:tc>
      </w:tr>
      <w:tr>
        <w:tblPrEx>
          <w:tblCellMar>
            <w:top w:w="0" w:type="dxa"/>
            <w:left w:w="108" w:type="dxa"/>
            <w:bottom w:w="0" w:type="dxa"/>
            <w:right w:w="108" w:type="dxa"/>
          </w:tblCellMar>
        </w:tblPrEx>
        <w:trPr>
          <w:trHeight w:val="624" w:hRule="exact"/>
        </w:trPr>
        <w:tc>
          <w:tcPr>
            <w:tcW w:w="14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合计</w:t>
            </w:r>
          </w:p>
        </w:tc>
        <w:tc>
          <w:tcPr>
            <w:tcW w:w="11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34.2</w:t>
            </w:r>
          </w:p>
        </w:tc>
        <w:tc>
          <w:tcPr>
            <w:tcW w:w="120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25.85</w:t>
            </w:r>
          </w:p>
        </w:tc>
        <w:tc>
          <w:tcPr>
            <w:tcW w:w="97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-8.35</w:t>
            </w:r>
          </w:p>
        </w:tc>
        <w:tc>
          <w:tcPr>
            <w:tcW w:w="319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车辆预算减少，公务招待预算增加</w:t>
            </w:r>
          </w:p>
        </w:tc>
      </w:tr>
    </w:tbl>
    <w:p>
      <w:pPr>
        <w:ind w:firstLine="7680" w:firstLineChars="3200"/>
        <w:rPr>
          <w:rFonts w:hint="eastAsia" w:ascii="宋体" w:hAnsi="宋体" w:cs="宋体"/>
          <w:kern w:val="0"/>
          <w:sz w:val="24"/>
          <w:szCs w:val="24"/>
        </w:rPr>
      </w:pPr>
    </w:p>
    <w:p>
      <w:pPr>
        <w:jc w:val="center"/>
        <w:rPr>
          <w:rFonts w:hint="eastAsia" w:ascii="黑体" w:hAnsi="黑体" w:eastAsia="黑体"/>
          <w:b/>
          <w:sz w:val="32"/>
          <w:szCs w:val="32"/>
        </w:rPr>
      </w:pPr>
    </w:p>
    <w:p>
      <w:pPr>
        <w:numPr>
          <w:ilvl w:val="0"/>
          <w:numId w:val="3"/>
        </w:numPr>
        <w:jc w:val="center"/>
        <w:rPr>
          <w:rFonts w:hint="eastAsia" w:ascii="黑体" w:hAnsi="黑体" w:eastAsia="黑体"/>
          <w:b/>
          <w:sz w:val="32"/>
          <w:szCs w:val="32"/>
        </w:rPr>
      </w:pPr>
      <w:r>
        <w:rPr>
          <w:rFonts w:hint="eastAsia" w:ascii="黑体" w:hAnsi="黑体" w:eastAsia="黑体"/>
          <w:b/>
          <w:sz w:val="32"/>
          <w:szCs w:val="32"/>
        </w:rPr>
        <w:t>： 绩效预算信息</w:t>
      </w:r>
    </w:p>
    <w:p>
      <w:pPr>
        <w:jc w:val="center"/>
        <w:outlineLvl w:val="0"/>
        <w:rPr>
          <w:rFonts w:ascii="黑体" w:eastAsia="黑体" w:cs="黑体"/>
          <w:b/>
          <w:bCs/>
          <w:kern w:val="0"/>
          <w:sz w:val="32"/>
          <w:szCs w:val="32"/>
        </w:rPr>
      </w:pPr>
    </w:p>
    <w:p>
      <w:pPr>
        <w:jc w:val="center"/>
        <w:outlineLvl w:val="0"/>
        <w:rPr>
          <w:rFonts w:hint="eastAsia" w:ascii="Times New Roman" w:hAnsi="宋体"/>
          <w:sz w:val="32"/>
          <w:szCs w:val="32"/>
        </w:rPr>
      </w:pPr>
      <w:r>
        <w:rPr>
          <w:rFonts w:ascii="黑体" w:eastAsia="黑体" w:cs="黑体"/>
          <w:b/>
          <w:bCs/>
          <w:kern w:val="0"/>
          <w:sz w:val="32"/>
          <w:szCs w:val="32"/>
        </w:rPr>
        <w:t xml:space="preserve"> </w:t>
      </w:r>
      <w:r>
        <w:rPr>
          <w:rFonts w:hint="eastAsia" w:ascii="方正小标宋_GBK" w:eastAsia="方正小标宋_GBK"/>
          <w:sz w:val="32"/>
          <w:szCs w:val="32"/>
        </w:rPr>
        <w:t>部门整体绩效目标</w:t>
      </w:r>
    </w:p>
    <w:p>
      <w:pPr>
        <w:jc w:val="center"/>
        <w:rPr>
          <w:rFonts w:ascii="Times New Roman" w:eastAsia="方正仿宋_GBK"/>
          <w:sz w:val="28"/>
        </w:rPr>
      </w:pPr>
      <w:r>
        <w:rPr>
          <w:rFonts w:ascii="方正小标宋_GBK" w:eastAsia="方正小标宋_GBK"/>
          <w:sz w:val="44"/>
        </w:rPr>
        <w:t xml:space="preserve"> </w:t>
      </w:r>
    </w:p>
    <w:p>
      <w:pPr>
        <w:spacing w:line="500" w:lineRule="exact"/>
        <w:ind w:firstLine="560" w:firstLineChars="200"/>
        <w:jc w:val="left"/>
        <w:rPr>
          <w:rFonts w:hint="eastAsia" w:ascii="仿宋" w:hAnsi="仿宋" w:eastAsia="仿宋" w:cs="仿宋"/>
          <w:sz w:val="28"/>
        </w:rPr>
      </w:pPr>
      <w:r>
        <w:rPr>
          <w:rFonts w:ascii="Times New Roman" w:eastAsia="方正仿宋_GBK"/>
          <w:sz w:val="28"/>
        </w:rPr>
        <w:t xml:space="preserve">  一</w:t>
      </w:r>
      <w:r>
        <w:rPr>
          <w:rFonts w:hint="eastAsia" w:ascii="仿宋" w:hAnsi="仿宋" w:eastAsia="仿宋" w:cs="仿宋"/>
          <w:sz w:val="28"/>
        </w:rPr>
        <w:t>、总体绩效目标</w:t>
      </w:r>
    </w:p>
    <w:p>
      <w:pPr>
        <w:ind w:firstLine="560" w:firstLineChars="200"/>
        <w:rPr>
          <w:rFonts w:hint="eastAsia" w:ascii="仿宋" w:hAnsi="仿宋" w:eastAsia="仿宋" w:cs="仿宋"/>
          <w:sz w:val="28"/>
        </w:rPr>
      </w:pPr>
      <w:r>
        <w:rPr>
          <w:rFonts w:hint="eastAsia" w:ascii="仿宋" w:hAnsi="仿宋" w:eastAsia="仿宋" w:cs="仿宋"/>
          <w:sz w:val="28"/>
        </w:rPr>
        <w:t>（一）部门总体绩效目标</w:t>
      </w:r>
    </w:p>
    <w:p>
      <w:pPr>
        <w:ind w:firstLine="560" w:firstLineChars="200"/>
        <w:rPr>
          <w:rFonts w:hint="eastAsia" w:ascii="仿宋" w:hAnsi="仿宋" w:eastAsia="仿宋" w:cs="仿宋"/>
          <w:sz w:val="28"/>
        </w:rPr>
      </w:pPr>
      <w:r>
        <w:rPr>
          <w:rFonts w:ascii="仿宋" w:hAnsi="仿宋" w:eastAsia="仿宋" w:cs="仿宋"/>
          <w:sz w:val="28"/>
        </w:rPr>
        <w:t>以习近平新时代中国特色社会主义思想为指导，深入学习贯彻党的十九届四中全会精神，认真落实省、市、区党委政府和市纪委监察委安排部署，紧紧围绕推进国家治理体系和治理能力现代化的总目标，满城区纪委将坚持采取“六个进一步”，织密编牢“六网”，实现“六个提升”。一是进一步压实政治责任，织密编牢纪检监察“清风网”，推动全面从严治党工作向基层延伸覆盖提升。二是进一步推进人员、业务深度融合，织密编牢纪法衔接无缝“对接网”，深化国家监察体制改革效能提升。三是进一步加大明察暗访和查处通报力度，遏制“四风”隐形变异，织密编牢正风反腐“防护网”，推进纪律作风与政治生态双提升。四是进一步加大巡察问题整改力度，织密编牢政治巡察“护航网”，推进巡察成果运用有效提升。五是进一步加大对民生资金、“三资”管理、征地拆迁等领域违纪违法行为的查处力度，织密编牢反腐败工作“护廉网”，强化惩治腐败工作向标本兼治提升。六是进一步加大干部队伍教育培训力度，织密编牢“干部建设网”，促进纪检监察队伍素质能力重铸提升。</w:t>
      </w:r>
    </w:p>
    <w:p>
      <w:pPr>
        <w:ind w:firstLine="560" w:firstLineChars="200"/>
        <w:rPr>
          <w:rFonts w:hint="eastAsia" w:ascii="仿宋" w:hAnsi="仿宋" w:eastAsia="仿宋" w:cs="仿宋"/>
          <w:sz w:val="28"/>
        </w:rPr>
      </w:pPr>
      <w:r>
        <w:rPr>
          <w:rFonts w:hint="eastAsia" w:ascii="仿宋" w:hAnsi="仿宋" w:eastAsia="仿宋" w:cs="仿宋"/>
          <w:sz w:val="28"/>
        </w:rPr>
        <w:t>（二）分项绩效目标</w:t>
      </w:r>
    </w:p>
    <w:p>
      <w:pPr>
        <w:ind w:firstLine="560" w:firstLineChars="200"/>
        <w:rPr>
          <w:rFonts w:ascii="仿宋" w:hAnsi="仿宋" w:eastAsia="仿宋" w:cs="仿宋"/>
          <w:sz w:val="28"/>
        </w:rPr>
      </w:pPr>
      <w:bookmarkStart w:id="0" w:name="_Toc14037"/>
      <w:r>
        <w:rPr>
          <w:rFonts w:hint="eastAsia" w:ascii="仿宋" w:hAnsi="仿宋" w:eastAsia="仿宋" w:cs="仿宋"/>
          <w:sz w:val="28"/>
        </w:rPr>
        <w:t>一</w:t>
      </w:r>
      <w:r>
        <w:rPr>
          <w:rFonts w:ascii="仿宋" w:hAnsi="仿宋" w:eastAsia="仿宋" w:cs="仿宋"/>
          <w:sz w:val="28"/>
        </w:rPr>
        <w:t>是加大纪律审查办案问责力度：受理信访、举报，集中管理问题线索、组织协调案件查办，调查、审查违纪违法案件，对案件审理提出处理意见。负责检查党员、党组织、监察对象违纪违法案件，提出处理意见。负责对贯彻执行党的路线、方针、政策和国家的法律、法规、决定、命令的情况进行监督、检查，综合协调、指导案件检查业务工作。</w:t>
      </w:r>
    </w:p>
    <w:p>
      <w:pPr>
        <w:ind w:firstLine="560" w:firstLineChars="200"/>
        <w:rPr>
          <w:rFonts w:ascii="仿宋" w:hAnsi="仿宋" w:eastAsia="仿宋" w:cs="仿宋"/>
          <w:sz w:val="28"/>
        </w:rPr>
      </w:pPr>
      <w:r>
        <w:rPr>
          <w:rFonts w:hint="eastAsia" w:ascii="仿宋" w:hAnsi="仿宋" w:eastAsia="仿宋" w:cs="仿宋"/>
          <w:sz w:val="28"/>
        </w:rPr>
        <w:t>二</w:t>
      </w:r>
      <w:r>
        <w:rPr>
          <w:rFonts w:ascii="仿宋" w:hAnsi="仿宋" w:eastAsia="仿宋" w:cs="仿宋"/>
          <w:sz w:val="28"/>
        </w:rPr>
        <w:t>是切实加强党风廉政建设：协调全区党员领导干部廉洁自律专项清理工作，负责监督检查、综合分析党风廉政建设情况和全区的党风廉政建设责任制考核工作。组织协调全区党风廉政建设和反腐败宣传、教育、课题研究等工作。承担区委惩治和预防腐败体系领导小组办公室和区预防腐败局的日常工作。</w:t>
      </w:r>
    </w:p>
    <w:p>
      <w:pPr>
        <w:ind w:firstLine="560" w:firstLineChars="200"/>
        <w:rPr>
          <w:rFonts w:ascii="仿宋" w:hAnsi="仿宋" w:eastAsia="仿宋" w:cs="仿宋"/>
          <w:sz w:val="28"/>
        </w:rPr>
      </w:pPr>
      <w:r>
        <w:rPr>
          <w:rFonts w:hint="eastAsia" w:ascii="仿宋" w:hAnsi="仿宋" w:eastAsia="仿宋" w:cs="仿宋"/>
          <w:sz w:val="28"/>
        </w:rPr>
        <w:t>三</w:t>
      </w:r>
      <w:r>
        <w:rPr>
          <w:rFonts w:ascii="仿宋" w:hAnsi="仿宋" w:eastAsia="仿宋" w:cs="仿宋"/>
          <w:sz w:val="28"/>
        </w:rPr>
        <w:t>是加强监督检查及巡查：监督检查党内法规政策、国家法律法规、党风廉政建设等的执行情况。负责组织上级纪检监察机关统一的执法监察活动，提出全区执法监察工作计划和建议。履行区政府纠正行业不正之风办公室职能；贯彻落实区委有关部署，开展日常监督、巡查监督、派驻监督、常态化全覆盖监督。</w:t>
      </w:r>
    </w:p>
    <w:p>
      <w:pPr>
        <w:ind w:firstLine="560" w:firstLineChars="200"/>
        <w:rPr>
          <w:rFonts w:ascii="仿宋" w:hAnsi="仿宋" w:eastAsia="仿宋" w:cs="仿宋"/>
          <w:sz w:val="28"/>
        </w:rPr>
      </w:pPr>
      <w:r>
        <w:rPr>
          <w:rFonts w:hint="eastAsia" w:ascii="仿宋" w:hAnsi="仿宋" w:eastAsia="仿宋" w:cs="仿宋"/>
          <w:sz w:val="28"/>
        </w:rPr>
        <w:t>四</w:t>
      </w:r>
      <w:r>
        <w:rPr>
          <w:rFonts w:ascii="仿宋" w:hAnsi="仿宋" w:eastAsia="仿宋" w:cs="仿宋"/>
          <w:sz w:val="28"/>
        </w:rPr>
        <w:t>是派驻纪检监察机构管理：监督检查所辖部门及所属系统贯彻执行党的路线、方针、政策和决议，遵守国家法律、法规和政府决定、命令的情况。负责全区纪检监察系统领导班子、干部队伍建设和组织建设等有关工作。负责全区纪检监察系统干部教育培训工作；加强全区纪检监察系统领导班子、干部队伍和组织建设，打造一支高素质、高水平的纪检监察干部队伍。</w:t>
      </w:r>
    </w:p>
    <w:p>
      <w:pPr>
        <w:ind w:firstLine="560" w:firstLineChars="200"/>
        <w:rPr>
          <w:rFonts w:ascii="仿宋" w:hAnsi="仿宋" w:eastAsia="仿宋" w:cs="仿宋"/>
          <w:sz w:val="28"/>
        </w:rPr>
      </w:pPr>
      <w:r>
        <w:rPr>
          <w:rFonts w:hint="eastAsia" w:ascii="仿宋" w:hAnsi="仿宋" w:eastAsia="仿宋" w:cs="仿宋"/>
          <w:sz w:val="28"/>
        </w:rPr>
        <w:t>五</w:t>
      </w:r>
      <w:r>
        <w:rPr>
          <w:rFonts w:ascii="仿宋" w:hAnsi="仿宋" w:eastAsia="仿宋" w:cs="仿宋"/>
          <w:sz w:val="28"/>
        </w:rPr>
        <w:t>是纪检监察事务管理：负责综合协调本机关的日常工作；纪检政策宣传；办公场所运行维护，网络信息管理；保密档案资料管理。认真宣传党的纪检工作方针、政策，教育纪检干部遵守和执行党章以及党内法规、党的路线方针政策和决议、国家法规等，全面提高纪检监察干部队伍素质。建设覆盖全区纪检监察系统的保密信息平台，内网建设，可监控的数据库，传输全区汇集的信息及省市区纪委机关绝密信息。为案件查办、纪检监察业务、党风廉政建设提高服务和保障。监察体制改革：成立监察委员会，实现监察的全覆盖。建立监察委员会和司法机关的衔接机制建立反腐败工作机构，扩大监察范围，整合监察力量，健全监察组织构架，形成全面覆盖国家机关及公务员的监察体系。开展调研活动，为监察体制改革做好准备工作通过机构建设调整提高履职效率发挥更好的指引作用。</w:t>
      </w:r>
    </w:p>
    <w:p>
      <w:pPr>
        <w:ind w:firstLine="645"/>
        <w:rPr>
          <w:rFonts w:ascii="仿宋" w:hAnsi="仿宋" w:eastAsia="仿宋" w:cs="仿宋"/>
          <w:sz w:val="28"/>
        </w:rPr>
      </w:pPr>
      <w:r>
        <w:rPr>
          <w:rFonts w:hint="eastAsia" w:ascii="仿宋" w:hAnsi="仿宋" w:eastAsia="仿宋" w:cs="仿宋"/>
          <w:sz w:val="28"/>
        </w:rPr>
        <w:t>（三）工作保障措施</w:t>
      </w:r>
      <w:r>
        <w:rPr>
          <w:rFonts w:ascii="仿宋" w:hAnsi="仿宋" w:eastAsia="仿宋" w:cs="仿宋"/>
          <w:sz w:val="28"/>
        </w:rPr>
        <w:t xml:space="preserve"> </w:t>
      </w:r>
      <w:bookmarkEnd w:id="0"/>
    </w:p>
    <w:p>
      <w:pPr>
        <w:spacing w:line="500" w:lineRule="exact"/>
        <w:ind w:firstLine="560" w:firstLineChars="200"/>
        <w:jc w:val="left"/>
        <w:rPr>
          <w:rFonts w:ascii="仿宋" w:hAnsi="仿宋" w:eastAsia="仿宋" w:cs="仿宋"/>
          <w:sz w:val="28"/>
        </w:rPr>
      </w:pPr>
      <w:r>
        <w:rPr>
          <w:rFonts w:ascii="仿宋" w:hAnsi="仿宋" w:eastAsia="仿宋" w:cs="仿宋"/>
          <w:sz w:val="28"/>
        </w:rPr>
        <w:t>1、压实政治责任，织密编牢纪检监察“清风网”，推动全面从严治党工作向基层延伸覆盖提升。深入贯彻党的十九大精神和中央纪委二次全会精神，贯彻落实全省政治性警示教育大会精神，始终坚持把政治建设放在首位，自觉增强和践行“四个意识”。加强对各级党组织履行全面从严治党责任情况的日常监督检查。结合中央巡视整改工作的开展，对存在问题的党员干部，准确运用监督执纪“四种形态”予以处理。对维护党的政治纪律和政治规矩失责、贯彻中央八项规定精神不力、选人用人问题突出、腐败问题严重、不作为乱作为的相关责任单位和责任人，敢于问责、曝光典型。认真履行党章和宪法赋予的职责，落实双重领导体制，加强对乡（街道）纪（工）委的领导，督促乡（街道）纪（工）委持续深化“三转”，切实担负起协助党委推进全面从严治党的政治责任。</w:t>
      </w:r>
    </w:p>
    <w:p>
      <w:pPr>
        <w:spacing w:line="500" w:lineRule="exact"/>
        <w:ind w:firstLine="560" w:firstLineChars="200"/>
        <w:jc w:val="left"/>
        <w:rPr>
          <w:rFonts w:ascii="仿宋" w:hAnsi="仿宋" w:eastAsia="仿宋" w:cs="仿宋"/>
          <w:sz w:val="28"/>
        </w:rPr>
      </w:pPr>
      <w:r>
        <w:rPr>
          <w:rFonts w:ascii="仿宋" w:hAnsi="仿宋" w:eastAsia="仿宋" w:cs="仿宋"/>
          <w:sz w:val="28"/>
        </w:rPr>
        <w:t>2、全面深度融合，织密编牢纪法衔接无缝“对接网”，深化国家监察体制改革效能提升。完善纪检监察相关工作制度，加强对权力的监督制约，提升执纪执法的能力和水平，继续深化人员融合和业务融合。坚持纪严于法、纪在法前，继续探索执法、司法机关互相支持、互相配合有关工作方法，促进纪法、法法顺畅对接。推动监察工作向基层延伸，向乡派出监察办公室，向街道派出监察组，赋予乡（街道）纪检机构和干部相应监察职责，进一步实现监督全覆盖。</w:t>
      </w:r>
    </w:p>
    <w:p>
      <w:pPr>
        <w:spacing w:line="500" w:lineRule="exact"/>
        <w:ind w:firstLine="560" w:firstLineChars="200"/>
        <w:jc w:val="left"/>
        <w:rPr>
          <w:rFonts w:ascii="仿宋" w:hAnsi="仿宋" w:eastAsia="仿宋" w:cs="仿宋"/>
          <w:sz w:val="28"/>
        </w:rPr>
      </w:pPr>
      <w:r>
        <w:rPr>
          <w:rFonts w:ascii="仿宋" w:hAnsi="仿宋" w:eastAsia="仿宋" w:cs="仿宋"/>
          <w:sz w:val="28"/>
        </w:rPr>
        <w:t>3、遏制“四风”隐形变异，织密编牢正风反腐“防护网”，推进纪律作风与政治生态双提升。深入学习贯彻习近平总书记对进一步纠正“四风”、加强作风建设的重要批示精神，清醒认识“四风”问题的顽固性、反复性，以钉钉子精神打好作风建设持久战。把监督检查中央八项规定及实施细则精神执行情况作为纪检监察机关的重点任务和经常性工作，加大明察暗访和查处通报力度。继续关注“四风”隐形变异、改头换面等新动向、新表现、新形式，在整治享乐主义和奢靡之风上从严执纪，严查顶风违纪行为；在反对形式主义、官僚主义上下更大功夫，重点纠正一些领导干部爱惜“羽毛”、回避问题、庸懒无为、不作为、乱作为、冷硬横推等问题，推动作风建设成风化俗。</w:t>
      </w:r>
    </w:p>
    <w:p>
      <w:pPr>
        <w:spacing w:line="500" w:lineRule="exact"/>
        <w:ind w:firstLine="560" w:firstLineChars="200"/>
        <w:jc w:val="left"/>
        <w:rPr>
          <w:rFonts w:ascii="仿宋" w:hAnsi="仿宋" w:eastAsia="仿宋" w:cs="仿宋"/>
          <w:sz w:val="28"/>
        </w:rPr>
      </w:pPr>
      <w:r>
        <w:rPr>
          <w:rFonts w:ascii="仿宋" w:hAnsi="仿宋" w:eastAsia="仿宋" w:cs="仿宋"/>
          <w:sz w:val="28"/>
        </w:rPr>
        <w:t>4、磨砺监督利剑，织密编牢政治巡察“护航网”，实现巡察成果运用有效提升。继续深化区委巡察反馈整改“回头看”工作，紧盯第二轮巡察中未整改的问题厘清责任，细化措施，全力整改落实。组织好第三轮巡察，加大巡察工作宣传力度，配齐配强巡察人员，推进政治巡察和纪律审查深度融合，强化巡察成果综合运用，健全整改督查制度，确保条条要整改、件件有着落。推进监督全覆盖，坚持和市委巡察一体谋划，积极构建上下联动的监督网，打通全面从严治党“最后一公里”，确保党组织建设到哪里，巡察工作就推进到哪里。紧密结合基层实际，准确把握巡察工作的特点和规律，使巡察内容、巡察方法、制度建设等方面更接“地气”，增强巡察工作的质量和效果。对一些问题突出，群众反映强烈的村级党组织探索开展村级巡察。</w:t>
      </w:r>
    </w:p>
    <w:p>
      <w:pPr>
        <w:spacing w:line="500" w:lineRule="exact"/>
        <w:ind w:firstLine="560" w:firstLineChars="200"/>
        <w:jc w:val="left"/>
        <w:rPr>
          <w:rFonts w:ascii="仿宋" w:hAnsi="仿宋" w:eastAsia="仿宋" w:cs="仿宋"/>
          <w:sz w:val="28"/>
        </w:rPr>
      </w:pPr>
      <w:r>
        <w:rPr>
          <w:rFonts w:ascii="仿宋" w:hAnsi="仿宋" w:eastAsia="仿宋" w:cs="仿宋"/>
          <w:sz w:val="28"/>
        </w:rPr>
        <w:t>5、深挖彻查不手软，织密编牢反腐败工作“护廉网”，强化惩治腐败工作向标本兼治提升。坚决查处发生在民生资金、“三资”管理、征地拆迁等领域的严重违纪违法行为，基层干部吃拿卡要、优亲厚友等问题。继续深化扶贫领域腐败和作风问题专项治理，查处和纠正贯彻党中央脱贫攻坚决策部署不坚决不到位、弄虚作假问题，主体责任、监督责任和职能部门监管职责不落实问题，严肃查处贪污挪用、截留私分，虚报冒领、强占掠夺等行为。坚决查处涉黑腐败，惩治放纵、包庇黑恶势力甚至充当“保护伞”的党员干部。加强对问题反映集中乡（街道）和村（社区）的督查，切实维护广大群众切身利益，不断增强人民群众的获得感。</w:t>
      </w:r>
    </w:p>
    <w:p>
      <w:pPr>
        <w:spacing w:line="500" w:lineRule="exact"/>
        <w:ind w:firstLine="560" w:firstLineChars="200"/>
        <w:jc w:val="left"/>
        <w:rPr>
          <w:rFonts w:ascii="仿宋" w:hAnsi="仿宋" w:eastAsia="仿宋" w:cs="仿宋"/>
          <w:sz w:val="28"/>
        </w:rPr>
      </w:pPr>
      <w:r>
        <w:rPr>
          <w:rFonts w:ascii="仿宋" w:hAnsi="仿宋" w:eastAsia="仿宋" w:cs="仿宋"/>
          <w:sz w:val="28"/>
        </w:rPr>
        <w:t>6、敢担当善作为，织密编牢 “干部建设网”，促进纪检监察队伍素质能力重铸提升。坚持加强班子建设，夯实政治定力，牢固树立“四个意识”，打造团结、担当、创新的纪委监委领导班子；持续加大培训力度，丰富学习培训形式，坚持在学中干、在干中学，不断提升纪检监察干部能力素质，努力打造政治过硬、作风过硬、能力过硬的纪检监察干部队伍；加强乡（街道）纪检组织建设，认真贯彻落实全省《关于进一步加强乡镇纪检组织建设的指导意见》，紧盯当前乡（街道）纪检组织建设中存在的问题，选优配强基层纪检监察干部，推进监察职能向基层延伸；紧紧围绕乡（街道）纪委五项重点工作（即：一是加强教育引导，负责经常对监督范围内的党员干部进行遵守纪律的教育，对乡村两级党员干部每年至少开展两轮廉政谈话和一次警示教育；二是强化日常监督，运用谈话提醒、约谈函询等方式对党组织和党员干部履行职责、行使权力情况进行监督，突出抓早抓小抓预防；三是受理处置党员群众检举举报、上级纪检机关交办和巡视和巡察移交的访举报、问题线索，对管辖范围内党组织和党员干部的一般性问题线索开展纪律审查；对重要问题线索及时向县级纪委报告；四是进行问责或提出责任追究的建议，受理党员的控告和申诉，保障党员的权利；五是领导村级纪检组织发挥监督作用，及时掌握并处置有关问题），聚焦主责主业，规范管理考核，强化教育培训，推动全面从严治党向纵深发展、向基层延伸。</w:t>
      </w:r>
    </w:p>
    <w:p>
      <w:pPr>
        <w:spacing w:line="500" w:lineRule="exact"/>
        <w:ind w:firstLine="700" w:firstLineChars="250"/>
        <w:jc w:val="left"/>
        <w:rPr>
          <w:rFonts w:hint="eastAsia" w:ascii="仿宋" w:hAnsi="仿宋" w:eastAsia="仿宋" w:cs="仿宋"/>
          <w:sz w:val="28"/>
        </w:rPr>
      </w:pPr>
      <w:r>
        <w:rPr>
          <w:rFonts w:hint="eastAsia" w:ascii="仿宋" w:hAnsi="仿宋" w:eastAsia="仿宋" w:cs="仿宋"/>
          <w:sz w:val="28"/>
        </w:rPr>
        <w:t>7、不断完善制度建设。我委制定了完善的预算绩效管理制度、资金管理办法、工作保障制度等，为全年预算绩效目标的实现奠定制度基础。</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8、加强支出管理。通过优化支出结构、编细编实预算。按规定及时下达资金等多种措施，确保支出进度达标。</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9、加强绩效运行监控。按要求开展绩效运行监控，发现问题及时采取措施，确保绩效目标如期保质实现。</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10、做好绩效自评。按要求开展上年度部门预算绩效自评和重点评价工作，对评价中发现的问题及时整改，调整优化支出结构，提高财政资金使用效益。</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11、规范财务资产管理。完善财务管理制度，严格审批程序，加强固定资产登记、使用和报废处置管理，做到支出合理，物尽其用。</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12、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13、加强宣传培训调研等。加强人员培训，提高本部门职工业务素质；加强调研，提出优化财政资金配置、提高资金使用效益的意见</w:t>
      </w:r>
      <w:bookmarkStart w:id="3" w:name="_GoBack"/>
      <w:bookmarkEnd w:id="3"/>
      <w:r>
        <w:rPr>
          <w:rFonts w:hint="eastAsia" w:ascii="仿宋" w:hAnsi="仿宋" w:eastAsia="仿宋" w:cs="仿宋"/>
          <w:sz w:val="28"/>
        </w:rPr>
        <w:t>；加大宣传力度，强化预算绩效管理意识，促进预算绩效管理水平进一步提升。</w:t>
      </w:r>
    </w:p>
    <w:p>
      <w:pPr>
        <w:spacing w:line="500" w:lineRule="exact"/>
        <w:ind w:firstLine="560" w:firstLineChars="200"/>
        <w:jc w:val="left"/>
        <w:rPr>
          <w:rFonts w:hint="eastAsia" w:ascii="仿宋" w:hAnsi="仿宋" w:eastAsia="仿宋" w:cs="仿宋"/>
          <w:sz w:val="28"/>
        </w:rPr>
      </w:pPr>
    </w:p>
    <w:p>
      <w:pPr>
        <w:spacing w:line="500" w:lineRule="exact"/>
        <w:ind w:firstLine="560" w:firstLineChars="200"/>
        <w:jc w:val="left"/>
        <w:rPr>
          <w:rFonts w:ascii="Times New Roman" w:eastAsia="方正仿宋_GBK"/>
          <w:sz w:val="28"/>
        </w:rPr>
      </w:pPr>
    </w:p>
    <w:p>
      <w:pPr>
        <w:ind w:firstLine="420" w:firstLineChars="200"/>
        <w:jc w:val="center"/>
        <w:rPr>
          <w:rFonts w:ascii="Times New Roman" w:hAnsi="宋体"/>
        </w:rPr>
      </w:pPr>
      <w:r>
        <w:rPr>
          <w:rFonts w:ascii="方正书宋_GBK" w:eastAsia="方正书宋_GBK"/>
        </w:rPr>
        <w:t xml:space="preserve"> </w:t>
      </w:r>
    </w:p>
    <w:p>
      <w:pPr>
        <w:ind w:firstLine="560" w:firstLineChars="200"/>
        <w:jc w:val="center"/>
        <w:rPr>
          <w:rFonts w:ascii="Times New Roman" w:eastAsia="方正仿宋_GBK"/>
          <w:sz w:val="28"/>
        </w:rPr>
        <w:sectPr>
          <w:footerReference r:id="rId3" w:type="default"/>
          <w:pgSz w:w="11907" w:h="16839"/>
          <w:pgMar w:top="1984" w:right="1304" w:bottom="1134" w:left="1304" w:header="851" w:footer="992" w:gutter="0"/>
          <w:pgNumType w:start="1"/>
          <w:cols w:space="720" w:num="1"/>
          <w:docGrid w:type="lines" w:linePitch="312" w:charSpace="0"/>
        </w:sectPr>
      </w:pPr>
    </w:p>
    <w:p>
      <w:pPr>
        <w:jc w:val="center"/>
        <w:outlineLvl w:val="0"/>
        <w:rPr>
          <w:rFonts w:hint="eastAsia" w:ascii="Times New Roman" w:hAnsi="宋体"/>
          <w:b/>
          <w:bCs/>
          <w:sz w:val="32"/>
          <w:szCs w:val="32"/>
        </w:rPr>
      </w:pPr>
      <w:r>
        <w:rPr>
          <w:rFonts w:hint="eastAsia" w:ascii="方正小标宋_GBK" w:eastAsia="方正小标宋_GBK"/>
          <w:b/>
          <w:bCs/>
          <w:sz w:val="32"/>
          <w:szCs w:val="32"/>
        </w:rPr>
        <w:t>预算项目绩效目标</w:t>
      </w:r>
    </w:p>
    <w:p>
      <w:pPr>
        <w:jc w:val="center"/>
      </w:pPr>
      <w:r>
        <w:rPr>
          <w:rFonts w:ascii="方正书宋_GBK" w:eastAsia="方正书宋_GBK"/>
        </w:rPr>
        <w:t xml:space="preserve"> </w:t>
      </w:r>
    </w:p>
    <w:p>
      <w:pPr>
        <w:spacing w:line="300" w:lineRule="exact"/>
        <w:ind w:firstLine="420" w:firstLineChars="200"/>
        <w:jc w:val="left"/>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1、乡镇纪委日常办公办案资金（办案经费）绩效目标表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 w:name="_Toc41312303"/>
      <w:r>
        <w:rPr>
          <w:rFonts w:hint="eastAsia" w:ascii="方正仿宋_GBK" w:eastAsia="方正仿宋_GBK"/>
          <w:b/>
          <w:sz w:val="28"/>
        </w:rPr>
        <w:instrText xml:space="preserve">3、专项案件办案资金（办案经费）绩效目标表</w:instrText>
      </w:r>
      <w:bookmarkEnd w:id="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222002</w:t>
            </w:r>
            <w:r>
              <w:rPr>
                <w:rFonts w:hint="eastAsia" w:ascii="方正书宋_GBK" w:eastAsia="方正书宋_GBK"/>
                <w:b/>
              </w:rPr>
              <w:t>满城区纪委监委</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222-0801-J</w:t>
            </w:r>
            <w:r>
              <w:rPr>
                <w:rFonts w:hint="eastAsia" w:ascii="方正书宋_GBK" w:eastAsia="方正书宋_GBK"/>
              </w:rPr>
              <w:t>X</w:t>
            </w:r>
            <w:r>
              <w:rPr>
                <w:rFonts w:ascii="方正书宋_GBK" w:eastAsia="方正书宋_GBK"/>
              </w:rPr>
              <w:t>N-</w:t>
            </w:r>
            <w:r>
              <w:rPr>
                <w:rFonts w:hint="eastAsia" w:ascii="方正书宋_GBK" w:eastAsia="方正书宋_GBK"/>
              </w:rPr>
              <w:t>6XIG</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11个乡镇纪委日常办公及办案经费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72.60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72.60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1"/>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根据冀纪字【2018】15号文《关于进一步加强乡镇纪检组织建设的指导意见》和中共保定市纪委《关于进一步加强乡镇纪检组织规范化建设的通知（【2019】-3）的文件要求，全区乡镇纪委的日常办公经费、办案经费原则上纳入区纪委监委预算。2020年全区11个乡镇纪委日常办公经费、均纳入区纪委监委预算安排。根据本委财务制度有关各项规定</w:t>
            </w:r>
            <w:r>
              <w:rPr>
                <w:rFonts w:ascii="方正书宋_GBK" w:eastAsia="方正书宋_GBK"/>
              </w:rPr>
              <w:t>,</w:t>
            </w:r>
            <w:r>
              <w:rPr>
                <w:rFonts w:hint="eastAsia" w:ascii="方正书宋_GBK" w:eastAsia="方正书宋_GBK"/>
              </w:rPr>
              <w:t>结合案件实际情况</w:t>
            </w:r>
            <w:r>
              <w:rPr>
                <w:rFonts w:ascii="方正书宋_GBK" w:eastAsia="方正书宋_GBK"/>
              </w:rPr>
              <w:t>,</w:t>
            </w:r>
            <w:r>
              <w:rPr>
                <w:rFonts w:hint="eastAsia" w:ascii="方正书宋_GBK" w:eastAsia="方正书宋_GBK"/>
              </w:rPr>
              <w:t>为各个乡镇提供办案资金支持。严格按照票据相关规定及报销流程</w:t>
            </w:r>
            <w:r>
              <w:rPr>
                <w:rFonts w:ascii="方正书宋_GBK" w:eastAsia="方正书宋_GBK"/>
              </w:rPr>
              <w:t>,</w:t>
            </w:r>
            <w:r>
              <w:rPr>
                <w:rFonts w:hint="eastAsia" w:ascii="方正书宋_GBK" w:eastAsia="方正书宋_GBK"/>
              </w:rPr>
              <w:t>实报实销</w:t>
            </w:r>
            <w:r>
              <w:rPr>
                <w:rFonts w:ascii="方正书宋_GBK" w:eastAsia="方正书宋_GBK"/>
              </w:rPr>
              <w:t>,</w:t>
            </w:r>
            <w:r>
              <w:rPr>
                <w:rFonts w:hint="eastAsia" w:ascii="方正书宋_GBK" w:eastAsia="方正书宋_GBK"/>
              </w:rPr>
              <w:t>严控办案经费的开支。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、保障各乡镇纪委工作正常有序的开展</w:t>
            </w:r>
            <w:r>
              <w:rPr>
                <w:rFonts w:ascii="方正书宋_GBK" w:eastAsia="方正书宋_GBK"/>
              </w:rPr>
              <w:t>,</w:t>
            </w:r>
            <w:r>
              <w:rPr>
                <w:rFonts w:hint="eastAsia" w:ascii="方正书宋_GBK" w:eastAsia="方正书宋_GBK"/>
              </w:rPr>
              <w:t>提高办案质量</w:t>
            </w:r>
            <w:r>
              <w:rPr>
                <w:rFonts w:ascii="方正书宋_GBK" w:eastAsia="方正书宋_GBK"/>
              </w:rPr>
              <w:t>,</w:t>
            </w:r>
            <w:r>
              <w:rPr>
                <w:rFonts w:hint="eastAsia" w:ascii="方正书宋_GBK" w:eastAsia="方正书宋_GBK"/>
              </w:rPr>
              <w:t>提高结案率。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、按照单位财务制度规定要求，严格控制办案经费开支。</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案件结案率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已完结案件占全部案件的比率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市纪委核定标准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审理流程合规率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案件审理流程各项指标达到的规范程度</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市纪委核定标准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信访案件结案率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已完结案件占全部案件的比率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市纪委核定标准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长期满足人民群众解决矛盾的需求。</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市纪委核定标准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执行公开率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案件审理执行工作公开的时效性</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市纪委核定标准</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jc w:val="center"/>
        <w:rPr>
          <w:rFonts w:hint="eastAsia" w:ascii="仿宋" w:hAnsi="仿宋" w:eastAsia="仿宋"/>
          <w:sz w:val="32"/>
          <w:szCs w:val="32"/>
        </w:rPr>
      </w:pPr>
      <w:r>
        <w:rPr>
          <w:rFonts w:hint="eastAsia" w:ascii="黑体" w:hAnsi="黑体" w:eastAsia="黑体"/>
          <w:b/>
          <w:sz w:val="32"/>
          <w:szCs w:val="32"/>
        </w:rPr>
        <w:t>第六部分：  政府采购预算情况</w:t>
      </w:r>
    </w:p>
    <w:p>
      <w:pPr>
        <w:jc w:val="left"/>
        <w:outlineLvl w:val="0"/>
        <w:rPr>
          <w:rFonts w:hint="eastAsia" w:ascii="仿宋" w:hAnsi="仿宋" w:eastAsia="仿宋"/>
          <w:sz w:val="32"/>
          <w:szCs w:val="32"/>
        </w:rPr>
      </w:pPr>
      <w:r>
        <w:rPr>
          <w:rFonts w:hint="eastAsia" w:ascii="仿宋" w:hAnsi="仿宋" w:eastAsia="仿宋"/>
          <w:sz w:val="32"/>
          <w:szCs w:val="32"/>
        </w:rPr>
        <w:t>2020年，满城区纪委监委部门</w:t>
      </w:r>
      <w:r>
        <w:rPr>
          <w:rFonts w:hint="eastAsia" w:ascii="仿宋" w:hAnsi="仿宋" w:eastAsia="仿宋" w:cs="仿宋"/>
          <w:sz w:val="32"/>
          <w:szCs w:val="32"/>
        </w:rPr>
        <w:t>未安排政府采购预算，空表列示</w:t>
      </w:r>
      <w:r>
        <w:rPr>
          <w:rFonts w:hint="eastAsia" w:ascii="仿宋" w:hAnsi="仿宋" w:eastAsia="仿宋"/>
          <w:sz w:val="32"/>
          <w:szCs w:val="32"/>
        </w:rPr>
        <w:t>：</w:t>
      </w:r>
    </w:p>
    <w:p>
      <w:pPr>
        <w:jc w:val="center"/>
        <w:outlineLvl w:val="0"/>
        <w:rPr>
          <w:rFonts w:hint="eastAsia" w:ascii="方正小标宋_GBK" w:eastAsia="方正小标宋_GBK"/>
          <w:sz w:val="32"/>
        </w:rPr>
      </w:pPr>
      <w:bookmarkStart w:id="2" w:name="_Toc480529913"/>
      <w:r>
        <w:rPr>
          <w:rFonts w:hint="eastAsia" w:ascii="方正小标宋_GBK" w:eastAsia="方正小标宋_GBK"/>
          <w:sz w:val="32"/>
        </w:rPr>
        <w:t>部门政府采购预算</w:t>
      </w:r>
      <w:bookmarkEnd w:id="2"/>
    </w:p>
    <w:tbl>
      <w:tblPr>
        <w:tblStyle w:val="7"/>
        <w:tblW w:w="153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60"/>
        <w:gridCol w:w="1153"/>
        <w:gridCol w:w="1133"/>
        <w:gridCol w:w="1232"/>
        <w:gridCol w:w="898"/>
        <w:gridCol w:w="857"/>
        <w:gridCol w:w="887"/>
        <w:gridCol w:w="956"/>
        <w:gridCol w:w="956"/>
        <w:gridCol w:w="956"/>
        <w:gridCol w:w="956"/>
        <w:gridCol w:w="956"/>
        <w:gridCol w:w="956"/>
        <w:gridCol w:w="9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720"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222</w:t>
            </w:r>
            <w:r>
              <w:rPr>
                <w:rFonts w:hint="eastAsia" w:ascii="方正小标宋_GBK" w:eastAsia="方正小标宋_GBK"/>
                <w:sz w:val="24"/>
              </w:rPr>
              <w:t>满城区纪委</w:t>
            </w:r>
          </w:p>
        </w:tc>
        <w:tc>
          <w:tcPr>
            <w:tcW w:w="6637" w:type="dxa"/>
            <w:gridSpan w:val="7"/>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713"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133"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232"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898"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85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8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637" w:type="dxa"/>
            <w:gridSpan w:val="7"/>
            <w:noWrap w:val="0"/>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56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53"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133" w:type="dxa"/>
            <w:vMerge w:val="continue"/>
            <w:noWrap w:val="0"/>
            <w:vAlign w:val="center"/>
          </w:tcPr>
          <w:p>
            <w:pPr>
              <w:spacing w:line="300" w:lineRule="exact"/>
              <w:jc w:val="left"/>
              <w:outlineLvl w:val="0"/>
            </w:pPr>
          </w:p>
        </w:tc>
        <w:tc>
          <w:tcPr>
            <w:tcW w:w="1232" w:type="dxa"/>
            <w:vMerge w:val="continue"/>
            <w:noWrap w:val="0"/>
            <w:vAlign w:val="center"/>
          </w:tcPr>
          <w:p>
            <w:pPr>
              <w:spacing w:line="300" w:lineRule="exact"/>
              <w:jc w:val="left"/>
              <w:outlineLvl w:val="0"/>
            </w:pPr>
          </w:p>
        </w:tc>
        <w:tc>
          <w:tcPr>
            <w:tcW w:w="898" w:type="dxa"/>
            <w:vMerge w:val="continue"/>
            <w:noWrap w:val="0"/>
            <w:vAlign w:val="center"/>
          </w:tcPr>
          <w:p>
            <w:pPr>
              <w:spacing w:line="300" w:lineRule="exact"/>
              <w:jc w:val="left"/>
              <w:outlineLvl w:val="0"/>
            </w:pPr>
          </w:p>
        </w:tc>
        <w:tc>
          <w:tcPr>
            <w:tcW w:w="857" w:type="dxa"/>
            <w:vMerge w:val="continue"/>
            <w:noWrap w:val="0"/>
            <w:vAlign w:val="center"/>
          </w:tcPr>
          <w:p>
            <w:pPr>
              <w:spacing w:line="300" w:lineRule="exact"/>
              <w:jc w:val="left"/>
              <w:outlineLvl w:val="0"/>
            </w:pPr>
          </w:p>
        </w:tc>
        <w:tc>
          <w:tcPr>
            <w:tcW w:w="887" w:type="dxa"/>
            <w:vMerge w:val="continue"/>
            <w:noWrap w:val="0"/>
            <w:vAlign w:val="center"/>
          </w:tcPr>
          <w:p>
            <w:pPr>
              <w:spacing w:line="300" w:lineRule="exact"/>
              <w:jc w:val="left"/>
              <w:outlineLvl w:val="0"/>
            </w:pPr>
          </w:p>
        </w:tc>
        <w:tc>
          <w:tcPr>
            <w:tcW w:w="95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780" w:type="dxa"/>
            <w:gridSpan w:val="5"/>
            <w:noWrap w:val="0"/>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90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560" w:type="dxa"/>
            <w:vMerge w:val="continue"/>
            <w:noWrap w:val="0"/>
            <w:vAlign w:val="center"/>
          </w:tcPr>
          <w:p>
            <w:pPr>
              <w:spacing w:line="300" w:lineRule="exact"/>
              <w:jc w:val="left"/>
              <w:outlineLvl w:val="0"/>
            </w:pPr>
          </w:p>
        </w:tc>
        <w:tc>
          <w:tcPr>
            <w:tcW w:w="1153" w:type="dxa"/>
            <w:vMerge w:val="continue"/>
            <w:noWrap w:val="0"/>
            <w:vAlign w:val="center"/>
          </w:tcPr>
          <w:p>
            <w:pPr>
              <w:spacing w:line="300" w:lineRule="exact"/>
              <w:jc w:val="left"/>
              <w:outlineLvl w:val="0"/>
            </w:pPr>
          </w:p>
        </w:tc>
        <w:tc>
          <w:tcPr>
            <w:tcW w:w="1133" w:type="dxa"/>
            <w:vMerge w:val="continue"/>
            <w:noWrap w:val="0"/>
            <w:vAlign w:val="center"/>
          </w:tcPr>
          <w:p>
            <w:pPr>
              <w:spacing w:line="300" w:lineRule="exact"/>
              <w:jc w:val="left"/>
              <w:outlineLvl w:val="0"/>
            </w:pPr>
          </w:p>
        </w:tc>
        <w:tc>
          <w:tcPr>
            <w:tcW w:w="1232" w:type="dxa"/>
            <w:vMerge w:val="continue"/>
            <w:noWrap w:val="0"/>
            <w:vAlign w:val="center"/>
          </w:tcPr>
          <w:p>
            <w:pPr>
              <w:spacing w:line="300" w:lineRule="exact"/>
              <w:jc w:val="left"/>
              <w:outlineLvl w:val="0"/>
            </w:pPr>
          </w:p>
        </w:tc>
        <w:tc>
          <w:tcPr>
            <w:tcW w:w="898" w:type="dxa"/>
            <w:vMerge w:val="continue"/>
            <w:noWrap w:val="0"/>
            <w:vAlign w:val="center"/>
          </w:tcPr>
          <w:p>
            <w:pPr>
              <w:spacing w:line="300" w:lineRule="exact"/>
              <w:jc w:val="left"/>
              <w:outlineLvl w:val="0"/>
            </w:pPr>
          </w:p>
        </w:tc>
        <w:tc>
          <w:tcPr>
            <w:tcW w:w="857" w:type="dxa"/>
            <w:vMerge w:val="continue"/>
            <w:noWrap w:val="0"/>
            <w:vAlign w:val="center"/>
          </w:tcPr>
          <w:p>
            <w:pPr>
              <w:spacing w:line="300" w:lineRule="exact"/>
              <w:jc w:val="left"/>
              <w:outlineLvl w:val="0"/>
            </w:pPr>
          </w:p>
        </w:tc>
        <w:tc>
          <w:tcPr>
            <w:tcW w:w="887" w:type="dxa"/>
            <w:vMerge w:val="continue"/>
            <w:noWrap w:val="0"/>
            <w:vAlign w:val="center"/>
          </w:tcPr>
          <w:p>
            <w:pPr>
              <w:spacing w:line="300" w:lineRule="exact"/>
              <w:jc w:val="left"/>
              <w:outlineLvl w:val="0"/>
            </w:pPr>
          </w:p>
        </w:tc>
        <w:tc>
          <w:tcPr>
            <w:tcW w:w="956" w:type="dxa"/>
            <w:vMerge w:val="continue"/>
            <w:noWrap w:val="0"/>
            <w:vAlign w:val="center"/>
          </w:tcPr>
          <w:p>
            <w:pPr>
              <w:spacing w:line="300" w:lineRule="exact"/>
              <w:jc w:val="left"/>
              <w:outlineLvl w:val="0"/>
            </w:pPr>
          </w:p>
        </w:tc>
        <w:tc>
          <w:tcPr>
            <w:tcW w:w="956"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56"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956" w:type="dxa"/>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956" w:type="dxa"/>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956" w:type="dxa"/>
            <w:noWrap w:val="0"/>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901" w:type="dxa"/>
            <w:vMerge w:val="continue"/>
            <w:noWrap w:val="0"/>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60" w:type="dxa"/>
            <w:noWrap w:val="0"/>
            <w:vAlign w:val="center"/>
          </w:tcPr>
          <w:p>
            <w:pPr>
              <w:spacing w:line="300" w:lineRule="exact"/>
              <w:ind w:firstLine="843" w:firstLineChars="400"/>
              <w:rPr>
                <w:rFonts w:hint="eastAsia" w:ascii="方正书宋_GBK" w:eastAsia="方正书宋_GBK"/>
                <w:b/>
              </w:rPr>
            </w:pPr>
            <w:r>
              <w:rPr>
                <w:rFonts w:hint="eastAsia" w:ascii="方正书宋_GBK" w:eastAsia="方正书宋_GBK"/>
                <w:b/>
              </w:rPr>
              <w:t>合  计</w:t>
            </w:r>
          </w:p>
        </w:tc>
        <w:tc>
          <w:tcPr>
            <w:tcW w:w="1153" w:type="dxa"/>
            <w:noWrap w:val="0"/>
            <w:vAlign w:val="center"/>
          </w:tcPr>
          <w:p>
            <w:pPr>
              <w:spacing w:line="300" w:lineRule="exact"/>
              <w:jc w:val="right"/>
              <w:rPr>
                <w:rFonts w:ascii="方正书宋_GBK" w:eastAsia="方正书宋_GBK"/>
                <w:b/>
              </w:rPr>
            </w:pPr>
          </w:p>
        </w:tc>
        <w:tc>
          <w:tcPr>
            <w:tcW w:w="1133" w:type="dxa"/>
            <w:noWrap w:val="0"/>
            <w:vAlign w:val="center"/>
          </w:tcPr>
          <w:p>
            <w:pPr>
              <w:spacing w:line="300" w:lineRule="exact"/>
              <w:jc w:val="left"/>
              <w:rPr>
                <w:rFonts w:ascii="方正书宋_GBK" w:eastAsia="方正书宋_GBK"/>
                <w:b/>
              </w:rPr>
            </w:pPr>
          </w:p>
        </w:tc>
        <w:tc>
          <w:tcPr>
            <w:tcW w:w="1232" w:type="dxa"/>
            <w:noWrap w:val="0"/>
            <w:vAlign w:val="center"/>
          </w:tcPr>
          <w:p>
            <w:pPr>
              <w:spacing w:line="300" w:lineRule="exact"/>
              <w:jc w:val="left"/>
              <w:rPr>
                <w:rFonts w:ascii="方正书宋_GBK" w:eastAsia="方正书宋_GBK"/>
                <w:b/>
              </w:rPr>
            </w:pPr>
          </w:p>
        </w:tc>
        <w:tc>
          <w:tcPr>
            <w:tcW w:w="898" w:type="dxa"/>
            <w:noWrap w:val="0"/>
            <w:vAlign w:val="center"/>
          </w:tcPr>
          <w:p>
            <w:pPr>
              <w:spacing w:line="300" w:lineRule="exact"/>
              <w:jc w:val="left"/>
              <w:rPr>
                <w:rFonts w:ascii="方正书宋_GBK" w:eastAsia="方正书宋_GBK"/>
                <w:b/>
              </w:rPr>
            </w:pPr>
          </w:p>
        </w:tc>
        <w:tc>
          <w:tcPr>
            <w:tcW w:w="857" w:type="dxa"/>
            <w:noWrap w:val="0"/>
            <w:vAlign w:val="center"/>
          </w:tcPr>
          <w:p>
            <w:pPr>
              <w:spacing w:line="300" w:lineRule="exact"/>
              <w:jc w:val="right"/>
              <w:rPr>
                <w:rFonts w:ascii="方正书宋_GBK" w:eastAsia="方正书宋_GBK"/>
                <w:b/>
              </w:rPr>
            </w:pPr>
          </w:p>
        </w:tc>
        <w:tc>
          <w:tcPr>
            <w:tcW w:w="887" w:type="dxa"/>
            <w:noWrap w:val="0"/>
            <w:vAlign w:val="center"/>
          </w:tcPr>
          <w:p>
            <w:pPr>
              <w:spacing w:line="300" w:lineRule="exact"/>
              <w:jc w:val="right"/>
              <w:rPr>
                <w:rFonts w:ascii="方正书宋_GBK" w:eastAsia="方正书宋_GBK"/>
                <w:b/>
              </w:rPr>
            </w:pPr>
          </w:p>
        </w:tc>
        <w:tc>
          <w:tcPr>
            <w:tcW w:w="956" w:type="dxa"/>
            <w:noWrap w:val="0"/>
            <w:vAlign w:val="center"/>
          </w:tcPr>
          <w:p>
            <w:pPr>
              <w:spacing w:line="300" w:lineRule="exact"/>
              <w:jc w:val="right"/>
              <w:rPr>
                <w:rFonts w:hint="eastAsia" w:ascii="方正书宋_GBK" w:eastAsia="方正书宋_GBK"/>
                <w:b/>
              </w:rPr>
            </w:pPr>
          </w:p>
        </w:tc>
        <w:tc>
          <w:tcPr>
            <w:tcW w:w="956" w:type="dxa"/>
            <w:noWrap w:val="0"/>
            <w:vAlign w:val="center"/>
          </w:tcPr>
          <w:p>
            <w:pPr>
              <w:spacing w:line="300" w:lineRule="exact"/>
              <w:jc w:val="right"/>
              <w:rPr>
                <w:rFonts w:hint="eastAsia" w:ascii="方正书宋_GBK" w:eastAsia="方正书宋_GBK"/>
                <w:b/>
              </w:rPr>
            </w:pPr>
          </w:p>
        </w:tc>
        <w:tc>
          <w:tcPr>
            <w:tcW w:w="956" w:type="dxa"/>
            <w:noWrap w:val="0"/>
            <w:vAlign w:val="center"/>
          </w:tcPr>
          <w:p>
            <w:pPr>
              <w:spacing w:line="300" w:lineRule="exact"/>
              <w:jc w:val="right"/>
              <w:rPr>
                <w:rFonts w:hint="eastAsia" w:ascii="方正书宋_GBK" w:eastAsia="方正书宋_GBK"/>
                <w:b/>
              </w:rPr>
            </w:pPr>
          </w:p>
        </w:tc>
        <w:tc>
          <w:tcPr>
            <w:tcW w:w="956" w:type="dxa"/>
            <w:noWrap w:val="0"/>
            <w:vAlign w:val="center"/>
          </w:tcPr>
          <w:p>
            <w:pPr>
              <w:spacing w:line="300" w:lineRule="exact"/>
              <w:jc w:val="right"/>
              <w:rPr>
                <w:rFonts w:ascii="方正书宋_GBK" w:eastAsia="方正书宋_GBK"/>
                <w:b/>
              </w:rPr>
            </w:pPr>
          </w:p>
        </w:tc>
        <w:tc>
          <w:tcPr>
            <w:tcW w:w="956" w:type="dxa"/>
            <w:noWrap w:val="0"/>
            <w:vAlign w:val="center"/>
          </w:tcPr>
          <w:p>
            <w:pPr>
              <w:spacing w:line="300" w:lineRule="exact"/>
              <w:jc w:val="right"/>
              <w:rPr>
                <w:rFonts w:ascii="方正书宋_GBK" w:eastAsia="方正书宋_GBK"/>
                <w:b/>
              </w:rPr>
            </w:pPr>
          </w:p>
        </w:tc>
        <w:tc>
          <w:tcPr>
            <w:tcW w:w="956" w:type="dxa"/>
            <w:noWrap w:val="0"/>
            <w:vAlign w:val="center"/>
          </w:tcPr>
          <w:p>
            <w:pPr>
              <w:spacing w:line="300" w:lineRule="exact"/>
              <w:jc w:val="right"/>
              <w:rPr>
                <w:rFonts w:ascii="方正书宋_GBK" w:eastAsia="方正书宋_GBK"/>
                <w:b/>
              </w:rPr>
            </w:pPr>
          </w:p>
        </w:tc>
        <w:tc>
          <w:tcPr>
            <w:tcW w:w="901"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60" w:type="dxa"/>
            <w:noWrap w:val="0"/>
            <w:vAlign w:val="center"/>
          </w:tcPr>
          <w:p>
            <w:pPr>
              <w:spacing w:line="300" w:lineRule="exact"/>
              <w:jc w:val="center"/>
              <w:rPr>
                <w:rFonts w:ascii="方正书宋_GBK" w:eastAsia="方正书宋_GBK"/>
                <w:b/>
              </w:rPr>
            </w:pPr>
            <w:r>
              <w:rPr>
                <w:rFonts w:hint="eastAsia" w:ascii="方正书宋_GBK" w:eastAsia="方正书宋_GBK"/>
                <w:b/>
              </w:rPr>
              <w:t>小计</w:t>
            </w:r>
          </w:p>
        </w:tc>
        <w:tc>
          <w:tcPr>
            <w:tcW w:w="1153" w:type="dxa"/>
            <w:noWrap w:val="0"/>
            <w:vAlign w:val="center"/>
          </w:tcPr>
          <w:p>
            <w:pPr>
              <w:spacing w:line="300" w:lineRule="exact"/>
              <w:jc w:val="right"/>
              <w:rPr>
                <w:rFonts w:ascii="方正书宋_GBK" w:eastAsia="方正书宋_GBK"/>
                <w:b/>
              </w:rPr>
            </w:pPr>
          </w:p>
        </w:tc>
        <w:tc>
          <w:tcPr>
            <w:tcW w:w="1133" w:type="dxa"/>
            <w:noWrap w:val="0"/>
            <w:vAlign w:val="center"/>
          </w:tcPr>
          <w:p>
            <w:pPr>
              <w:spacing w:line="300" w:lineRule="exact"/>
              <w:jc w:val="left"/>
              <w:rPr>
                <w:rFonts w:ascii="方正书宋_GBK" w:eastAsia="方正书宋_GBK"/>
                <w:b/>
              </w:rPr>
            </w:pPr>
          </w:p>
        </w:tc>
        <w:tc>
          <w:tcPr>
            <w:tcW w:w="1232" w:type="dxa"/>
            <w:noWrap w:val="0"/>
            <w:vAlign w:val="center"/>
          </w:tcPr>
          <w:p>
            <w:pPr>
              <w:spacing w:line="300" w:lineRule="exact"/>
              <w:jc w:val="left"/>
              <w:rPr>
                <w:rFonts w:ascii="方正书宋_GBK" w:eastAsia="方正书宋_GBK"/>
                <w:b/>
              </w:rPr>
            </w:pPr>
          </w:p>
        </w:tc>
        <w:tc>
          <w:tcPr>
            <w:tcW w:w="898" w:type="dxa"/>
            <w:noWrap w:val="0"/>
            <w:vAlign w:val="center"/>
          </w:tcPr>
          <w:p>
            <w:pPr>
              <w:spacing w:line="300" w:lineRule="exact"/>
              <w:jc w:val="left"/>
              <w:rPr>
                <w:rFonts w:ascii="方正书宋_GBK" w:eastAsia="方正书宋_GBK"/>
                <w:b/>
              </w:rPr>
            </w:pPr>
          </w:p>
        </w:tc>
        <w:tc>
          <w:tcPr>
            <w:tcW w:w="857" w:type="dxa"/>
            <w:noWrap w:val="0"/>
            <w:vAlign w:val="center"/>
          </w:tcPr>
          <w:p>
            <w:pPr>
              <w:spacing w:line="300" w:lineRule="exact"/>
              <w:jc w:val="right"/>
              <w:rPr>
                <w:rFonts w:ascii="方正书宋_GBK" w:eastAsia="方正书宋_GBK"/>
                <w:b/>
              </w:rPr>
            </w:pPr>
          </w:p>
        </w:tc>
        <w:tc>
          <w:tcPr>
            <w:tcW w:w="887" w:type="dxa"/>
            <w:noWrap w:val="0"/>
            <w:vAlign w:val="center"/>
          </w:tcPr>
          <w:p>
            <w:pPr>
              <w:spacing w:line="300" w:lineRule="exact"/>
              <w:jc w:val="right"/>
              <w:rPr>
                <w:rFonts w:ascii="方正书宋_GBK" w:eastAsia="方正书宋_GBK"/>
                <w:b/>
              </w:rPr>
            </w:pPr>
          </w:p>
        </w:tc>
        <w:tc>
          <w:tcPr>
            <w:tcW w:w="956" w:type="dxa"/>
            <w:noWrap w:val="0"/>
            <w:vAlign w:val="center"/>
          </w:tcPr>
          <w:p>
            <w:pPr>
              <w:spacing w:line="300" w:lineRule="exact"/>
              <w:jc w:val="right"/>
              <w:rPr>
                <w:rFonts w:hint="eastAsia" w:ascii="方正书宋_GBK" w:eastAsia="方正书宋_GBK"/>
                <w:b/>
              </w:rPr>
            </w:pPr>
          </w:p>
        </w:tc>
        <w:tc>
          <w:tcPr>
            <w:tcW w:w="956" w:type="dxa"/>
            <w:noWrap w:val="0"/>
            <w:vAlign w:val="center"/>
          </w:tcPr>
          <w:p>
            <w:pPr>
              <w:spacing w:line="300" w:lineRule="exact"/>
              <w:jc w:val="right"/>
              <w:rPr>
                <w:rFonts w:hint="eastAsia" w:ascii="方正书宋_GBK" w:eastAsia="方正书宋_GBK"/>
                <w:b/>
              </w:rPr>
            </w:pPr>
          </w:p>
        </w:tc>
        <w:tc>
          <w:tcPr>
            <w:tcW w:w="956" w:type="dxa"/>
            <w:noWrap w:val="0"/>
            <w:vAlign w:val="center"/>
          </w:tcPr>
          <w:p>
            <w:pPr>
              <w:spacing w:line="300" w:lineRule="exact"/>
              <w:jc w:val="right"/>
              <w:rPr>
                <w:rFonts w:hint="eastAsia" w:ascii="方正书宋_GBK" w:eastAsia="方正书宋_GBK"/>
                <w:b/>
              </w:rPr>
            </w:pPr>
          </w:p>
        </w:tc>
        <w:tc>
          <w:tcPr>
            <w:tcW w:w="956" w:type="dxa"/>
            <w:noWrap w:val="0"/>
            <w:vAlign w:val="center"/>
          </w:tcPr>
          <w:p>
            <w:pPr>
              <w:spacing w:line="300" w:lineRule="exact"/>
              <w:jc w:val="right"/>
              <w:rPr>
                <w:rFonts w:ascii="方正书宋_GBK" w:eastAsia="方正书宋_GBK"/>
                <w:b/>
              </w:rPr>
            </w:pPr>
          </w:p>
        </w:tc>
        <w:tc>
          <w:tcPr>
            <w:tcW w:w="956" w:type="dxa"/>
            <w:noWrap w:val="0"/>
            <w:vAlign w:val="center"/>
          </w:tcPr>
          <w:p>
            <w:pPr>
              <w:spacing w:line="300" w:lineRule="exact"/>
              <w:jc w:val="right"/>
              <w:rPr>
                <w:rFonts w:ascii="方正书宋_GBK" w:eastAsia="方正书宋_GBK"/>
                <w:b/>
              </w:rPr>
            </w:pPr>
          </w:p>
        </w:tc>
        <w:tc>
          <w:tcPr>
            <w:tcW w:w="956" w:type="dxa"/>
            <w:noWrap w:val="0"/>
            <w:vAlign w:val="center"/>
          </w:tcPr>
          <w:p>
            <w:pPr>
              <w:spacing w:line="300" w:lineRule="exact"/>
              <w:jc w:val="right"/>
              <w:rPr>
                <w:rFonts w:ascii="方正书宋_GBK" w:eastAsia="方正书宋_GBK"/>
                <w:b/>
              </w:rPr>
            </w:pPr>
          </w:p>
        </w:tc>
        <w:tc>
          <w:tcPr>
            <w:tcW w:w="901" w:type="dxa"/>
            <w:noWrap w:val="0"/>
            <w:vAlign w:val="center"/>
          </w:tcPr>
          <w:p>
            <w:pPr>
              <w:spacing w:line="300" w:lineRule="exact"/>
              <w:jc w:val="right"/>
              <w:rPr>
                <w:rFonts w:ascii="方正书宋_GBK" w:eastAsia="方正书宋_GBK"/>
                <w:b/>
              </w:rPr>
            </w:pPr>
          </w:p>
        </w:tc>
      </w:tr>
    </w:tbl>
    <w:p>
      <w:pPr>
        <w:spacing w:line="300" w:lineRule="exact"/>
        <w:jc w:val="left"/>
        <w:outlineLvl w:val="0"/>
        <w:sectPr>
          <w:pgSz w:w="16839" w:h="11907" w:orient="landscape"/>
          <w:pgMar w:top="1361" w:right="1020" w:bottom="1361" w:left="1020" w:header="851" w:footer="992" w:gutter="0"/>
          <w:cols w:space="720" w:num="1"/>
          <w:docGrid w:type="lines" w:linePitch="312" w:charSpace="0"/>
        </w:sectPr>
      </w:pPr>
    </w:p>
    <w:p>
      <w:pPr>
        <w:jc w:val="center"/>
        <w:rPr>
          <w:rFonts w:hint="eastAsia" w:ascii="黑体" w:hAnsi="黑体" w:eastAsia="黑体"/>
          <w:sz w:val="32"/>
          <w:szCs w:val="32"/>
        </w:rPr>
      </w:pPr>
      <w:r>
        <w:rPr>
          <w:rFonts w:hint="eastAsia" w:ascii="黑体" w:hAnsi="黑体" w:eastAsia="黑体"/>
          <w:sz w:val="32"/>
          <w:szCs w:val="32"/>
        </w:rPr>
        <w:t>第七部分：国有资产信息情况说明</w:t>
      </w:r>
    </w:p>
    <w:p>
      <w:pPr>
        <w:rPr>
          <w:rFonts w:hint="eastAsia" w:ascii="宋体" w:hAnsi="宋体"/>
          <w:sz w:val="32"/>
          <w:szCs w:val="32"/>
        </w:rPr>
      </w:pPr>
      <w:r>
        <w:rPr>
          <w:rFonts w:hint="eastAsia" w:ascii="宋体" w:hAnsi="宋体"/>
          <w:sz w:val="32"/>
          <w:szCs w:val="32"/>
        </w:rPr>
        <w:t xml:space="preserve">  </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中共保定市满城区纪委2019年末固定资产总值234.79万元， 2020年无购置固定资产计划。2019年国有资产占有情况见下表：</w:t>
      </w:r>
    </w:p>
    <w:p>
      <w:pPr>
        <w:spacing w:line="520" w:lineRule="exact"/>
        <w:ind w:firstLine="480" w:firstLineChars="200"/>
        <w:rPr>
          <w:rFonts w:hint="eastAsia" w:ascii="仿宋" w:hAnsi="仿宋"/>
          <w:sz w:val="24"/>
          <w:szCs w:val="24"/>
        </w:rPr>
      </w:pPr>
      <w:r>
        <w:rPr>
          <w:rFonts w:hint="eastAsia" w:ascii="宋体" w:hAnsi="宋体" w:cs="Arial"/>
          <w:color w:val="000000"/>
          <w:kern w:val="0"/>
          <w:sz w:val="24"/>
          <w:szCs w:val="24"/>
        </w:rPr>
        <w:t xml:space="preserve">222满城区纪委                                日期：2019年12月31日       </w:t>
      </w:r>
    </w:p>
    <w:tbl>
      <w:tblPr>
        <w:tblStyle w:val="7"/>
        <w:tblW w:w="0" w:type="auto"/>
        <w:tblInd w:w="91" w:type="dxa"/>
        <w:tblLayout w:type="fixed"/>
        <w:tblCellMar>
          <w:top w:w="0" w:type="dxa"/>
          <w:left w:w="108" w:type="dxa"/>
          <w:bottom w:w="0" w:type="dxa"/>
          <w:right w:w="108" w:type="dxa"/>
        </w:tblCellMar>
      </w:tblPr>
      <w:tblGrid>
        <w:gridCol w:w="3631"/>
        <w:gridCol w:w="703"/>
        <w:gridCol w:w="2518"/>
        <w:gridCol w:w="2572"/>
      </w:tblGrid>
      <w:tr>
        <w:tblPrEx>
          <w:tblCellMar>
            <w:top w:w="0" w:type="dxa"/>
            <w:left w:w="108" w:type="dxa"/>
            <w:bottom w:w="0" w:type="dxa"/>
            <w:right w:w="108" w:type="dxa"/>
          </w:tblCellMar>
        </w:tblPrEx>
        <w:trPr>
          <w:trHeight w:val="397" w:hRule="exact"/>
        </w:trPr>
        <w:tc>
          <w:tcPr>
            <w:tcW w:w="36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项    目</w:t>
            </w:r>
          </w:p>
        </w:tc>
        <w:tc>
          <w:tcPr>
            <w:tcW w:w="7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25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p>
        </w:tc>
        <w:tc>
          <w:tcPr>
            <w:tcW w:w="25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p>
        </w:tc>
      </w:tr>
      <w:tr>
        <w:tblPrEx>
          <w:tblCellMar>
            <w:top w:w="0" w:type="dxa"/>
            <w:left w:w="108" w:type="dxa"/>
            <w:bottom w:w="0" w:type="dxa"/>
            <w:right w:w="108" w:type="dxa"/>
          </w:tblCellMar>
        </w:tblPrEx>
        <w:trPr>
          <w:trHeight w:val="397" w:hRule="exact"/>
        </w:trPr>
        <w:tc>
          <w:tcPr>
            <w:tcW w:w="36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s="Arial"/>
                <w:color w:val="000000"/>
                <w:kern w:val="0"/>
                <w:sz w:val="22"/>
              </w:rPr>
            </w:pPr>
          </w:p>
        </w:tc>
        <w:tc>
          <w:tcPr>
            <w:tcW w:w="7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p>
        </w:tc>
        <w:tc>
          <w:tcPr>
            <w:tcW w:w="25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数量</w:t>
            </w:r>
          </w:p>
        </w:tc>
        <w:tc>
          <w:tcPr>
            <w:tcW w:w="25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价值（单位：万元）</w:t>
            </w:r>
          </w:p>
        </w:tc>
      </w:tr>
      <w:tr>
        <w:tblPrEx>
          <w:tblCellMar>
            <w:top w:w="0" w:type="dxa"/>
            <w:left w:w="108" w:type="dxa"/>
            <w:bottom w:w="0" w:type="dxa"/>
            <w:right w:w="108" w:type="dxa"/>
          </w:tblCellMar>
        </w:tblPrEx>
        <w:trPr>
          <w:trHeight w:val="397" w:hRule="exact"/>
        </w:trPr>
        <w:tc>
          <w:tcPr>
            <w:tcW w:w="36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栏    次</w:t>
            </w:r>
          </w:p>
        </w:tc>
        <w:tc>
          <w:tcPr>
            <w:tcW w:w="7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p>
        </w:tc>
        <w:tc>
          <w:tcPr>
            <w:tcW w:w="25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p>
        </w:tc>
        <w:tc>
          <w:tcPr>
            <w:tcW w:w="25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p>
        </w:tc>
      </w:tr>
      <w:tr>
        <w:tblPrEx>
          <w:tblCellMar>
            <w:top w:w="0" w:type="dxa"/>
            <w:left w:w="108" w:type="dxa"/>
            <w:bottom w:w="0" w:type="dxa"/>
            <w:right w:w="108" w:type="dxa"/>
          </w:tblCellMar>
        </w:tblPrEx>
        <w:trPr>
          <w:trHeight w:val="397" w:hRule="exact"/>
        </w:trPr>
        <w:tc>
          <w:tcPr>
            <w:tcW w:w="36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固定资产总额</w:t>
            </w:r>
          </w:p>
        </w:tc>
        <w:tc>
          <w:tcPr>
            <w:tcW w:w="7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25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w:t>
            </w:r>
          </w:p>
        </w:tc>
        <w:tc>
          <w:tcPr>
            <w:tcW w:w="25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234.79</w:t>
            </w:r>
          </w:p>
        </w:tc>
      </w:tr>
      <w:tr>
        <w:tblPrEx>
          <w:tblCellMar>
            <w:top w:w="0" w:type="dxa"/>
            <w:left w:w="108" w:type="dxa"/>
            <w:bottom w:w="0" w:type="dxa"/>
            <w:right w:w="108" w:type="dxa"/>
          </w:tblCellMar>
        </w:tblPrEx>
        <w:trPr>
          <w:trHeight w:val="397" w:hRule="exact"/>
        </w:trPr>
        <w:tc>
          <w:tcPr>
            <w:tcW w:w="36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（一）房屋（平方米）</w:t>
            </w:r>
          </w:p>
        </w:tc>
        <w:tc>
          <w:tcPr>
            <w:tcW w:w="7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25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p>
        </w:tc>
        <w:tc>
          <w:tcPr>
            <w:tcW w:w="25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p>
        </w:tc>
      </w:tr>
      <w:tr>
        <w:tblPrEx>
          <w:tblCellMar>
            <w:top w:w="0" w:type="dxa"/>
            <w:left w:w="108" w:type="dxa"/>
            <w:bottom w:w="0" w:type="dxa"/>
            <w:right w:w="108" w:type="dxa"/>
          </w:tblCellMar>
        </w:tblPrEx>
        <w:trPr>
          <w:trHeight w:val="397" w:hRule="exact"/>
        </w:trPr>
        <w:tc>
          <w:tcPr>
            <w:tcW w:w="36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1.办公用房</w:t>
            </w:r>
          </w:p>
        </w:tc>
        <w:tc>
          <w:tcPr>
            <w:tcW w:w="7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25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p>
        </w:tc>
        <w:tc>
          <w:tcPr>
            <w:tcW w:w="25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p>
        </w:tc>
      </w:tr>
      <w:tr>
        <w:tblPrEx>
          <w:tblCellMar>
            <w:top w:w="0" w:type="dxa"/>
            <w:left w:w="108" w:type="dxa"/>
            <w:bottom w:w="0" w:type="dxa"/>
            <w:right w:w="108" w:type="dxa"/>
          </w:tblCellMar>
        </w:tblPrEx>
        <w:trPr>
          <w:trHeight w:val="397" w:hRule="exact"/>
        </w:trPr>
        <w:tc>
          <w:tcPr>
            <w:tcW w:w="36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2.业务用房</w:t>
            </w:r>
          </w:p>
        </w:tc>
        <w:tc>
          <w:tcPr>
            <w:tcW w:w="7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25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p>
        </w:tc>
        <w:tc>
          <w:tcPr>
            <w:tcW w:w="25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p>
        </w:tc>
      </w:tr>
      <w:tr>
        <w:tblPrEx>
          <w:tblCellMar>
            <w:top w:w="0" w:type="dxa"/>
            <w:left w:w="108" w:type="dxa"/>
            <w:bottom w:w="0" w:type="dxa"/>
            <w:right w:w="108" w:type="dxa"/>
          </w:tblCellMar>
        </w:tblPrEx>
        <w:trPr>
          <w:trHeight w:val="397" w:hRule="exact"/>
        </w:trPr>
        <w:tc>
          <w:tcPr>
            <w:tcW w:w="36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3.其他（不含构筑物）</w:t>
            </w:r>
          </w:p>
        </w:tc>
        <w:tc>
          <w:tcPr>
            <w:tcW w:w="7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25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p>
        </w:tc>
        <w:tc>
          <w:tcPr>
            <w:tcW w:w="25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p>
        </w:tc>
      </w:tr>
      <w:tr>
        <w:tblPrEx>
          <w:tblCellMar>
            <w:top w:w="0" w:type="dxa"/>
            <w:left w:w="108" w:type="dxa"/>
            <w:bottom w:w="0" w:type="dxa"/>
            <w:right w:w="108" w:type="dxa"/>
          </w:tblCellMar>
        </w:tblPrEx>
        <w:trPr>
          <w:trHeight w:val="397" w:hRule="exact"/>
        </w:trPr>
        <w:tc>
          <w:tcPr>
            <w:tcW w:w="36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（二）车辆（台、辆）</w:t>
            </w:r>
          </w:p>
        </w:tc>
        <w:tc>
          <w:tcPr>
            <w:tcW w:w="7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25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8</w:t>
            </w:r>
          </w:p>
        </w:tc>
        <w:tc>
          <w:tcPr>
            <w:tcW w:w="25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78.87</w:t>
            </w:r>
          </w:p>
        </w:tc>
      </w:tr>
      <w:tr>
        <w:tblPrEx>
          <w:tblCellMar>
            <w:top w:w="0" w:type="dxa"/>
            <w:left w:w="108" w:type="dxa"/>
            <w:bottom w:w="0" w:type="dxa"/>
            <w:right w:w="108" w:type="dxa"/>
          </w:tblCellMar>
        </w:tblPrEx>
        <w:trPr>
          <w:trHeight w:val="397" w:hRule="exact"/>
        </w:trPr>
        <w:tc>
          <w:tcPr>
            <w:tcW w:w="36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1.轿车</w:t>
            </w:r>
          </w:p>
        </w:tc>
        <w:tc>
          <w:tcPr>
            <w:tcW w:w="7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25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7</w:t>
            </w:r>
          </w:p>
        </w:tc>
        <w:tc>
          <w:tcPr>
            <w:tcW w:w="25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p>
        </w:tc>
      </w:tr>
      <w:tr>
        <w:tblPrEx>
          <w:tblCellMar>
            <w:top w:w="0" w:type="dxa"/>
            <w:left w:w="108" w:type="dxa"/>
            <w:bottom w:w="0" w:type="dxa"/>
            <w:right w:w="108" w:type="dxa"/>
          </w:tblCellMar>
        </w:tblPrEx>
        <w:trPr>
          <w:trHeight w:val="397" w:hRule="exact"/>
        </w:trPr>
        <w:tc>
          <w:tcPr>
            <w:tcW w:w="36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2.越野车</w:t>
            </w:r>
          </w:p>
        </w:tc>
        <w:tc>
          <w:tcPr>
            <w:tcW w:w="7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25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1</w:t>
            </w:r>
          </w:p>
        </w:tc>
        <w:tc>
          <w:tcPr>
            <w:tcW w:w="25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p>
        </w:tc>
      </w:tr>
      <w:tr>
        <w:tblPrEx>
          <w:tblCellMar>
            <w:top w:w="0" w:type="dxa"/>
            <w:left w:w="108" w:type="dxa"/>
            <w:bottom w:w="0" w:type="dxa"/>
            <w:right w:w="108" w:type="dxa"/>
          </w:tblCellMar>
        </w:tblPrEx>
        <w:trPr>
          <w:trHeight w:val="397" w:hRule="exact"/>
        </w:trPr>
        <w:tc>
          <w:tcPr>
            <w:tcW w:w="36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3.小型载客汽车</w:t>
            </w:r>
          </w:p>
        </w:tc>
        <w:tc>
          <w:tcPr>
            <w:tcW w:w="7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25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p>
        </w:tc>
        <w:tc>
          <w:tcPr>
            <w:tcW w:w="25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p>
        </w:tc>
      </w:tr>
      <w:tr>
        <w:tblPrEx>
          <w:tblCellMar>
            <w:top w:w="0" w:type="dxa"/>
            <w:left w:w="108" w:type="dxa"/>
            <w:bottom w:w="0" w:type="dxa"/>
            <w:right w:w="108" w:type="dxa"/>
          </w:tblCellMar>
        </w:tblPrEx>
        <w:trPr>
          <w:trHeight w:val="397" w:hRule="exact"/>
        </w:trPr>
        <w:tc>
          <w:tcPr>
            <w:tcW w:w="36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4.大中型载客汽车</w:t>
            </w:r>
          </w:p>
        </w:tc>
        <w:tc>
          <w:tcPr>
            <w:tcW w:w="7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c>
          <w:tcPr>
            <w:tcW w:w="25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p>
        </w:tc>
        <w:tc>
          <w:tcPr>
            <w:tcW w:w="25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p>
        </w:tc>
      </w:tr>
      <w:tr>
        <w:tblPrEx>
          <w:tblCellMar>
            <w:top w:w="0" w:type="dxa"/>
            <w:left w:w="108" w:type="dxa"/>
            <w:bottom w:w="0" w:type="dxa"/>
            <w:right w:w="108" w:type="dxa"/>
          </w:tblCellMar>
        </w:tblPrEx>
        <w:trPr>
          <w:trHeight w:val="397" w:hRule="exact"/>
        </w:trPr>
        <w:tc>
          <w:tcPr>
            <w:tcW w:w="36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5.其他车型</w:t>
            </w:r>
          </w:p>
        </w:tc>
        <w:tc>
          <w:tcPr>
            <w:tcW w:w="7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13</w:t>
            </w:r>
          </w:p>
        </w:tc>
        <w:tc>
          <w:tcPr>
            <w:tcW w:w="25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p>
        </w:tc>
        <w:tc>
          <w:tcPr>
            <w:tcW w:w="25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p>
        </w:tc>
      </w:tr>
      <w:tr>
        <w:tblPrEx>
          <w:tblCellMar>
            <w:top w:w="0" w:type="dxa"/>
            <w:left w:w="108" w:type="dxa"/>
            <w:bottom w:w="0" w:type="dxa"/>
            <w:right w:w="108" w:type="dxa"/>
          </w:tblCellMar>
        </w:tblPrEx>
        <w:trPr>
          <w:trHeight w:val="397" w:hRule="exact"/>
        </w:trPr>
        <w:tc>
          <w:tcPr>
            <w:tcW w:w="36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（三）单价在50万元以上的设备（台、套…）</w:t>
            </w:r>
          </w:p>
        </w:tc>
        <w:tc>
          <w:tcPr>
            <w:tcW w:w="7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14</w:t>
            </w:r>
          </w:p>
        </w:tc>
        <w:tc>
          <w:tcPr>
            <w:tcW w:w="25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p>
        </w:tc>
        <w:tc>
          <w:tcPr>
            <w:tcW w:w="25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p>
        </w:tc>
      </w:tr>
      <w:tr>
        <w:tblPrEx>
          <w:tblCellMar>
            <w:top w:w="0" w:type="dxa"/>
            <w:left w:w="108" w:type="dxa"/>
            <w:bottom w:w="0" w:type="dxa"/>
            <w:right w:w="108" w:type="dxa"/>
          </w:tblCellMar>
        </w:tblPrEx>
        <w:trPr>
          <w:trHeight w:val="397" w:hRule="exact"/>
        </w:trPr>
        <w:tc>
          <w:tcPr>
            <w:tcW w:w="36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其中：单价50万元（含）以上的通用设备</w:t>
            </w:r>
          </w:p>
        </w:tc>
        <w:tc>
          <w:tcPr>
            <w:tcW w:w="7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15</w:t>
            </w:r>
          </w:p>
        </w:tc>
        <w:tc>
          <w:tcPr>
            <w:tcW w:w="25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p>
        </w:tc>
        <w:tc>
          <w:tcPr>
            <w:tcW w:w="25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p>
        </w:tc>
      </w:tr>
      <w:tr>
        <w:tblPrEx>
          <w:tblCellMar>
            <w:top w:w="0" w:type="dxa"/>
            <w:left w:w="108" w:type="dxa"/>
            <w:bottom w:w="0" w:type="dxa"/>
            <w:right w:w="108" w:type="dxa"/>
          </w:tblCellMar>
        </w:tblPrEx>
        <w:trPr>
          <w:trHeight w:val="397" w:hRule="exact"/>
        </w:trPr>
        <w:tc>
          <w:tcPr>
            <w:tcW w:w="36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单价100万元（含）以上的专用设备</w:t>
            </w:r>
          </w:p>
        </w:tc>
        <w:tc>
          <w:tcPr>
            <w:tcW w:w="7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16</w:t>
            </w:r>
          </w:p>
        </w:tc>
        <w:tc>
          <w:tcPr>
            <w:tcW w:w="25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p>
        </w:tc>
        <w:tc>
          <w:tcPr>
            <w:tcW w:w="25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p>
        </w:tc>
      </w:tr>
      <w:tr>
        <w:tblPrEx>
          <w:tblCellMar>
            <w:top w:w="0" w:type="dxa"/>
            <w:left w:w="108" w:type="dxa"/>
            <w:bottom w:w="0" w:type="dxa"/>
            <w:right w:w="108" w:type="dxa"/>
          </w:tblCellMar>
        </w:tblPrEx>
        <w:trPr>
          <w:trHeight w:val="397" w:hRule="exact"/>
        </w:trPr>
        <w:tc>
          <w:tcPr>
            <w:tcW w:w="36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（四）其他固定资产</w:t>
            </w:r>
          </w:p>
        </w:tc>
        <w:tc>
          <w:tcPr>
            <w:tcW w:w="7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17</w:t>
            </w:r>
          </w:p>
        </w:tc>
        <w:tc>
          <w:tcPr>
            <w:tcW w:w="25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p>
        </w:tc>
        <w:tc>
          <w:tcPr>
            <w:tcW w:w="25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155.92</w:t>
            </w:r>
          </w:p>
        </w:tc>
      </w:tr>
      <w:tr>
        <w:tblPrEx>
          <w:tblCellMar>
            <w:top w:w="0" w:type="dxa"/>
            <w:left w:w="108" w:type="dxa"/>
            <w:bottom w:w="0" w:type="dxa"/>
            <w:right w:w="108" w:type="dxa"/>
          </w:tblCellMar>
        </w:tblPrEx>
        <w:trPr>
          <w:trHeight w:val="397" w:hRule="exact"/>
        </w:trPr>
        <w:tc>
          <w:tcPr>
            <w:tcW w:w="36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减：累计折旧及减值准备</w:t>
            </w:r>
          </w:p>
        </w:tc>
        <w:tc>
          <w:tcPr>
            <w:tcW w:w="7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18</w:t>
            </w:r>
          </w:p>
        </w:tc>
        <w:tc>
          <w:tcPr>
            <w:tcW w:w="25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p>
        </w:tc>
        <w:tc>
          <w:tcPr>
            <w:tcW w:w="25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p>
        </w:tc>
      </w:tr>
    </w:tbl>
    <w:p>
      <w:pPr>
        <w:spacing w:line="520" w:lineRule="exact"/>
        <w:ind w:firstLine="640" w:firstLineChars="200"/>
        <w:jc w:val="center"/>
        <w:rPr>
          <w:rFonts w:hint="eastAsia" w:ascii="黑体" w:hAnsi="黑体" w:eastAsia="黑体"/>
          <w:sz w:val="32"/>
          <w:szCs w:val="32"/>
        </w:rPr>
      </w:pPr>
    </w:p>
    <w:p>
      <w:pPr>
        <w:numPr>
          <w:ilvl w:val="0"/>
          <w:numId w:val="4"/>
        </w:numPr>
        <w:spacing w:line="520" w:lineRule="exact"/>
        <w:ind w:firstLine="640" w:firstLineChars="200"/>
        <w:jc w:val="center"/>
        <w:rPr>
          <w:rFonts w:hint="eastAsia" w:ascii="黑体" w:hAnsi="黑体" w:eastAsia="黑体"/>
          <w:sz w:val="32"/>
          <w:szCs w:val="32"/>
        </w:rPr>
      </w:pPr>
      <w:r>
        <w:rPr>
          <w:rFonts w:hint="eastAsia" w:ascii="黑体" w:hAnsi="黑体" w:eastAsia="黑体"/>
          <w:sz w:val="32"/>
          <w:szCs w:val="32"/>
        </w:rPr>
        <w:t>分：名词解释</w:t>
      </w:r>
    </w:p>
    <w:p>
      <w:pPr>
        <w:spacing w:line="520" w:lineRule="exact"/>
        <w:rPr>
          <w:rFonts w:hint="eastAsia" w:ascii="黑体" w:hAnsi="黑体" w:eastAsia="黑体"/>
          <w:sz w:val="32"/>
          <w:szCs w:val="32"/>
        </w:rPr>
      </w:pPr>
    </w:p>
    <w:p>
      <w:pPr>
        <w:spacing w:line="520" w:lineRule="exact"/>
        <w:rPr>
          <w:rFonts w:hint="eastAsia" w:ascii="仿宋" w:hAnsi="仿宋" w:eastAsia="仿宋" w:cs="仿宋"/>
          <w:sz w:val="32"/>
          <w:szCs w:val="32"/>
        </w:rPr>
      </w:pPr>
      <w:r>
        <w:rPr>
          <w:rFonts w:hint="eastAsia" w:ascii="黑体" w:hAnsi="黑体" w:eastAsia="黑体"/>
          <w:sz w:val="32"/>
          <w:szCs w:val="32"/>
        </w:rPr>
        <w:t xml:space="preserve">    </w:t>
      </w:r>
      <w:r>
        <w:rPr>
          <w:rFonts w:hint="eastAsia" w:ascii="仿宋" w:hAnsi="仿宋" w:eastAsia="仿宋" w:cs="仿宋"/>
          <w:sz w:val="32"/>
          <w:szCs w:val="32"/>
        </w:rPr>
        <w:t>1、一般公共预算拨款收入：指区级财政当年拨付的资金。</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2、事业收入：指事业单位开展专业业务活动及辅助活动所取得的收入。　　　　　</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3、其他收入：指除上述“财政拨款收入”、“事业收入”等以外的收入。</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4、基本支出：指为保障机构正常运转、完成日常工作任务而发生的人员支出和公用支出。</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5、项目支出：指在基本支出之外为完成特定行政任务和事业发展目标所发生的支出。</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6、上缴上级支出：指所属单位上缴上级的支出。</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三公”经费：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　　　</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20" w:lineRule="exact"/>
        <w:ind w:firstLine="640" w:firstLineChars="200"/>
        <w:rPr>
          <w:rFonts w:hint="eastAsia" w:ascii="仿宋" w:hAnsi="仿宋" w:eastAsia="仿宋" w:cs="仿宋"/>
          <w:sz w:val="32"/>
          <w:szCs w:val="32"/>
        </w:rPr>
      </w:pPr>
    </w:p>
    <w:p>
      <w:pPr>
        <w:spacing w:line="520" w:lineRule="exact"/>
        <w:ind w:firstLine="640" w:firstLineChars="200"/>
        <w:rPr>
          <w:rFonts w:hint="eastAsia" w:ascii="仿宋" w:hAnsi="仿宋" w:eastAsia="仿宋" w:cs="仿宋"/>
          <w:sz w:val="32"/>
          <w:szCs w:val="32"/>
        </w:rPr>
      </w:pPr>
    </w:p>
    <w:p>
      <w:pPr>
        <w:spacing w:line="520" w:lineRule="exact"/>
        <w:ind w:firstLine="640" w:firstLineChars="200"/>
        <w:rPr>
          <w:rFonts w:hint="eastAsia" w:ascii="仿宋" w:hAnsi="仿宋" w:eastAsia="仿宋" w:cs="仿宋"/>
          <w:sz w:val="32"/>
          <w:szCs w:val="32"/>
        </w:rPr>
      </w:pPr>
    </w:p>
    <w:p>
      <w:pPr>
        <w:spacing w:line="520" w:lineRule="exact"/>
        <w:jc w:val="center"/>
        <w:rPr>
          <w:rFonts w:hint="eastAsia" w:ascii="黑体" w:hAnsi="黑体" w:eastAsia="黑体"/>
          <w:sz w:val="32"/>
          <w:szCs w:val="32"/>
        </w:rPr>
      </w:pPr>
      <w:r>
        <w:rPr>
          <w:rFonts w:hint="eastAsia" w:ascii="黑体" w:hAnsi="黑体" w:eastAsia="黑体"/>
          <w:sz w:val="32"/>
          <w:szCs w:val="32"/>
        </w:rPr>
        <w:t>第九部分：其他需说明的事项</w:t>
      </w:r>
    </w:p>
    <w:p>
      <w:pPr>
        <w:spacing w:line="520" w:lineRule="exact"/>
        <w:ind w:firstLine="640" w:firstLineChars="200"/>
        <w:rPr>
          <w:rFonts w:hint="eastAsia" w:ascii="黑体" w:hAnsi="黑体" w:eastAsia="黑体"/>
          <w:sz w:val="32"/>
          <w:szCs w:val="32"/>
        </w:rPr>
      </w:pPr>
      <w:r>
        <w:rPr>
          <w:rFonts w:hint="eastAsia" w:ascii="仿宋" w:hAnsi="仿宋" w:eastAsia="仿宋" w:cs="仿宋"/>
          <w:sz w:val="32"/>
          <w:szCs w:val="32"/>
        </w:rPr>
        <w:t>我部门无其他需说明的事项。</w:t>
      </w:r>
    </w:p>
    <w:p>
      <w:pPr>
        <w:rPr>
          <w:rFonts w:hint="eastAsia" w:ascii="仿宋" w:hAnsi="仿宋" w:eastAsia="仿宋"/>
          <w:sz w:val="32"/>
          <w:szCs w:val="32"/>
        </w:rPr>
      </w:pPr>
    </w:p>
    <w:sectPr>
      <w:pgSz w:w="11907" w:h="16839"/>
      <w:pgMar w:top="1531" w:right="1134" w:bottom="147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楷体_GBK">
    <w:altName w:val="微软雅黑"/>
    <w:panose1 w:val="00000000000000000000"/>
    <w:charset w:val="86"/>
    <w:family w:val="roman"/>
    <w:pitch w:val="default"/>
    <w:sig w:usb0="00000000" w:usb1="00000000" w:usb2="00000000"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19E692"/>
    <w:multiLevelType w:val="singleLevel"/>
    <w:tmpl w:val="E819E692"/>
    <w:lvl w:ilvl="0" w:tentative="0">
      <w:start w:val="5"/>
      <w:numFmt w:val="chineseCounting"/>
      <w:suff w:val="space"/>
      <w:lvlText w:val="第%1部分"/>
      <w:lvlJc w:val="left"/>
      <w:rPr>
        <w:rFonts w:hint="eastAsia"/>
      </w:rPr>
    </w:lvl>
  </w:abstractNum>
  <w:abstractNum w:abstractNumId="1">
    <w:nsid w:val="22D0FE6C"/>
    <w:multiLevelType w:val="singleLevel"/>
    <w:tmpl w:val="22D0FE6C"/>
    <w:lvl w:ilvl="0" w:tentative="0">
      <w:start w:val="4"/>
      <w:numFmt w:val="chineseCounting"/>
      <w:suff w:val="space"/>
      <w:lvlText w:val="第%1部分"/>
      <w:lvlJc w:val="left"/>
      <w:pPr>
        <w:ind w:left="0" w:firstLine="0"/>
      </w:pPr>
      <w:rPr>
        <w:rFonts w:hint="eastAsia"/>
      </w:rPr>
    </w:lvl>
  </w:abstractNum>
  <w:abstractNum w:abstractNumId="2">
    <w:nsid w:val="59F6C17B"/>
    <w:multiLevelType w:val="singleLevel"/>
    <w:tmpl w:val="59F6C17B"/>
    <w:lvl w:ilvl="0" w:tentative="0">
      <w:start w:val="1"/>
      <w:numFmt w:val="chineseCounting"/>
      <w:suff w:val="nothing"/>
      <w:lvlText w:val="第%1部"/>
      <w:lvlJc w:val="left"/>
    </w:lvl>
  </w:abstractNum>
  <w:abstractNum w:abstractNumId="3">
    <w:nsid w:val="59F6CA25"/>
    <w:multiLevelType w:val="singleLevel"/>
    <w:tmpl w:val="59F6CA25"/>
    <w:lvl w:ilvl="0" w:tentative="0">
      <w:start w:val="8"/>
      <w:numFmt w:val="chineseCounting"/>
      <w:suff w:val="nothing"/>
      <w:lvlText w:val="第%1部"/>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A0"/>
    <w:rsid w:val="00000211"/>
    <w:rsid w:val="0001514B"/>
    <w:rsid w:val="000218EE"/>
    <w:rsid w:val="000247BC"/>
    <w:rsid w:val="00027501"/>
    <w:rsid w:val="00041562"/>
    <w:rsid w:val="00055D38"/>
    <w:rsid w:val="00060E04"/>
    <w:rsid w:val="0007278A"/>
    <w:rsid w:val="000A21E7"/>
    <w:rsid w:val="000C1F05"/>
    <w:rsid w:val="000E0ED8"/>
    <w:rsid w:val="000E5258"/>
    <w:rsid w:val="000E70BD"/>
    <w:rsid w:val="000F2552"/>
    <w:rsid w:val="00101A80"/>
    <w:rsid w:val="001038A0"/>
    <w:rsid w:val="00103B47"/>
    <w:rsid w:val="001042D1"/>
    <w:rsid w:val="00112218"/>
    <w:rsid w:val="001157C4"/>
    <w:rsid w:val="0013407A"/>
    <w:rsid w:val="00165822"/>
    <w:rsid w:val="001707B7"/>
    <w:rsid w:val="001859C6"/>
    <w:rsid w:val="00197010"/>
    <w:rsid w:val="001B1FAA"/>
    <w:rsid w:val="001B23DF"/>
    <w:rsid w:val="001D107A"/>
    <w:rsid w:val="001E42EC"/>
    <w:rsid w:val="001F60A6"/>
    <w:rsid w:val="002042DF"/>
    <w:rsid w:val="00245F9B"/>
    <w:rsid w:val="0024617E"/>
    <w:rsid w:val="00277861"/>
    <w:rsid w:val="00280335"/>
    <w:rsid w:val="002B5880"/>
    <w:rsid w:val="002C6748"/>
    <w:rsid w:val="002D4820"/>
    <w:rsid w:val="002D4851"/>
    <w:rsid w:val="002D4C97"/>
    <w:rsid w:val="002E7948"/>
    <w:rsid w:val="00322A0D"/>
    <w:rsid w:val="00332EED"/>
    <w:rsid w:val="0034678A"/>
    <w:rsid w:val="00364B26"/>
    <w:rsid w:val="0037153C"/>
    <w:rsid w:val="0037794C"/>
    <w:rsid w:val="003923FF"/>
    <w:rsid w:val="003B1792"/>
    <w:rsid w:val="004152E7"/>
    <w:rsid w:val="0041797A"/>
    <w:rsid w:val="00422210"/>
    <w:rsid w:val="004226CB"/>
    <w:rsid w:val="00450606"/>
    <w:rsid w:val="00453B31"/>
    <w:rsid w:val="00462BFF"/>
    <w:rsid w:val="00467DCE"/>
    <w:rsid w:val="00475055"/>
    <w:rsid w:val="00485D64"/>
    <w:rsid w:val="0049258C"/>
    <w:rsid w:val="004B65CB"/>
    <w:rsid w:val="004D0FA7"/>
    <w:rsid w:val="004D7BFB"/>
    <w:rsid w:val="004D7FBB"/>
    <w:rsid w:val="004F7499"/>
    <w:rsid w:val="00506EF7"/>
    <w:rsid w:val="00512B8C"/>
    <w:rsid w:val="005244FE"/>
    <w:rsid w:val="00546E02"/>
    <w:rsid w:val="005477A5"/>
    <w:rsid w:val="005608EE"/>
    <w:rsid w:val="005620BB"/>
    <w:rsid w:val="00570168"/>
    <w:rsid w:val="00583A3F"/>
    <w:rsid w:val="00594ED3"/>
    <w:rsid w:val="005F2804"/>
    <w:rsid w:val="006238F8"/>
    <w:rsid w:val="006267D4"/>
    <w:rsid w:val="0063487B"/>
    <w:rsid w:val="0063638E"/>
    <w:rsid w:val="0063740A"/>
    <w:rsid w:val="00664D70"/>
    <w:rsid w:val="006733C6"/>
    <w:rsid w:val="006835FA"/>
    <w:rsid w:val="006C3105"/>
    <w:rsid w:val="006D20BD"/>
    <w:rsid w:val="006D6061"/>
    <w:rsid w:val="00705E07"/>
    <w:rsid w:val="00733E67"/>
    <w:rsid w:val="00742AF8"/>
    <w:rsid w:val="00747EA9"/>
    <w:rsid w:val="00761AA7"/>
    <w:rsid w:val="00761B0E"/>
    <w:rsid w:val="00782357"/>
    <w:rsid w:val="007873EC"/>
    <w:rsid w:val="007C3325"/>
    <w:rsid w:val="007D0633"/>
    <w:rsid w:val="007E18E2"/>
    <w:rsid w:val="007E27C4"/>
    <w:rsid w:val="007E3316"/>
    <w:rsid w:val="007E3323"/>
    <w:rsid w:val="007F0BE1"/>
    <w:rsid w:val="007F2C7B"/>
    <w:rsid w:val="007F50D2"/>
    <w:rsid w:val="0080645C"/>
    <w:rsid w:val="008067A0"/>
    <w:rsid w:val="00816DC4"/>
    <w:rsid w:val="008472F5"/>
    <w:rsid w:val="00864B8D"/>
    <w:rsid w:val="00877B58"/>
    <w:rsid w:val="00881D86"/>
    <w:rsid w:val="00883EA2"/>
    <w:rsid w:val="008875A9"/>
    <w:rsid w:val="008D5125"/>
    <w:rsid w:val="008E42D3"/>
    <w:rsid w:val="00911344"/>
    <w:rsid w:val="0093004D"/>
    <w:rsid w:val="00936ED9"/>
    <w:rsid w:val="009546B2"/>
    <w:rsid w:val="00966566"/>
    <w:rsid w:val="00977DA6"/>
    <w:rsid w:val="00983878"/>
    <w:rsid w:val="00986A49"/>
    <w:rsid w:val="009910B8"/>
    <w:rsid w:val="009A2781"/>
    <w:rsid w:val="009A2D37"/>
    <w:rsid w:val="009C0521"/>
    <w:rsid w:val="009C699D"/>
    <w:rsid w:val="009D6ACA"/>
    <w:rsid w:val="009E16AC"/>
    <w:rsid w:val="009E2DEB"/>
    <w:rsid w:val="009E5FAA"/>
    <w:rsid w:val="009F179E"/>
    <w:rsid w:val="00A5197D"/>
    <w:rsid w:val="00A66840"/>
    <w:rsid w:val="00A7420E"/>
    <w:rsid w:val="00A81EEB"/>
    <w:rsid w:val="00A81F6F"/>
    <w:rsid w:val="00A94AC4"/>
    <w:rsid w:val="00B03917"/>
    <w:rsid w:val="00B10C0C"/>
    <w:rsid w:val="00B22650"/>
    <w:rsid w:val="00B320A0"/>
    <w:rsid w:val="00B36D7C"/>
    <w:rsid w:val="00B44AFA"/>
    <w:rsid w:val="00B7328C"/>
    <w:rsid w:val="00B84A64"/>
    <w:rsid w:val="00BA079F"/>
    <w:rsid w:val="00BB7B66"/>
    <w:rsid w:val="00BD77F4"/>
    <w:rsid w:val="00BF5162"/>
    <w:rsid w:val="00C02023"/>
    <w:rsid w:val="00C17DE3"/>
    <w:rsid w:val="00C46F7D"/>
    <w:rsid w:val="00C50D03"/>
    <w:rsid w:val="00C51C06"/>
    <w:rsid w:val="00C67481"/>
    <w:rsid w:val="00C70723"/>
    <w:rsid w:val="00C86F43"/>
    <w:rsid w:val="00CA742F"/>
    <w:rsid w:val="00CB60A0"/>
    <w:rsid w:val="00CC6EAD"/>
    <w:rsid w:val="00CD6A42"/>
    <w:rsid w:val="00CE1D8A"/>
    <w:rsid w:val="00CF12F5"/>
    <w:rsid w:val="00CF548A"/>
    <w:rsid w:val="00D048A8"/>
    <w:rsid w:val="00D155C8"/>
    <w:rsid w:val="00D364CE"/>
    <w:rsid w:val="00D41703"/>
    <w:rsid w:val="00D500CD"/>
    <w:rsid w:val="00D520E9"/>
    <w:rsid w:val="00D55C67"/>
    <w:rsid w:val="00D64A8A"/>
    <w:rsid w:val="00D824A8"/>
    <w:rsid w:val="00D82A1A"/>
    <w:rsid w:val="00D838F2"/>
    <w:rsid w:val="00D92117"/>
    <w:rsid w:val="00DC36BC"/>
    <w:rsid w:val="00DD36BA"/>
    <w:rsid w:val="00DF08F9"/>
    <w:rsid w:val="00E214DE"/>
    <w:rsid w:val="00E32A75"/>
    <w:rsid w:val="00E54661"/>
    <w:rsid w:val="00E5699D"/>
    <w:rsid w:val="00E56CA4"/>
    <w:rsid w:val="00E6451C"/>
    <w:rsid w:val="00EB4F74"/>
    <w:rsid w:val="00EC12D2"/>
    <w:rsid w:val="00ED2511"/>
    <w:rsid w:val="00ED3A41"/>
    <w:rsid w:val="00F02138"/>
    <w:rsid w:val="00F109B1"/>
    <w:rsid w:val="00F166BA"/>
    <w:rsid w:val="00F4064A"/>
    <w:rsid w:val="00F42369"/>
    <w:rsid w:val="00F5216A"/>
    <w:rsid w:val="00F529D8"/>
    <w:rsid w:val="00F65F33"/>
    <w:rsid w:val="00F66C9F"/>
    <w:rsid w:val="00F841A4"/>
    <w:rsid w:val="00F92312"/>
    <w:rsid w:val="00FE1484"/>
    <w:rsid w:val="00FE6C6A"/>
    <w:rsid w:val="00FF0654"/>
    <w:rsid w:val="00FF6A41"/>
    <w:rsid w:val="010707A2"/>
    <w:rsid w:val="019040E6"/>
    <w:rsid w:val="01D11B72"/>
    <w:rsid w:val="0242039D"/>
    <w:rsid w:val="04A161F1"/>
    <w:rsid w:val="05E6342E"/>
    <w:rsid w:val="095F0569"/>
    <w:rsid w:val="09F25F81"/>
    <w:rsid w:val="0AE75599"/>
    <w:rsid w:val="0BAC4FE0"/>
    <w:rsid w:val="0E646F2F"/>
    <w:rsid w:val="127E3A55"/>
    <w:rsid w:val="1395348E"/>
    <w:rsid w:val="13BC3C09"/>
    <w:rsid w:val="1877233E"/>
    <w:rsid w:val="18AA5240"/>
    <w:rsid w:val="1A0A59C6"/>
    <w:rsid w:val="1A9B6DD2"/>
    <w:rsid w:val="1AEE023E"/>
    <w:rsid w:val="1B342C3F"/>
    <w:rsid w:val="1C481F70"/>
    <w:rsid w:val="1ECA4B17"/>
    <w:rsid w:val="2156365E"/>
    <w:rsid w:val="21FC4CD8"/>
    <w:rsid w:val="23181E08"/>
    <w:rsid w:val="24740EE3"/>
    <w:rsid w:val="24E9718D"/>
    <w:rsid w:val="25475EE1"/>
    <w:rsid w:val="269F67DF"/>
    <w:rsid w:val="26DC1930"/>
    <w:rsid w:val="289C7C13"/>
    <w:rsid w:val="2E860EFD"/>
    <w:rsid w:val="2ED110D9"/>
    <w:rsid w:val="2F3F6683"/>
    <w:rsid w:val="321D2804"/>
    <w:rsid w:val="335F2A99"/>
    <w:rsid w:val="35097478"/>
    <w:rsid w:val="357C4AA5"/>
    <w:rsid w:val="363732F2"/>
    <w:rsid w:val="36A07835"/>
    <w:rsid w:val="37371C97"/>
    <w:rsid w:val="38B2463C"/>
    <w:rsid w:val="393D769A"/>
    <w:rsid w:val="3BB23EAD"/>
    <w:rsid w:val="3DFB63DE"/>
    <w:rsid w:val="3E841013"/>
    <w:rsid w:val="3F0E4CE6"/>
    <w:rsid w:val="3F741CEA"/>
    <w:rsid w:val="400B5311"/>
    <w:rsid w:val="404878CE"/>
    <w:rsid w:val="40D30005"/>
    <w:rsid w:val="41A90D17"/>
    <w:rsid w:val="424C3035"/>
    <w:rsid w:val="425E06B7"/>
    <w:rsid w:val="42872BB3"/>
    <w:rsid w:val="43741F4D"/>
    <w:rsid w:val="47084A32"/>
    <w:rsid w:val="48441D24"/>
    <w:rsid w:val="48AD0FF6"/>
    <w:rsid w:val="49634493"/>
    <w:rsid w:val="4D6C7C87"/>
    <w:rsid w:val="4E86206F"/>
    <w:rsid w:val="50AE5B0F"/>
    <w:rsid w:val="50F628B9"/>
    <w:rsid w:val="5207073A"/>
    <w:rsid w:val="528D2494"/>
    <w:rsid w:val="569B556A"/>
    <w:rsid w:val="597A35BD"/>
    <w:rsid w:val="59B04C2A"/>
    <w:rsid w:val="5C893329"/>
    <w:rsid w:val="5D7E1130"/>
    <w:rsid w:val="5DD94BEE"/>
    <w:rsid w:val="5F6F77BD"/>
    <w:rsid w:val="61855167"/>
    <w:rsid w:val="68E15E2F"/>
    <w:rsid w:val="69A84FDA"/>
    <w:rsid w:val="69E870C8"/>
    <w:rsid w:val="6BBD612C"/>
    <w:rsid w:val="6D6832CD"/>
    <w:rsid w:val="6DC83D3B"/>
    <w:rsid w:val="6E8D62CB"/>
    <w:rsid w:val="70905576"/>
    <w:rsid w:val="717148F4"/>
    <w:rsid w:val="73AD0138"/>
    <w:rsid w:val="7454347E"/>
    <w:rsid w:val="75431895"/>
    <w:rsid w:val="778823B4"/>
    <w:rsid w:val="77C46CA5"/>
    <w:rsid w:val="77D8088E"/>
    <w:rsid w:val="791E01DD"/>
    <w:rsid w:val="7A504115"/>
    <w:rsid w:val="7B1A53C8"/>
    <w:rsid w:val="7CCA1D58"/>
    <w:rsid w:val="7E0311C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0"/>
    <w:pPr>
      <w:spacing w:line="420" w:lineRule="exact"/>
      <w:ind w:firstLine="630"/>
    </w:pPr>
    <w:rPr>
      <w:rFonts w:ascii="Times New Roman" w:hAnsi="Times New Roman" w:eastAsia="仿宋_GB2312"/>
      <w:sz w:val="32"/>
      <w:szCs w:val="24"/>
    </w:rPr>
  </w:style>
  <w:style w:type="paragraph" w:styleId="3">
    <w:name w:val="footer"/>
    <w:basedOn w:val="1"/>
    <w:link w:val="12"/>
    <w:unhideWhenUsed/>
    <w:uiPriority w:val="99"/>
    <w:pPr>
      <w:tabs>
        <w:tab w:val="center" w:pos="4153"/>
        <w:tab w:val="right" w:pos="8306"/>
      </w:tabs>
      <w:snapToGrid w:val="0"/>
      <w:jc w:val="left"/>
    </w:pPr>
    <w:rPr>
      <w:kern w:val="0"/>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kern w:val="0"/>
      <w:sz w:val="18"/>
      <w:szCs w:val="18"/>
    </w:rPr>
  </w:style>
  <w:style w:type="paragraph" w:styleId="5">
    <w:name w:val="toc 1"/>
    <w:basedOn w:val="1"/>
    <w:next w:val="1"/>
    <w:unhideWhenUsed/>
    <w:uiPriority w:val="39"/>
  </w:style>
  <w:style w:type="paragraph" w:styleId="6">
    <w:name w:val="toc 2"/>
    <w:basedOn w:val="1"/>
    <w:next w:val="1"/>
    <w:unhideWhenUsed/>
    <w:uiPriority w:val="39"/>
    <w:pPr>
      <w:ind w:left="420" w:leftChars="200"/>
    </w:pPr>
  </w:style>
  <w:style w:type="table" w:styleId="8">
    <w:name w:val="Table Grid"/>
    <w:basedOn w:val="7"/>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unhideWhenUsed/>
    <w:uiPriority w:val="99"/>
  </w:style>
  <w:style w:type="character" w:customStyle="1" w:styleId="11">
    <w:name w:val="正文文本缩进 Char"/>
    <w:link w:val="2"/>
    <w:uiPriority w:val="0"/>
    <w:rPr>
      <w:rFonts w:ascii="Times New Roman" w:hAnsi="Times New Roman" w:eastAsia="仿宋_GB2312"/>
      <w:kern w:val="2"/>
      <w:sz w:val="32"/>
      <w:szCs w:val="24"/>
    </w:rPr>
  </w:style>
  <w:style w:type="character" w:customStyle="1" w:styleId="12">
    <w:name w:val="页脚 Char"/>
    <w:link w:val="3"/>
    <w:uiPriority w:val="99"/>
    <w:rPr>
      <w:sz w:val="18"/>
      <w:szCs w:val="18"/>
    </w:rPr>
  </w:style>
  <w:style w:type="character" w:customStyle="1" w:styleId="13">
    <w:name w:val="页眉 Char"/>
    <w:link w:val="4"/>
    <w:uiPriority w:val="99"/>
    <w:rPr>
      <w:sz w:val="18"/>
      <w:szCs w:val="18"/>
    </w:rPr>
  </w:style>
  <w:style w:type="paragraph" w:customStyle="1" w:styleId="14">
    <w:name w:val="[Normal]"/>
    <w:uiPriority w:val="99"/>
    <w:pPr>
      <w:widowControl w:val="0"/>
      <w:autoSpaceDE w:val="0"/>
      <w:autoSpaceDN w:val="0"/>
      <w:adjustRightInd w:val="0"/>
    </w:pPr>
    <w:rPr>
      <w:rFonts w:ascii="宋体" w:hAnsi="Times New Roman" w:eastAsia="宋体" w:cs="宋体"/>
      <w:sz w:val="24"/>
      <w:szCs w:val="24"/>
      <w:lang w:val="en-US" w:eastAsia="zh-CN" w:bidi="ar-SA"/>
    </w:rPr>
  </w:style>
  <w:style w:type="paragraph" w:styleId="15">
    <w:name w:val="List Paragraph"/>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14</Pages>
  <Words>1182</Words>
  <Characters>6739</Characters>
  <Lines>56</Lines>
  <Paragraphs>15</Paragraphs>
  <TotalTime>1</TotalTime>
  <ScaleCrop>false</ScaleCrop>
  <LinksUpToDate>false</LinksUpToDate>
  <CharactersWithSpaces>7906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2021-05-31T12:22:00Z</dcterms:created>
  <dc:creator>suix</dc:creator>
  <cp:lastModifiedBy>Administrator</cp:lastModifiedBy>
  <dcterms:modified xsi:type="dcterms:W3CDTF">2024-01-11T03:13:11Z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E6ABA7AD085D4486ABADA65648FBEBC4</vt:lpwstr>
  </property>
</Properties>
</file>