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eastAsia="方正小标宋_GBK"/>
          <w:sz w:val="52"/>
        </w:rPr>
      </w:pPr>
      <w:r>
        <w:rPr>
          <w:rFonts w:ascii="方正小标宋_GBK" w:eastAsia="方正小标宋_GBK"/>
          <w:sz w:val="52"/>
        </w:rPr>
        <w:t xml:space="preserve"> </w:t>
      </w:r>
      <w:r>
        <w:rPr>
          <w:rFonts w:hint="eastAsia" w:ascii="楷体" w:hAnsi="楷体" w:eastAsia="楷体" w:cs="楷体"/>
          <w:b/>
          <w:color w:val="000000"/>
          <w:kern w:val="0"/>
          <w:sz w:val="44"/>
          <w:szCs w:val="44"/>
        </w:rPr>
        <w:t>满城区刘家台乡人民政府</w:t>
      </w:r>
    </w:p>
    <w:p>
      <w:pPr>
        <w:widowControl/>
        <w:snapToGrid w:val="0"/>
        <w:spacing w:before="100" w:beforeAutospacing="1" w:after="100" w:afterAutospacing="1" w:line="640" w:lineRule="exact"/>
        <w:jc w:val="center"/>
        <w:rPr>
          <w:rFonts w:hint="eastAsia" w:ascii="楷体" w:hAnsi="楷体" w:eastAsia="楷体" w:cs="楷体"/>
          <w:b/>
          <w:color w:val="000000"/>
          <w:kern w:val="0"/>
          <w:sz w:val="44"/>
          <w:szCs w:val="44"/>
        </w:rPr>
      </w:pPr>
      <w:r>
        <w:rPr>
          <w:rFonts w:hint="eastAsia" w:ascii="楷体" w:hAnsi="楷体" w:eastAsia="楷体" w:cs="楷体"/>
          <w:b/>
          <w:color w:val="000000"/>
          <w:kern w:val="0"/>
          <w:sz w:val="44"/>
          <w:szCs w:val="44"/>
        </w:rPr>
        <w:t>2019年部门预算信息公开说明</w:t>
      </w:r>
    </w:p>
    <w:p>
      <w:pPr>
        <w:widowControl/>
        <w:snapToGrid w:val="0"/>
        <w:spacing w:before="100" w:beforeAutospacing="1" w:after="100" w:afterAutospacing="1" w:line="640" w:lineRule="exact"/>
        <w:jc w:val="left"/>
        <w:rPr>
          <w:rFonts w:hint="eastAsia" w:ascii="楷体" w:hAnsi="楷体" w:eastAsia="楷体" w:cs="楷体"/>
          <w:sz w:val="32"/>
          <w:szCs w:val="32"/>
        </w:rPr>
      </w:pPr>
      <w:r>
        <w:rPr>
          <w:rFonts w:hint="eastAsia" w:ascii="楷体" w:hAnsi="楷体" w:eastAsia="楷体" w:cs="楷体"/>
          <w:bCs/>
          <w:color w:val="000000"/>
          <w:kern w:val="0"/>
          <w:sz w:val="44"/>
          <w:szCs w:val="44"/>
        </w:rPr>
        <w:t xml:space="preserve">   </w:t>
      </w:r>
      <w:r>
        <w:rPr>
          <w:rFonts w:hint="eastAsia" w:ascii="楷体" w:hAnsi="楷体" w:eastAsia="楷体" w:cs="楷体"/>
          <w:sz w:val="32"/>
          <w:szCs w:val="32"/>
        </w:rPr>
        <w:t>按照《</w:t>
      </w:r>
      <w:r>
        <w:rPr>
          <w:rFonts w:hint="eastAsia" w:ascii="楷体" w:hAnsi="楷体" w:eastAsia="楷体" w:cs="楷体"/>
          <w:sz w:val="32"/>
          <w:szCs w:val="32"/>
          <w:lang w:val="en-US" w:eastAsia="zh-CN"/>
        </w:rPr>
        <w:t>中华人民共和国</w:t>
      </w:r>
      <w:r>
        <w:rPr>
          <w:rFonts w:hint="eastAsia" w:ascii="楷体" w:hAnsi="楷体" w:eastAsia="楷体" w:cs="楷体"/>
          <w:sz w:val="32"/>
          <w:szCs w:val="32"/>
        </w:rPr>
        <w:t>预算法》、《地方预决算公开操作规程》和《河北省省级预算公开办法》规定，现将满城区刘家台乡部门预算公开如下：</w:t>
      </w:r>
    </w:p>
    <w:p>
      <w:pPr>
        <w:jc w:val="center"/>
        <w:rPr>
          <w:rFonts w:hint="eastAsia" w:ascii="楷体" w:hAnsi="楷体" w:eastAsia="楷体" w:cs="楷体"/>
          <w:b/>
          <w:sz w:val="32"/>
          <w:szCs w:val="32"/>
        </w:rPr>
      </w:pPr>
      <w:r>
        <w:rPr>
          <w:rFonts w:hint="eastAsia" w:ascii="楷体" w:hAnsi="楷体" w:eastAsia="楷体" w:cs="楷体"/>
          <w:b/>
          <w:sz w:val="32"/>
          <w:szCs w:val="32"/>
        </w:rPr>
        <w:t>第一部分:部门职责及机构设置</w:t>
      </w:r>
    </w:p>
    <w:p>
      <w:pPr>
        <w:ind w:firstLine="643" w:firstLineChars="200"/>
        <w:rPr>
          <w:rFonts w:hint="eastAsia" w:ascii="楷体" w:hAnsi="楷体" w:eastAsia="楷体" w:cs="楷体"/>
          <w:b/>
          <w:sz w:val="32"/>
          <w:szCs w:val="32"/>
        </w:rPr>
      </w:pPr>
      <w:r>
        <w:rPr>
          <w:rFonts w:hint="eastAsia" w:ascii="楷体" w:hAnsi="楷体" w:eastAsia="楷体" w:cs="楷体"/>
          <w:b/>
          <w:sz w:val="32"/>
          <w:szCs w:val="32"/>
        </w:rPr>
        <w:t>一、部门职责</w:t>
      </w:r>
    </w:p>
    <w:p>
      <w:pPr>
        <w:ind w:firstLine="640" w:firstLineChars="200"/>
        <w:rPr>
          <w:rFonts w:hint="eastAsia" w:ascii="楷体" w:hAnsi="楷体" w:eastAsia="楷体" w:cs="楷体"/>
          <w:b/>
          <w:sz w:val="32"/>
          <w:szCs w:val="32"/>
        </w:rPr>
      </w:pPr>
      <w:r>
        <w:rPr>
          <w:rFonts w:hint="eastAsia" w:ascii="楷体" w:hAnsi="楷体" w:eastAsia="楷体" w:cs="楷体"/>
          <w:kern w:val="0"/>
          <w:sz w:val="32"/>
          <w:szCs w:val="32"/>
        </w:rPr>
        <w:t>满城区刘家台乡由行政编制和事业编制组成，满城区刘家台乡主要职责是：</w:t>
      </w:r>
    </w:p>
    <w:p>
      <w:pPr>
        <w:widowControl/>
        <w:snapToGrid w:val="0"/>
        <w:spacing w:line="64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1、</w:t>
      </w:r>
      <w:r>
        <w:rPr>
          <w:rFonts w:hint="eastAsia" w:ascii="楷体" w:hAnsi="楷体" w:eastAsia="楷体" w:cs="楷体"/>
          <w:color w:val="000000"/>
          <w:kern w:val="0"/>
          <w:sz w:val="32"/>
          <w:szCs w:val="32"/>
        </w:rPr>
        <w:t>执行本级人民代表大会的决议和上级国家行政机关的决定和命令，发布决定和命令，</w:t>
      </w:r>
      <w:r>
        <w:rPr>
          <w:rFonts w:hint="eastAsia" w:ascii="楷体" w:hAnsi="楷体" w:eastAsia="楷体" w:cs="楷体"/>
          <w:sz w:val="32"/>
          <w:szCs w:val="32"/>
        </w:rPr>
        <w:t>确保依法履行职责，完成目标任务。承担本乡人大换届选举、乡区领导人的选举和常委会人事任免的服务工作；负责对本乡政府组成人员和乡人民法院主要负责人的目标责任书、述职报告的督办工作。</w:t>
      </w:r>
    </w:p>
    <w:p>
      <w:pPr>
        <w:ind w:firstLine="640" w:firstLineChars="200"/>
        <w:rPr>
          <w:rFonts w:hint="eastAsia" w:ascii="楷体" w:hAnsi="楷体" w:eastAsia="楷体" w:cs="楷体"/>
          <w:kern w:val="0"/>
          <w:sz w:val="32"/>
          <w:szCs w:val="32"/>
        </w:rPr>
      </w:pPr>
      <w:r>
        <w:rPr>
          <w:rFonts w:hint="eastAsia" w:ascii="楷体" w:hAnsi="楷体" w:eastAsia="楷体" w:cs="楷体"/>
          <w:kern w:val="0"/>
          <w:sz w:val="32"/>
          <w:szCs w:val="32"/>
        </w:rPr>
        <w:t>2、完成党委、人大、纪检、组织、宣传、统计、妇联等工作，协调各办公室的工作关系，完成政府日常事务和机关后勤工作，完成党委政府交办的其他事项。</w:t>
      </w:r>
    </w:p>
    <w:p>
      <w:pPr>
        <w:ind w:firstLine="640" w:firstLineChars="200"/>
        <w:rPr>
          <w:rFonts w:hint="eastAsia" w:ascii="楷体" w:hAnsi="楷体" w:eastAsia="楷体" w:cs="楷体"/>
          <w:kern w:val="0"/>
          <w:sz w:val="32"/>
          <w:szCs w:val="32"/>
        </w:rPr>
      </w:pPr>
      <w:r>
        <w:rPr>
          <w:rFonts w:hint="eastAsia" w:ascii="楷体" w:hAnsi="楷体" w:eastAsia="楷体" w:cs="楷体"/>
          <w:kern w:val="0"/>
          <w:sz w:val="32"/>
          <w:szCs w:val="32"/>
        </w:rPr>
        <w:t>3、排查、化解影响社会稳定的重大不稳定隐患、群体性事件和突发事件及影响国家安全的事件。认真做好群众来信来访工作，特别是涉及政法各部门的案件，信件，要及时准确的做好解释疏导工作，并转办（交办)政法各部限期办理或督导检查落实情况，维护群众利益诉求。完善矛盾纠纷排查机制，对乡镇内矛盾纠纷随时排查及时化解，做到小事不出村，大事不出乡镇，把矛盾化解在基层、化解在萌芽状态。组织开展好全国两会及其他重要时期公路护路联防工作，维护好公路的安全运行，保障公路运输及过往人员安全.</w:t>
      </w:r>
    </w:p>
    <w:p>
      <w:pPr>
        <w:ind w:firstLine="640" w:firstLineChars="200"/>
        <w:rPr>
          <w:rFonts w:hint="eastAsia" w:ascii="楷体" w:hAnsi="楷体" w:eastAsia="楷体" w:cs="楷体"/>
          <w:kern w:val="0"/>
          <w:sz w:val="32"/>
          <w:szCs w:val="32"/>
        </w:rPr>
      </w:pPr>
      <w:r>
        <w:rPr>
          <w:rFonts w:hint="eastAsia" w:ascii="楷体" w:hAnsi="楷体" w:eastAsia="楷体" w:cs="楷体"/>
          <w:kern w:val="0"/>
          <w:sz w:val="32"/>
          <w:szCs w:val="32"/>
        </w:rPr>
        <w:t>4、负责编制乡财政预算、决算预算，财政工作加强财务会计管理工作，依法按照财经制度管理会计事务。维护财经制度，办理好各项财经事项。</w:t>
      </w:r>
    </w:p>
    <w:p>
      <w:pPr>
        <w:ind w:firstLine="640" w:firstLineChars="200"/>
        <w:rPr>
          <w:rFonts w:hint="eastAsia" w:ascii="楷体" w:hAnsi="楷体" w:eastAsia="楷体" w:cs="楷体"/>
          <w:kern w:val="0"/>
          <w:sz w:val="32"/>
          <w:szCs w:val="32"/>
        </w:rPr>
      </w:pPr>
      <w:r>
        <w:rPr>
          <w:rFonts w:hint="eastAsia" w:ascii="楷体" w:hAnsi="楷体" w:eastAsia="楷体" w:cs="楷体"/>
          <w:kern w:val="0"/>
          <w:sz w:val="32"/>
          <w:szCs w:val="32"/>
        </w:rPr>
        <w:t>5、负责本行政区域内的公用设施建设、安全和应急管理；落实村庄和小城镇建设政策；指导农村住房建设、住房安全和危房改造；改善小城镇和村庄人居环境。</w:t>
      </w:r>
    </w:p>
    <w:p>
      <w:pPr>
        <w:ind w:firstLine="640" w:firstLineChars="200"/>
        <w:rPr>
          <w:rFonts w:hint="eastAsia" w:ascii="楷体" w:hAnsi="楷体" w:eastAsia="楷体" w:cs="楷体"/>
          <w:kern w:val="0"/>
          <w:sz w:val="32"/>
          <w:szCs w:val="32"/>
        </w:rPr>
      </w:pPr>
      <w:r>
        <w:rPr>
          <w:rFonts w:hint="eastAsia" w:ascii="楷体" w:hAnsi="楷体" w:eastAsia="楷体" w:cs="楷体"/>
          <w:kern w:val="0"/>
          <w:sz w:val="32"/>
          <w:szCs w:val="32"/>
        </w:rPr>
        <w:t>6、管理乡镇机关网络建设、运转维护和电子政务；机关标准化建设、保密、档案以及政务接待、公务。办公楼修缮、供水、供电、供暖以及机关环境绿化美化、卫生保洁、安全保卫。离退休干部慰问。党组织活动。处理人民群众来信、来访。</w:t>
      </w:r>
    </w:p>
    <w:p>
      <w:pPr>
        <w:ind w:firstLine="640" w:firstLineChars="200"/>
        <w:rPr>
          <w:rFonts w:hint="eastAsia" w:ascii="楷体" w:hAnsi="楷体" w:eastAsia="楷体" w:cs="楷体"/>
          <w:kern w:val="0"/>
          <w:sz w:val="32"/>
          <w:szCs w:val="32"/>
        </w:rPr>
      </w:pPr>
      <w:r>
        <w:rPr>
          <w:rFonts w:hint="eastAsia" w:ascii="楷体" w:hAnsi="楷体" w:eastAsia="楷体" w:cs="楷体"/>
          <w:kern w:val="0"/>
          <w:sz w:val="32"/>
          <w:szCs w:val="32"/>
        </w:rPr>
        <w:t>7、组织、引导、支持，农民自愿参加新型农村合作医疗，提高农村居民的医疗保障水平；建立大病保险制度；对城乡居民因患大病发生的高额医疗费用给予报销。</w:t>
      </w:r>
    </w:p>
    <w:p>
      <w:pPr>
        <w:ind w:firstLine="640" w:firstLineChars="200"/>
        <w:rPr>
          <w:rFonts w:hint="eastAsia" w:ascii="楷体" w:hAnsi="楷体" w:eastAsia="楷体" w:cs="楷体"/>
          <w:kern w:val="0"/>
          <w:sz w:val="32"/>
          <w:szCs w:val="32"/>
        </w:rPr>
      </w:pPr>
      <w:r>
        <w:rPr>
          <w:rFonts w:hint="eastAsia" w:ascii="楷体" w:hAnsi="楷体" w:eastAsia="楷体" w:cs="楷体"/>
          <w:kern w:val="0"/>
          <w:sz w:val="32"/>
          <w:szCs w:val="32"/>
        </w:rPr>
        <w:t>8、提供各类计划生育技术服务，建立利益导向机制，开展出生人口性别比治理以及流动人口计划生育管理等各项工作。</w:t>
      </w:r>
      <w:r>
        <w:rPr>
          <w:rFonts w:hint="eastAsia" w:ascii="楷体" w:hAnsi="楷体" w:eastAsia="楷体" w:cs="楷体"/>
          <w:kern w:val="0"/>
          <w:sz w:val="32"/>
          <w:szCs w:val="32"/>
        </w:rPr>
        <w:tab/>
      </w:r>
    </w:p>
    <w:p>
      <w:pPr>
        <w:ind w:firstLine="640" w:firstLineChars="200"/>
        <w:rPr>
          <w:rFonts w:hint="eastAsia" w:ascii="楷体" w:hAnsi="楷体" w:eastAsia="楷体" w:cs="楷体"/>
          <w:kern w:val="0"/>
          <w:sz w:val="32"/>
          <w:szCs w:val="32"/>
        </w:rPr>
      </w:pPr>
      <w:r>
        <w:rPr>
          <w:rFonts w:hint="eastAsia" w:ascii="楷体" w:hAnsi="楷体" w:eastAsia="楷体" w:cs="楷体"/>
          <w:kern w:val="0"/>
          <w:sz w:val="32"/>
          <w:szCs w:val="32"/>
        </w:rPr>
        <w:t>9、协助完成国家下达的广播直播卫星户户通工程、农村电影工作、数字影院升级改造、农家书屋建设、全民阅读活动、老放映员生活补助以及应急广播体系建设等任务目标。</w:t>
      </w:r>
    </w:p>
    <w:p>
      <w:pPr>
        <w:ind w:firstLine="640" w:firstLineChars="200"/>
        <w:rPr>
          <w:rFonts w:hint="eastAsia" w:ascii="楷体" w:hAnsi="楷体" w:eastAsia="楷体" w:cs="楷体"/>
          <w:kern w:val="0"/>
          <w:sz w:val="32"/>
          <w:szCs w:val="32"/>
        </w:rPr>
      </w:pPr>
      <w:r>
        <w:rPr>
          <w:rFonts w:hint="eastAsia" w:ascii="楷体" w:hAnsi="楷体" w:eastAsia="楷体" w:cs="楷体"/>
          <w:kern w:val="0"/>
          <w:sz w:val="32"/>
          <w:szCs w:val="32"/>
        </w:rPr>
        <w:t>10、承担全乡安全生产综合监督管理责任，依法行使综合监督管理职权；根据《</w:t>
      </w:r>
      <w:r>
        <w:rPr>
          <w:rFonts w:hint="eastAsia" w:ascii="楷体" w:hAnsi="楷体" w:eastAsia="楷体" w:cs="楷体"/>
          <w:kern w:val="0"/>
          <w:sz w:val="32"/>
          <w:szCs w:val="32"/>
          <w:lang w:eastAsia="zh-CN"/>
        </w:rPr>
        <w:t>中华人民共和国安全生产法</w:t>
      </w:r>
      <w:r>
        <w:rPr>
          <w:rFonts w:hint="eastAsia" w:ascii="楷体" w:hAnsi="楷体" w:eastAsia="楷体" w:cs="楷体"/>
          <w:kern w:val="0"/>
          <w:sz w:val="32"/>
          <w:szCs w:val="32"/>
        </w:rPr>
        <w:t>》、《安全生产违法行为行政处罚办法》等法律法规，依法开展执法检查工作，对发现的安全生产违法行为依法进行行政处罚，遏制重特大事故发生，确保全乡安全生产形势稳定好转。</w:t>
      </w:r>
    </w:p>
    <w:p>
      <w:pPr>
        <w:ind w:firstLine="640" w:firstLineChars="200"/>
        <w:rPr>
          <w:rFonts w:hint="eastAsia" w:ascii="楷体" w:hAnsi="楷体" w:eastAsia="楷体" w:cs="楷体"/>
          <w:kern w:val="0"/>
          <w:sz w:val="32"/>
          <w:szCs w:val="32"/>
        </w:rPr>
      </w:pPr>
      <w:r>
        <w:rPr>
          <w:rFonts w:hint="eastAsia" w:ascii="楷体" w:hAnsi="楷体" w:eastAsia="楷体" w:cs="楷体"/>
          <w:kern w:val="0"/>
          <w:sz w:val="32"/>
          <w:szCs w:val="32"/>
        </w:rPr>
        <w:t>11、推进新农村建设</w:t>
      </w:r>
    </w:p>
    <w:p>
      <w:pPr>
        <w:ind w:firstLine="640" w:firstLineChars="200"/>
        <w:rPr>
          <w:rFonts w:hint="eastAsia" w:ascii="楷体" w:hAnsi="楷体" w:eastAsia="楷体" w:cs="楷体"/>
          <w:kern w:val="0"/>
          <w:sz w:val="32"/>
          <w:szCs w:val="32"/>
        </w:rPr>
      </w:pPr>
      <w:r>
        <w:rPr>
          <w:rFonts w:hint="eastAsia" w:ascii="楷体" w:hAnsi="楷体" w:eastAsia="楷体" w:cs="楷体"/>
          <w:kern w:val="0"/>
          <w:sz w:val="32"/>
          <w:szCs w:val="32"/>
        </w:rPr>
        <w:t>通过实施农村面貌改造提升行动和开展新民居中心村示范点建设，加快建设社会主义新农村。改善农村环境面貌，提升农民生产生活条件。</w:t>
      </w:r>
    </w:p>
    <w:p>
      <w:pPr>
        <w:pStyle w:val="14"/>
        <w:numPr>
          <w:ilvl w:val="0"/>
          <w:numId w:val="1"/>
        </w:numPr>
        <w:spacing w:line="520" w:lineRule="exact"/>
        <w:ind w:firstLine="736" w:firstLineChars="230"/>
        <w:rPr>
          <w:rFonts w:hint="eastAsia" w:ascii="楷体" w:hAnsi="楷体" w:eastAsia="楷体" w:cs="楷体"/>
          <w:b/>
          <w:bCs/>
          <w:sz w:val="32"/>
          <w:szCs w:val="32"/>
        </w:rPr>
      </w:pPr>
      <w:r>
        <w:rPr>
          <w:rFonts w:hint="eastAsia" w:ascii="楷体" w:hAnsi="楷体" w:eastAsia="楷体" w:cs="楷体"/>
          <w:sz w:val="32"/>
          <w:szCs w:val="32"/>
        </w:rPr>
        <w:t>民政事务管理，做好对五保户、低保户、贫困户、大病医疗救助、防灾、减灾、救灾工作。做好对五保户、低保户贫困户、大病医疗救助、防灾、减灾、救灾款项的及时发放。</w:t>
      </w:r>
    </w:p>
    <w:p>
      <w:pPr>
        <w:pStyle w:val="14"/>
        <w:spacing w:line="520" w:lineRule="exact"/>
        <w:ind w:firstLine="643"/>
        <w:rPr>
          <w:rFonts w:hint="eastAsia" w:ascii="楷体" w:hAnsi="楷体" w:eastAsia="楷体" w:cs="楷体"/>
          <w:b/>
          <w:bCs/>
          <w:sz w:val="32"/>
          <w:szCs w:val="32"/>
        </w:rPr>
      </w:pPr>
      <w:r>
        <w:rPr>
          <w:rFonts w:hint="eastAsia" w:ascii="楷体" w:hAnsi="楷体" w:eastAsia="楷体" w:cs="楷体"/>
          <w:b/>
          <w:bCs/>
          <w:sz w:val="32"/>
          <w:szCs w:val="32"/>
        </w:rPr>
        <w:t>二、机构设置</w:t>
      </w:r>
    </w:p>
    <w:tbl>
      <w:tblPr>
        <w:tblStyle w:val="9"/>
        <w:tblW w:w="0" w:type="auto"/>
        <w:tblInd w:w="93" w:type="dxa"/>
        <w:tblLayout w:type="fixed"/>
        <w:tblCellMar>
          <w:top w:w="0" w:type="dxa"/>
          <w:left w:w="108" w:type="dxa"/>
          <w:bottom w:w="0" w:type="dxa"/>
          <w:right w:w="108" w:type="dxa"/>
        </w:tblCellMar>
      </w:tblPr>
      <w:tblGrid>
        <w:gridCol w:w="1080"/>
        <w:gridCol w:w="2320"/>
        <w:gridCol w:w="2120"/>
        <w:gridCol w:w="1900"/>
        <w:gridCol w:w="2376"/>
      </w:tblGrid>
      <w:tr>
        <w:tblPrEx>
          <w:tblCellMar>
            <w:top w:w="0" w:type="dxa"/>
            <w:left w:w="108" w:type="dxa"/>
            <w:bottom w:w="0" w:type="dxa"/>
            <w:right w:w="108" w:type="dxa"/>
          </w:tblCellMar>
        </w:tblPrEx>
        <w:trPr>
          <w:trHeight w:val="810" w:hRule="atLeast"/>
        </w:trPr>
        <w:tc>
          <w:tcPr>
            <w:tcW w:w="9796" w:type="dxa"/>
            <w:gridSpan w:val="5"/>
            <w:tcBorders>
              <w:top w:val="nil"/>
              <w:left w:val="nil"/>
              <w:bottom w:val="single" w:color="auto" w:sz="4" w:space="0"/>
              <w:right w:val="nil"/>
            </w:tcBorders>
            <w:noWrap w:val="0"/>
            <w:vAlign w:val="center"/>
          </w:tcPr>
          <w:p>
            <w:pPr>
              <w:widowControl/>
              <w:spacing w:line="54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部门机构设置情况</w:t>
            </w:r>
          </w:p>
        </w:tc>
      </w:tr>
      <w:tr>
        <w:tblPrEx>
          <w:tblCellMar>
            <w:top w:w="0" w:type="dxa"/>
            <w:left w:w="108" w:type="dxa"/>
            <w:bottom w:w="0" w:type="dxa"/>
            <w:right w:w="108" w:type="dxa"/>
          </w:tblCellMar>
        </w:tblPrEx>
        <w:trPr>
          <w:trHeight w:val="720" w:hRule="atLeast"/>
        </w:trPr>
        <w:tc>
          <w:tcPr>
            <w:tcW w:w="1080" w:type="dxa"/>
            <w:vMerge w:val="restart"/>
            <w:tcBorders>
              <w:top w:val="nil"/>
              <w:left w:val="single" w:color="auto" w:sz="4" w:space="0"/>
              <w:bottom w:val="single" w:color="000000" w:sz="4" w:space="0"/>
              <w:right w:val="single" w:color="auto" w:sz="4" w:space="0"/>
            </w:tcBorders>
            <w:noWrap w:val="0"/>
            <w:vAlign w:val="center"/>
          </w:tcPr>
          <w:p>
            <w:pPr>
              <w:widowControl/>
              <w:spacing w:line="540" w:lineRule="exact"/>
              <w:rPr>
                <w:rFonts w:hint="eastAsia" w:ascii="楷体" w:hAnsi="楷体" w:eastAsia="楷体" w:cs="楷体"/>
                <w:sz w:val="32"/>
                <w:szCs w:val="32"/>
              </w:rPr>
            </w:pPr>
            <w:r>
              <w:rPr>
                <w:rFonts w:hint="eastAsia" w:ascii="楷体" w:hAnsi="楷体" w:eastAsia="楷体" w:cs="楷体"/>
                <w:sz w:val="32"/>
                <w:szCs w:val="32"/>
              </w:rPr>
              <w:t>序号</w:t>
            </w:r>
          </w:p>
        </w:tc>
        <w:tc>
          <w:tcPr>
            <w:tcW w:w="2320" w:type="dxa"/>
            <w:vMerge w:val="restart"/>
            <w:tcBorders>
              <w:top w:val="nil"/>
              <w:left w:val="single" w:color="auto" w:sz="4" w:space="0"/>
              <w:bottom w:val="single" w:color="000000" w:sz="4" w:space="0"/>
              <w:right w:val="single" w:color="auto" w:sz="4" w:space="0"/>
            </w:tcBorders>
            <w:noWrap w:val="0"/>
            <w:vAlign w:val="center"/>
          </w:tcPr>
          <w:p>
            <w:pPr>
              <w:widowControl/>
              <w:spacing w:line="54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单位名称</w:t>
            </w:r>
          </w:p>
        </w:tc>
        <w:tc>
          <w:tcPr>
            <w:tcW w:w="2120" w:type="dxa"/>
            <w:vMerge w:val="restart"/>
            <w:tcBorders>
              <w:top w:val="nil"/>
              <w:left w:val="single" w:color="auto" w:sz="4" w:space="0"/>
              <w:bottom w:val="single" w:color="000000" w:sz="4" w:space="0"/>
              <w:right w:val="single" w:color="auto" w:sz="4" w:space="0"/>
            </w:tcBorders>
            <w:noWrap w:val="0"/>
            <w:vAlign w:val="center"/>
          </w:tcPr>
          <w:p>
            <w:pPr>
              <w:widowControl/>
              <w:spacing w:line="540" w:lineRule="exact"/>
              <w:rPr>
                <w:rFonts w:hint="eastAsia" w:ascii="楷体" w:hAnsi="楷体" w:eastAsia="楷体" w:cs="楷体"/>
                <w:sz w:val="32"/>
                <w:szCs w:val="32"/>
              </w:rPr>
            </w:pPr>
            <w:r>
              <w:rPr>
                <w:rFonts w:hint="eastAsia" w:ascii="楷体" w:hAnsi="楷体" w:eastAsia="楷体" w:cs="楷体"/>
                <w:sz w:val="32"/>
                <w:szCs w:val="32"/>
              </w:rPr>
              <w:t>单位性质</w:t>
            </w:r>
          </w:p>
        </w:tc>
        <w:tc>
          <w:tcPr>
            <w:tcW w:w="1900" w:type="dxa"/>
            <w:vMerge w:val="restart"/>
            <w:tcBorders>
              <w:top w:val="nil"/>
              <w:left w:val="single" w:color="auto" w:sz="4" w:space="0"/>
              <w:bottom w:val="single" w:color="000000" w:sz="4" w:space="0"/>
              <w:right w:val="single" w:color="auto" w:sz="4" w:space="0"/>
            </w:tcBorders>
            <w:noWrap w:val="0"/>
            <w:vAlign w:val="center"/>
          </w:tcPr>
          <w:p>
            <w:pPr>
              <w:widowControl/>
              <w:spacing w:line="540" w:lineRule="exact"/>
              <w:rPr>
                <w:rFonts w:hint="eastAsia" w:ascii="楷体" w:hAnsi="楷体" w:eastAsia="楷体" w:cs="楷体"/>
                <w:sz w:val="32"/>
                <w:szCs w:val="32"/>
              </w:rPr>
            </w:pPr>
            <w:r>
              <w:rPr>
                <w:rFonts w:hint="eastAsia" w:ascii="楷体" w:hAnsi="楷体" w:eastAsia="楷体" w:cs="楷体"/>
                <w:sz w:val="32"/>
                <w:szCs w:val="32"/>
              </w:rPr>
              <w:t>单位规格</w:t>
            </w:r>
          </w:p>
        </w:tc>
        <w:tc>
          <w:tcPr>
            <w:tcW w:w="2376" w:type="dxa"/>
            <w:vMerge w:val="restart"/>
            <w:tcBorders>
              <w:top w:val="nil"/>
              <w:left w:val="single" w:color="auto" w:sz="4" w:space="0"/>
              <w:bottom w:val="single" w:color="000000" w:sz="4" w:space="0"/>
              <w:right w:val="single" w:color="auto" w:sz="4" w:space="0"/>
            </w:tcBorders>
            <w:noWrap w:val="0"/>
            <w:vAlign w:val="center"/>
          </w:tcPr>
          <w:p>
            <w:pPr>
              <w:widowControl/>
              <w:spacing w:line="540" w:lineRule="exact"/>
              <w:rPr>
                <w:rFonts w:hint="eastAsia" w:ascii="楷体" w:hAnsi="楷体" w:eastAsia="楷体" w:cs="楷体"/>
                <w:sz w:val="32"/>
                <w:szCs w:val="32"/>
              </w:rPr>
            </w:pPr>
            <w:r>
              <w:rPr>
                <w:rFonts w:hint="eastAsia" w:ascii="楷体" w:hAnsi="楷体" w:eastAsia="楷体" w:cs="楷体"/>
                <w:sz w:val="32"/>
                <w:szCs w:val="32"/>
              </w:rPr>
              <w:t>经费保障形式</w:t>
            </w:r>
          </w:p>
        </w:tc>
      </w:tr>
      <w:tr>
        <w:tblPrEx>
          <w:tblCellMar>
            <w:top w:w="0" w:type="dxa"/>
            <w:left w:w="108" w:type="dxa"/>
            <w:bottom w:w="0" w:type="dxa"/>
            <w:right w:w="108" w:type="dxa"/>
          </w:tblCellMar>
        </w:tblPrEx>
        <w:trPr>
          <w:trHeight w:val="540" w:hRule="atLeast"/>
        </w:trPr>
        <w:tc>
          <w:tcPr>
            <w:tcW w:w="1080" w:type="dxa"/>
            <w:vMerge w:val="continue"/>
            <w:tcBorders>
              <w:top w:val="nil"/>
              <w:left w:val="single" w:color="auto" w:sz="4" w:space="0"/>
              <w:bottom w:val="single" w:color="000000" w:sz="4" w:space="0"/>
              <w:right w:val="single" w:color="auto" w:sz="4" w:space="0"/>
            </w:tcBorders>
            <w:noWrap w:val="0"/>
            <w:vAlign w:val="center"/>
          </w:tcPr>
          <w:p>
            <w:pPr>
              <w:widowControl/>
              <w:spacing w:line="540" w:lineRule="exact"/>
              <w:ind w:firstLine="640" w:firstLineChars="200"/>
              <w:rPr>
                <w:rFonts w:hint="eastAsia" w:ascii="楷体" w:hAnsi="楷体" w:eastAsia="楷体" w:cs="楷体"/>
                <w:sz w:val="32"/>
                <w:szCs w:val="32"/>
              </w:rPr>
            </w:pPr>
          </w:p>
        </w:tc>
        <w:tc>
          <w:tcPr>
            <w:tcW w:w="2320" w:type="dxa"/>
            <w:vMerge w:val="continue"/>
            <w:tcBorders>
              <w:top w:val="nil"/>
              <w:left w:val="single" w:color="auto" w:sz="4" w:space="0"/>
              <w:bottom w:val="single" w:color="000000" w:sz="4" w:space="0"/>
              <w:right w:val="single" w:color="auto" w:sz="4" w:space="0"/>
            </w:tcBorders>
            <w:noWrap w:val="0"/>
            <w:vAlign w:val="center"/>
          </w:tcPr>
          <w:p>
            <w:pPr>
              <w:widowControl/>
              <w:spacing w:line="540" w:lineRule="exact"/>
              <w:ind w:firstLine="640" w:firstLineChars="200"/>
              <w:rPr>
                <w:rFonts w:hint="eastAsia" w:ascii="楷体" w:hAnsi="楷体" w:eastAsia="楷体" w:cs="楷体"/>
                <w:sz w:val="32"/>
                <w:szCs w:val="32"/>
              </w:rPr>
            </w:pPr>
          </w:p>
        </w:tc>
        <w:tc>
          <w:tcPr>
            <w:tcW w:w="2120" w:type="dxa"/>
            <w:vMerge w:val="continue"/>
            <w:tcBorders>
              <w:top w:val="nil"/>
              <w:left w:val="single" w:color="auto" w:sz="4" w:space="0"/>
              <w:bottom w:val="single" w:color="000000" w:sz="4" w:space="0"/>
              <w:right w:val="single" w:color="auto" w:sz="4" w:space="0"/>
            </w:tcBorders>
            <w:noWrap w:val="0"/>
            <w:vAlign w:val="center"/>
          </w:tcPr>
          <w:p>
            <w:pPr>
              <w:widowControl/>
              <w:spacing w:line="540" w:lineRule="exact"/>
              <w:ind w:firstLine="640" w:firstLineChars="200"/>
              <w:rPr>
                <w:rFonts w:hint="eastAsia" w:ascii="楷体" w:hAnsi="楷体" w:eastAsia="楷体" w:cs="楷体"/>
                <w:sz w:val="32"/>
                <w:szCs w:val="32"/>
              </w:rPr>
            </w:pPr>
          </w:p>
        </w:tc>
        <w:tc>
          <w:tcPr>
            <w:tcW w:w="1900" w:type="dxa"/>
            <w:vMerge w:val="continue"/>
            <w:tcBorders>
              <w:top w:val="nil"/>
              <w:left w:val="single" w:color="auto" w:sz="4" w:space="0"/>
              <w:bottom w:val="single" w:color="000000" w:sz="4" w:space="0"/>
              <w:right w:val="single" w:color="auto" w:sz="4" w:space="0"/>
            </w:tcBorders>
            <w:noWrap w:val="0"/>
            <w:vAlign w:val="center"/>
          </w:tcPr>
          <w:p>
            <w:pPr>
              <w:widowControl/>
              <w:spacing w:line="540" w:lineRule="exact"/>
              <w:ind w:firstLine="640" w:firstLineChars="200"/>
              <w:rPr>
                <w:rFonts w:hint="eastAsia" w:ascii="楷体" w:hAnsi="楷体" w:eastAsia="楷体" w:cs="楷体"/>
                <w:sz w:val="32"/>
                <w:szCs w:val="32"/>
              </w:rPr>
            </w:pPr>
          </w:p>
        </w:tc>
        <w:tc>
          <w:tcPr>
            <w:tcW w:w="2376" w:type="dxa"/>
            <w:vMerge w:val="continue"/>
            <w:tcBorders>
              <w:top w:val="nil"/>
              <w:left w:val="single" w:color="auto" w:sz="4" w:space="0"/>
              <w:bottom w:val="single" w:color="000000" w:sz="4" w:space="0"/>
              <w:right w:val="single" w:color="auto" w:sz="4" w:space="0"/>
            </w:tcBorders>
            <w:noWrap w:val="0"/>
            <w:vAlign w:val="center"/>
          </w:tcPr>
          <w:p>
            <w:pPr>
              <w:widowControl/>
              <w:spacing w:line="540" w:lineRule="exact"/>
              <w:ind w:firstLine="640" w:firstLineChars="200"/>
              <w:rPr>
                <w:rFonts w:hint="eastAsia" w:ascii="楷体" w:hAnsi="楷体" w:eastAsia="楷体" w:cs="楷体"/>
                <w:sz w:val="32"/>
                <w:szCs w:val="32"/>
              </w:rPr>
            </w:pPr>
          </w:p>
        </w:tc>
      </w:tr>
      <w:tr>
        <w:tblPrEx>
          <w:tblCellMar>
            <w:top w:w="0" w:type="dxa"/>
            <w:left w:w="108" w:type="dxa"/>
            <w:bottom w:w="0" w:type="dxa"/>
            <w:right w:w="108" w:type="dxa"/>
          </w:tblCellMar>
        </w:tblPrEx>
        <w:trPr>
          <w:trHeight w:val="720" w:hRule="atLeast"/>
        </w:trPr>
        <w:tc>
          <w:tcPr>
            <w:tcW w:w="1080" w:type="dxa"/>
            <w:tcBorders>
              <w:top w:val="nil"/>
              <w:left w:val="single" w:color="auto" w:sz="4" w:space="0"/>
              <w:bottom w:val="single" w:color="auto" w:sz="4" w:space="0"/>
              <w:right w:val="single" w:color="auto" w:sz="4" w:space="0"/>
            </w:tcBorders>
            <w:noWrap w:val="0"/>
            <w:vAlign w:val="center"/>
          </w:tcPr>
          <w:p>
            <w:pPr>
              <w:widowControl/>
              <w:spacing w:line="54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1</w:t>
            </w:r>
          </w:p>
        </w:tc>
        <w:tc>
          <w:tcPr>
            <w:tcW w:w="2320" w:type="dxa"/>
            <w:tcBorders>
              <w:top w:val="nil"/>
              <w:left w:val="nil"/>
              <w:bottom w:val="single" w:color="auto" w:sz="4" w:space="0"/>
              <w:right w:val="single" w:color="auto" w:sz="4" w:space="0"/>
            </w:tcBorders>
            <w:noWrap w:val="0"/>
            <w:vAlign w:val="center"/>
          </w:tcPr>
          <w:p>
            <w:pPr>
              <w:widowControl/>
              <w:spacing w:line="54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保定市满城区刘家台乡人民政府</w:t>
            </w:r>
          </w:p>
        </w:tc>
        <w:tc>
          <w:tcPr>
            <w:tcW w:w="2120" w:type="dxa"/>
            <w:tcBorders>
              <w:top w:val="nil"/>
              <w:left w:val="nil"/>
              <w:bottom w:val="single" w:color="auto" w:sz="4" w:space="0"/>
              <w:right w:val="single" w:color="auto" w:sz="4" w:space="0"/>
            </w:tcBorders>
            <w:noWrap w:val="0"/>
            <w:vAlign w:val="center"/>
          </w:tcPr>
          <w:p>
            <w:pPr>
              <w:widowControl/>
              <w:spacing w:line="54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行政</w:t>
            </w:r>
          </w:p>
        </w:tc>
        <w:tc>
          <w:tcPr>
            <w:tcW w:w="1900" w:type="dxa"/>
            <w:tcBorders>
              <w:top w:val="nil"/>
              <w:left w:val="nil"/>
              <w:bottom w:val="single" w:color="auto" w:sz="4" w:space="0"/>
              <w:right w:val="single" w:color="auto" w:sz="4" w:space="0"/>
            </w:tcBorders>
            <w:noWrap w:val="0"/>
            <w:vAlign w:val="center"/>
          </w:tcPr>
          <w:p>
            <w:pPr>
              <w:widowControl/>
              <w:spacing w:line="540" w:lineRule="exact"/>
              <w:ind w:firstLine="320" w:firstLineChars="100"/>
              <w:rPr>
                <w:rFonts w:hint="eastAsia" w:ascii="楷体" w:hAnsi="楷体" w:eastAsia="楷体" w:cs="楷体"/>
                <w:sz w:val="32"/>
                <w:szCs w:val="32"/>
              </w:rPr>
            </w:pPr>
            <w:r>
              <w:rPr>
                <w:rFonts w:hint="eastAsia" w:ascii="楷体" w:hAnsi="楷体" w:eastAsia="楷体" w:cs="楷体"/>
                <w:sz w:val="32"/>
                <w:szCs w:val="32"/>
              </w:rPr>
              <w:t>正科级</w:t>
            </w:r>
          </w:p>
        </w:tc>
        <w:tc>
          <w:tcPr>
            <w:tcW w:w="2376" w:type="dxa"/>
            <w:tcBorders>
              <w:top w:val="nil"/>
              <w:left w:val="nil"/>
              <w:bottom w:val="single" w:color="auto" w:sz="4" w:space="0"/>
              <w:right w:val="single" w:color="auto" w:sz="4" w:space="0"/>
            </w:tcBorders>
            <w:noWrap w:val="0"/>
            <w:vAlign w:val="center"/>
          </w:tcPr>
          <w:p>
            <w:pPr>
              <w:widowControl/>
              <w:spacing w:line="54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财政拨款</w:t>
            </w:r>
          </w:p>
        </w:tc>
      </w:tr>
    </w:tbl>
    <w:p>
      <w:pPr>
        <w:spacing w:line="520" w:lineRule="exact"/>
        <w:ind w:left="1713" w:firstLine="320" w:firstLineChars="100"/>
        <w:rPr>
          <w:rFonts w:hint="eastAsia" w:ascii="楷体" w:hAnsi="楷体" w:eastAsia="楷体" w:cs="楷体"/>
          <w:sz w:val="32"/>
          <w:szCs w:val="32"/>
        </w:rPr>
      </w:pPr>
    </w:p>
    <w:p>
      <w:pPr>
        <w:numPr>
          <w:ilvl w:val="0"/>
          <w:numId w:val="2"/>
        </w:numPr>
        <w:spacing w:line="520" w:lineRule="exact"/>
        <w:ind w:left="1713" w:firstLine="321" w:firstLineChars="100"/>
        <w:rPr>
          <w:rFonts w:hint="eastAsia" w:ascii="楷体" w:hAnsi="楷体" w:eastAsia="楷体" w:cs="楷体"/>
          <w:b/>
          <w:bCs/>
          <w:sz w:val="32"/>
          <w:szCs w:val="32"/>
        </w:rPr>
      </w:pPr>
      <w:r>
        <w:rPr>
          <w:rFonts w:hint="eastAsia" w:ascii="楷体" w:hAnsi="楷体" w:eastAsia="楷体" w:cs="楷体"/>
          <w:b/>
          <w:bCs/>
          <w:sz w:val="32"/>
          <w:szCs w:val="32"/>
        </w:rPr>
        <w:t>分：部门预算安排的总体情况</w:t>
      </w:r>
    </w:p>
    <w:p>
      <w:pPr>
        <w:pStyle w:val="15"/>
        <w:widowControl/>
        <w:spacing w:line="520" w:lineRule="exact"/>
        <w:ind w:firstLine="640" w:firstLineChars="200"/>
        <w:rPr>
          <w:rFonts w:hint="eastAsia" w:ascii="楷体" w:hAnsi="楷体" w:eastAsia="楷体" w:cs="楷体"/>
          <w:kern w:val="2"/>
          <w:sz w:val="32"/>
          <w:szCs w:val="32"/>
        </w:rPr>
      </w:pPr>
      <w:r>
        <w:rPr>
          <w:rFonts w:hint="eastAsia" w:ascii="楷体" w:hAnsi="楷体" w:eastAsia="楷体" w:cs="楷体"/>
          <w:kern w:val="2"/>
          <w:sz w:val="32"/>
          <w:szCs w:val="32"/>
        </w:rPr>
        <w:t>1、收入说明</w:t>
      </w:r>
    </w:p>
    <w:p>
      <w:pPr>
        <w:pStyle w:val="15"/>
        <w:widowControl/>
        <w:spacing w:line="520" w:lineRule="exact"/>
        <w:ind w:firstLine="640" w:firstLineChars="200"/>
        <w:rPr>
          <w:rFonts w:hint="eastAsia" w:ascii="楷体" w:hAnsi="楷体" w:eastAsia="楷体" w:cs="楷体"/>
          <w:kern w:val="2"/>
          <w:sz w:val="32"/>
          <w:szCs w:val="32"/>
        </w:rPr>
      </w:pPr>
      <w:r>
        <w:rPr>
          <w:rFonts w:hint="eastAsia" w:ascii="楷体" w:hAnsi="楷体" w:eastAsia="楷体" w:cs="楷体"/>
          <w:kern w:val="2"/>
          <w:sz w:val="32"/>
          <w:szCs w:val="32"/>
        </w:rPr>
        <w:t>2019年保定市满城区刘家台乡人民政府年初部门收入预算总额为589.170699万元，全部为一般公共预算收入为589.170699万元。</w:t>
      </w:r>
    </w:p>
    <w:p>
      <w:pPr>
        <w:pStyle w:val="15"/>
        <w:widowControl/>
        <w:spacing w:line="520" w:lineRule="exact"/>
        <w:ind w:firstLine="640" w:firstLineChars="200"/>
        <w:rPr>
          <w:rFonts w:hint="eastAsia" w:ascii="楷体" w:hAnsi="楷体" w:eastAsia="楷体" w:cs="楷体"/>
          <w:kern w:val="2"/>
          <w:sz w:val="32"/>
          <w:szCs w:val="32"/>
        </w:rPr>
      </w:pPr>
      <w:r>
        <w:rPr>
          <w:rFonts w:hint="eastAsia" w:ascii="楷体" w:hAnsi="楷体" w:eastAsia="楷体" w:cs="楷体"/>
          <w:kern w:val="2"/>
          <w:sz w:val="32"/>
          <w:szCs w:val="32"/>
        </w:rPr>
        <w:t>2、支出说明</w:t>
      </w:r>
    </w:p>
    <w:p>
      <w:pPr>
        <w:pStyle w:val="15"/>
        <w:widowControl/>
        <w:spacing w:line="520" w:lineRule="exact"/>
        <w:ind w:firstLine="640" w:firstLineChars="200"/>
        <w:rPr>
          <w:rFonts w:hint="eastAsia" w:ascii="楷体" w:hAnsi="楷体" w:eastAsia="楷体" w:cs="楷体"/>
          <w:kern w:val="2"/>
          <w:sz w:val="32"/>
          <w:szCs w:val="32"/>
        </w:rPr>
      </w:pPr>
      <w:r>
        <w:rPr>
          <w:rFonts w:hint="eastAsia" w:ascii="楷体" w:hAnsi="楷体" w:eastAsia="楷体" w:cs="楷体"/>
          <w:kern w:val="2"/>
          <w:sz w:val="32"/>
          <w:szCs w:val="32"/>
        </w:rPr>
        <w:t>收支预算总表支出栏、基本支出表按经济分类和支出功能分类科目编制，反映保定市满城区刘家台乡人民政府2019年度预算中支出预算的总体情况。</w:t>
      </w:r>
    </w:p>
    <w:p>
      <w:pPr>
        <w:pStyle w:val="15"/>
        <w:widowControl/>
        <w:spacing w:line="520" w:lineRule="exact"/>
        <w:ind w:firstLine="640" w:firstLineChars="200"/>
        <w:rPr>
          <w:rFonts w:hint="eastAsia" w:ascii="楷体" w:hAnsi="楷体" w:eastAsia="楷体" w:cs="楷体"/>
          <w:kern w:val="2"/>
          <w:sz w:val="32"/>
          <w:szCs w:val="32"/>
        </w:rPr>
      </w:pPr>
      <w:r>
        <w:rPr>
          <w:rFonts w:hint="eastAsia" w:ascii="楷体" w:hAnsi="楷体" w:eastAsia="楷体" w:cs="楷体"/>
          <w:kern w:val="2"/>
          <w:sz w:val="32"/>
          <w:szCs w:val="32"/>
        </w:rPr>
        <w:t>2019年部门支出安排预算总额589.170699万万元。</w:t>
      </w:r>
    </w:p>
    <w:p>
      <w:pPr>
        <w:ind w:firstLine="640" w:firstLineChars="200"/>
        <w:jc w:val="left"/>
        <w:rPr>
          <w:rFonts w:hint="eastAsia" w:ascii="楷体" w:hAnsi="楷体" w:eastAsia="楷体" w:cs="楷体"/>
          <w:sz w:val="32"/>
          <w:szCs w:val="32"/>
        </w:rPr>
      </w:pPr>
      <w:r>
        <w:rPr>
          <w:rFonts w:hint="eastAsia" w:ascii="楷体" w:hAnsi="楷体" w:eastAsia="楷体" w:cs="楷体"/>
          <w:sz w:val="32"/>
          <w:szCs w:val="32"/>
        </w:rPr>
        <w:t>基本支出 453.196299 万元</w:t>
      </w:r>
    </w:p>
    <w:p>
      <w:pPr>
        <w:jc w:val="left"/>
        <w:rPr>
          <w:rFonts w:hint="eastAsia" w:ascii="楷体" w:hAnsi="楷体" w:eastAsia="楷体" w:cs="楷体"/>
          <w:sz w:val="32"/>
          <w:szCs w:val="32"/>
        </w:rPr>
      </w:pPr>
      <w:r>
        <w:rPr>
          <w:rFonts w:hint="eastAsia"/>
        </w:rPr>
        <w:t xml:space="preserve">        </w:t>
      </w:r>
      <w:r>
        <w:rPr>
          <w:rFonts w:hint="eastAsia" w:ascii="楷体" w:hAnsi="楷体" w:eastAsia="楷体" w:cs="楷体"/>
          <w:sz w:val="32"/>
          <w:szCs w:val="32"/>
        </w:rPr>
        <w:t xml:space="preserve">    其中：人员经费409.173099万元</w:t>
      </w:r>
    </w:p>
    <w:p>
      <w:pPr>
        <w:jc w:val="left"/>
        <w:rPr>
          <w:rFonts w:hint="eastAsia" w:ascii="宋体" w:hAnsi="宋体" w:cs="宋体"/>
          <w:sz w:val="18"/>
          <w:szCs w:val="18"/>
        </w:rPr>
      </w:pPr>
      <w:r>
        <w:rPr>
          <w:rFonts w:hint="eastAsia" w:ascii="楷体" w:hAnsi="楷体" w:eastAsia="楷体" w:cs="楷体"/>
          <w:sz w:val="32"/>
          <w:szCs w:val="32"/>
        </w:rPr>
        <w:t xml:space="preserve">              日常公用经费44.0232万元</w:t>
      </w:r>
    </w:p>
    <w:p>
      <w:pPr>
        <w:ind w:firstLine="480" w:firstLineChars="150"/>
        <w:jc w:val="left"/>
        <w:rPr>
          <w:rFonts w:hint="eastAsia" w:ascii="楷体" w:hAnsi="楷体" w:eastAsia="楷体" w:cs="楷体"/>
          <w:sz w:val="32"/>
          <w:szCs w:val="32"/>
        </w:rPr>
      </w:pPr>
      <w:r>
        <w:rPr>
          <w:rFonts w:hint="eastAsia" w:ascii="楷体" w:hAnsi="楷体" w:eastAsia="楷体" w:cs="楷体"/>
          <w:sz w:val="32"/>
          <w:szCs w:val="32"/>
        </w:rPr>
        <w:t>项目支出135.9744万元</w:t>
      </w:r>
    </w:p>
    <w:p>
      <w:pPr>
        <w:pStyle w:val="15"/>
        <w:widowControl/>
        <w:spacing w:line="520" w:lineRule="exact"/>
        <w:ind w:firstLine="640" w:firstLineChars="200"/>
        <w:rPr>
          <w:rFonts w:hint="eastAsia" w:ascii="楷体" w:hAnsi="楷体" w:eastAsia="楷体" w:cs="楷体"/>
          <w:kern w:val="2"/>
          <w:sz w:val="32"/>
          <w:szCs w:val="32"/>
        </w:rPr>
      </w:pPr>
      <w:r>
        <w:rPr>
          <w:rFonts w:hint="eastAsia" w:ascii="楷体" w:hAnsi="楷体" w:eastAsia="楷体" w:cs="楷体"/>
          <w:kern w:val="2"/>
          <w:sz w:val="32"/>
          <w:szCs w:val="32"/>
        </w:rPr>
        <w:t>3、比上年增减情况</w:t>
      </w:r>
    </w:p>
    <w:p>
      <w:pPr>
        <w:pStyle w:val="15"/>
        <w:widowControl/>
        <w:spacing w:line="520" w:lineRule="exact"/>
        <w:ind w:firstLine="640" w:firstLineChars="200"/>
        <w:rPr>
          <w:rFonts w:hint="eastAsia" w:ascii="楷体" w:hAnsi="楷体" w:eastAsia="楷体" w:cs="楷体"/>
          <w:kern w:val="2"/>
          <w:sz w:val="32"/>
          <w:szCs w:val="32"/>
        </w:rPr>
      </w:pPr>
      <w:r>
        <w:rPr>
          <w:rFonts w:hint="eastAsia" w:ascii="楷体" w:hAnsi="楷体" w:eastAsia="楷体" w:cs="楷体"/>
          <w:kern w:val="2"/>
          <w:sz w:val="32"/>
          <w:szCs w:val="32"/>
        </w:rPr>
        <w:t>2019年度预算收支安排589.170699万元，较2018增加47.056141万元,增长了7.99%。其中:基本支出减少 27.798259万元，减少了5.77%,减少原因为人员调动工资减少及压缩日常公用经费所致，项目支出增加 74.8544万元， 增长原因是项目由上级主管部门确定,项目增加，故资金增加。</w:t>
      </w:r>
    </w:p>
    <w:p>
      <w:pPr>
        <w:widowControl/>
        <w:spacing w:line="54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2019年我乡的各项支出以将全面贯彻党和国家的有关政策、认真遵守财经纪律为准则，严格按预算规定的标准、用途执行，做到经费按进度，专款专用，力争全面提高资金的使用效率。</w:t>
      </w:r>
    </w:p>
    <w:p>
      <w:pPr>
        <w:spacing w:line="500" w:lineRule="exact"/>
        <w:ind w:firstLine="630" w:firstLineChars="196"/>
        <w:jc w:val="left"/>
        <w:outlineLvl w:val="0"/>
        <w:rPr>
          <w:rFonts w:hint="eastAsia" w:ascii="楷体" w:hAnsi="楷体" w:eastAsia="楷体" w:cs="楷体"/>
          <w:b/>
          <w:sz w:val="32"/>
          <w:szCs w:val="32"/>
        </w:rPr>
      </w:pPr>
      <w:r>
        <w:rPr>
          <w:rFonts w:hint="eastAsia" w:ascii="楷体" w:hAnsi="楷体" w:eastAsia="楷体" w:cs="楷体"/>
          <w:b/>
          <w:sz w:val="32"/>
          <w:szCs w:val="32"/>
        </w:rPr>
        <w:t xml:space="preserve"> </w:t>
      </w:r>
    </w:p>
    <w:p>
      <w:pPr>
        <w:widowControl/>
        <w:spacing w:line="540" w:lineRule="exact"/>
        <w:ind w:firstLine="2570" w:firstLineChars="800"/>
        <w:rPr>
          <w:rFonts w:hint="eastAsia" w:ascii="楷体" w:hAnsi="楷体" w:eastAsia="楷体" w:cs="楷体"/>
          <w:b/>
          <w:bCs/>
          <w:sz w:val="32"/>
          <w:szCs w:val="32"/>
        </w:rPr>
      </w:pPr>
      <w:r>
        <w:rPr>
          <w:rFonts w:hint="eastAsia" w:ascii="楷体" w:hAnsi="楷体" w:eastAsia="楷体" w:cs="楷体"/>
          <w:b/>
          <w:bCs/>
          <w:sz w:val="32"/>
          <w:szCs w:val="32"/>
        </w:rPr>
        <w:t>第三部分：机关运行经费安排情况</w:t>
      </w:r>
    </w:p>
    <w:p>
      <w:pPr>
        <w:ind w:firstLine="640" w:firstLineChars="200"/>
        <w:rPr>
          <w:rFonts w:hint="eastAsia" w:ascii="宋体" w:hAnsi="宋体" w:cs="宋体"/>
          <w:sz w:val="18"/>
          <w:szCs w:val="18"/>
        </w:rPr>
      </w:pPr>
      <w:r>
        <w:rPr>
          <w:rFonts w:hint="eastAsia" w:ascii="楷体" w:hAnsi="楷体" w:eastAsia="楷体" w:cs="楷体"/>
          <w:sz w:val="32"/>
          <w:szCs w:val="32"/>
        </w:rPr>
        <w:t>2019年机关运行经费安排44.0232万元，其中办公费2.88万元，公务移动通讯费用补贴11.36万元，办公取暖费9万元，公务用车运行维护费7.2万元，其他商品和服务支出0.3万元，公务交通补贴12.42万元，公务接待费0.8632万元。</w:t>
      </w:r>
    </w:p>
    <w:p>
      <w:pPr>
        <w:widowControl/>
        <w:spacing w:before="100" w:beforeAutospacing="1" w:after="100" w:afterAutospacing="1" w:line="420" w:lineRule="atLeast"/>
        <w:ind w:firstLine="2570" w:firstLineChars="800"/>
        <w:rPr>
          <w:rFonts w:ascii="宋体" w:hAnsi="宋体" w:cs="宋体"/>
          <w:color w:val="000000"/>
          <w:kern w:val="0"/>
          <w:sz w:val="24"/>
        </w:rPr>
      </w:pPr>
      <w:r>
        <w:rPr>
          <w:rFonts w:hint="eastAsia" w:ascii="宋体" w:hAnsi="宋体" w:cs="宋体"/>
          <w:b/>
          <w:bCs/>
          <w:color w:val="000000"/>
          <w:kern w:val="0"/>
          <w:sz w:val="32"/>
          <w:szCs w:val="32"/>
        </w:rPr>
        <w:t>第四部分：财政拨款“三公”经费预算情况</w:t>
      </w:r>
    </w:p>
    <w:tbl>
      <w:tblPr>
        <w:tblStyle w:val="9"/>
        <w:tblW w:w="0" w:type="auto"/>
        <w:tblInd w:w="0" w:type="dxa"/>
        <w:tblLayout w:type="fixed"/>
        <w:tblCellMar>
          <w:top w:w="0" w:type="dxa"/>
          <w:left w:w="108" w:type="dxa"/>
          <w:bottom w:w="0" w:type="dxa"/>
          <w:right w:w="108" w:type="dxa"/>
        </w:tblCellMar>
      </w:tblPr>
      <w:tblGrid>
        <w:gridCol w:w="2136"/>
        <w:gridCol w:w="1275"/>
        <w:gridCol w:w="302"/>
        <w:gridCol w:w="974"/>
        <w:gridCol w:w="603"/>
        <w:gridCol w:w="672"/>
        <w:gridCol w:w="3893"/>
      </w:tblGrid>
      <w:tr>
        <w:tblPrEx>
          <w:tblCellMar>
            <w:top w:w="0" w:type="dxa"/>
            <w:left w:w="108" w:type="dxa"/>
            <w:bottom w:w="0" w:type="dxa"/>
            <w:right w:w="108" w:type="dxa"/>
          </w:tblCellMar>
        </w:tblPrEx>
        <w:trPr>
          <w:trHeight w:val="405" w:hRule="atLeast"/>
        </w:trPr>
        <w:tc>
          <w:tcPr>
            <w:tcW w:w="9855" w:type="dxa"/>
            <w:gridSpan w:val="7"/>
            <w:noWrap w:val="0"/>
            <w:vAlign w:val="center"/>
          </w:tcPr>
          <w:p>
            <w:pPr>
              <w:widowControl/>
              <w:spacing w:before="100" w:beforeAutospacing="1" w:after="100" w:afterAutospacing="1"/>
              <w:jc w:val="center"/>
              <w:rPr>
                <w:rFonts w:hint="eastAsia" w:ascii="楷体" w:hAnsi="楷体" w:eastAsia="楷体" w:cs="楷体"/>
                <w:color w:val="000000"/>
                <w:kern w:val="0"/>
                <w:sz w:val="24"/>
              </w:rPr>
            </w:pPr>
            <w:r>
              <w:rPr>
                <w:rFonts w:hint="eastAsia" w:ascii="楷体" w:hAnsi="楷体" w:eastAsia="楷体" w:cs="楷体"/>
                <w:color w:val="000000"/>
                <w:kern w:val="0"/>
                <w:sz w:val="32"/>
                <w:szCs w:val="32"/>
              </w:rPr>
              <w:t>“三公”经费预算情况</w:t>
            </w:r>
          </w:p>
        </w:tc>
      </w:tr>
      <w:tr>
        <w:tblPrEx>
          <w:tblCellMar>
            <w:top w:w="0" w:type="dxa"/>
            <w:left w:w="108" w:type="dxa"/>
            <w:bottom w:w="0" w:type="dxa"/>
            <w:right w:w="108" w:type="dxa"/>
          </w:tblCellMar>
        </w:tblPrEx>
        <w:trPr>
          <w:trHeight w:val="285" w:hRule="atLeast"/>
        </w:trPr>
        <w:tc>
          <w:tcPr>
            <w:tcW w:w="2136" w:type="dxa"/>
            <w:noWrap w:val="0"/>
            <w:vAlign w:val="center"/>
          </w:tcPr>
          <w:p>
            <w:pPr>
              <w:widowControl/>
              <w:spacing w:before="100" w:beforeAutospacing="1" w:after="100" w:afterAutospacing="1"/>
              <w:jc w:val="left"/>
              <w:rPr>
                <w:rFonts w:hint="eastAsia" w:ascii="楷体" w:hAnsi="楷体" w:eastAsia="楷体" w:cs="楷体"/>
                <w:color w:val="000000"/>
                <w:kern w:val="0"/>
                <w:sz w:val="24"/>
              </w:rPr>
            </w:pPr>
            <w:r>
              <w:rPr>
                <w:rFonts w:hint="eastAsia" w:ascii="楷体" w:hAnsi="楷体" w:eastAsia="楷体" w:cs="楷体"/>
                <w:color w:val="000000"/>
                <w:kern w:val="0"/>
                <w:sz w:val="24"/>
              </w:rPr>
              <w:t> </w:t>
            </w:r>
          </w:p>
        </w:tc>
        <w:tc>
          <w:tcPr>
            <w:tcW w:w="1577" w:type="dxa"/>
            <w:gridSpan w:val="2"/>
            <w:noWrap w:val="0"/>
            <w:vAlign w:val="center"/>
          </w:tcPr>
          <w:p>
            <w:pPr>
              <w:widowControl/>
              <w:spacing w:before="100" w:beforeAutospacing="1" w:after="100" w:afterAutospacing="1"/>
              <w:jc w:val="left"/>
              <w:rPr>
                <w:rFonts w:hint="eastAsia" w:ascii="楷体" w:hAnsi="楷体" w:eastAsia="楷体" w:cs="楷体"/>
                <w:color w:val="000000"/>
                <w:kern w:val="0"/>
                <w:sz w:val="24"/>
              </w:rPr>
            </w:pPr>
            <w:r>
              <w:rPr>
                <w:rFonts w:hint="eastAsia" w:ascii="楷体" w:hAnsi="楷体" w:eastAsia="楷体" w:cs="楷体"/>
                <w:color w:val="000000"/>
                <w:kern w:val="0"/>
                <w:sz w:val="24"/>
              </w:rPr>
              <w:t> </w:t>
            </w:r>
          </w:p>
        </w:tc>
        <w:tc>
          <w:tcPr>
            <w:tcW w:w="1577" w:type="dxa"/>
            <w:gridSpan w:val="2"/>
            <w:noWrap w:val="0"/>
            <w:vAlign w:val="center"/>
          </w:tcPr>
          <w:p>
            <w:pPr>
              <w:widowControl/>
              <w:spacing w:before="100" w:beforeAutospacing="1" w:after="100" w:afterAutospacing="1"/>
              <w:jc w:val="left"/>
              <w:rPr>
                <w:rFonts w:hint="eastAsia" w:ascii="楷体" w:hAnsi="楷体" w:eastAsia="楷体" w:cs="楷体"/>
                <w:color w:val="000000"/>
                <w:kern w:val="0"/>
                <w:sz w:val="24"/>
              </w:rPr>
            </w:pPr>
            <w:r>
              <w:rPr>
                <w:rFonts w:hint="eastAsia" w:ascii="楷体" w:hAnsi="楷体" w:eastAsia="楷体" w:cs="楷体"/>
                <w:color w:val="000000"/>
                <w:kern w:val="0"/>
                <w:sz w:val="24"/>
              </w:rPr>
              <w:t> </w:t>
            </w:r>
          </w:p>
        </w:tc>
        <w:tc>
          <w:tcPr>
            <w:tcW w:w="672" w:type="dxa"/>
            <w:noWrap w:val="0"/>
            <w:vAlign w:val="center"/>
          </w:tcPr>
          <w:p>
            <w:pPr>
              <w:widowControl/>
              <w:spacing w:before="100" w:beforeAutospacing="1" w:after="100" w:afterAutospacing="1"/>
              <w:jc w:val="left"/>
              <w:rPr>
                <w:rFonts w:hint="eastAsia" w:ascii="楷体" w:hAnsi="楷体" w:eastAsia="楷体" w:cs="楷体"/>
                <w:color w:val="000000"/>
                <w:kern w:val="0"/>
                <w:sz w:val="24"/>
              </w:rPr>
            </w:pPr>
            <w:r>
              <w:rPr>
                <w:rFonts w:hint="eastAsia" w:ascii="楷体" w:hAnsi="楷体" w:eastAsia="楷体" w:cs="楷体"/>
                <w:color w:val="000000"/>
                <w:kern w:val="0"/>
                <w:sz w:val="24"/>
              </w:rPr>
              <w:t> </w:t>
            </w:r>
          </w:p>
        </w:tc>
        <w:tc>
          <w:tcPr>
            <w:tcW w:w="3893" w:type="dxa"/>
            <w:noWrap w:val="0"/>
            <w:vAlign w:val="center"/>
          </w:tcPr>
          <w:p>
            <w:pPr>
              <w:widowControl/>
              <w:spacing w:before="100" w:beforeAutospacing="1" w:after="100" w:afterAutospacing="1"/>
              <w:jc w:val="right"/>
              <w:rPr>
                <w:rFonts w:hint="eastAsia" w:ascii="楷体" w:hAnsi="楷体" w:eastAsia="楷体" w:cs="楷体"/>
                <w:color w:val="000000"/>
                <w:kern w:val="0"/>
                <w:sz w:val="24"/>
              </w:rPr>
            </w:pPr>
            <w:r>
              <w:rPr>
                <w:rFonts w:hint="eastAsia" w:ascii="楷体" w:hAnsi="楷体" w:eastAsia="楷体" w:cs="楷体"/>
                <w:color w:val="000000"/>
                <w:kern w:val="0"/>
                <w:sz w:val="24"/>
              </w:rPr>
              <w:t>单位：万元</w:t>
            </w:r>
          </w:p>
        </w:tc>
      </w:tr>
      <w:tr>
        <w:tblPrEx>
          <w:tblCellMar>
            <w:top w:w="0" w:type="dxa"/>
            <w:left w:w="108" w:type="dxa"/>
            <w:bottom w:w="0" w:type="dxa"/>
            <w:right w:w="108" w:type="dxa"/>
          </w:tblCellMar>
        </w:tblPrEx>
        <w:trPr>
          <w:trHeight w:val="688" w:hRule="atLeast"/>
        </w:trPr>
        <w:tc>
          <w:tcPr>
            <w:tcW w:w="2136"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jc w:val="center"/>
              <w:rPr>
                <w:rFonts w:hint="eastAsia" w:ascii="楷体" w:hAnsi="楷体" w:eastAsia="楷体" w:cs="楷体"/>
                <w:color w:val="000000"/>
                <w:kern w:val="0"/>
                <w:sz w:val="24"/>
              </w:rPr>
            </w:pPr>
            <w:r>
              <w:rPr>
                <w:rFonts w:hint="eastAsia" w:ascii="楷体" w:hAnsi="楷体" w:eastAsia="楷体" w:cs="楷体"/>
                <w:color w:val="000000"/>
                <w:kern w:val="0"/>
                <w:sz w:val="24"/>
              </w:rPr>
              <w:t>项目名称</w:t>
            </w:r>
          </w:p>
        </w:tc>
        <w:tc>
          <w:tcPr>
            <w:tcW w:w="1275" w:type="dxa"/>
            <w:tcBorders>
              <w:top w:val="single" w:color="auto" w:sz="8" w:space="0"/>
              <w:left w:val="nil"/>
              <w:bottom w:val="single" w:color="auto" w:sz="8" w:space="0"/>
              <w:right w:val="single" w:color="auto" w:sz="8" w:space="0"/>
            </w:tcBorders>
            <w:noWrap w:val="0"/>
            <w:vAlign w:val="center"/>
          </w:tcPr>
          <w:p>
            <w:pPr>
              <w:widowControl/>
              <w:spacing w:line="300" w:lineRule="exact"/>
              <w:jc w:val="center"/>
              <w:rPr>
                <w:rFonts w:hint="eastAsia" w:ascii="楷体" w:hAnsi="楷体" w:eastAsia="楷体" w:cs="楷体"/>
                <w:color w:val="000000"/>
                <w:kern w:val="0"/>
                <w:sz w:val="24"/>
              </w:rPr>
            </w:pPr>
            <w:r>
              <w:rPr>
                <w:rFonts w:hint="eastAsia" w:ascii="楷体" w:hAnsi="楷体" w:eastAsia="楷体" w:cs="楷体"/>
                <w:color w:val="000000"/>
                <w:kern w:val="0"/>
                <w:sz w:val="24"/>
              </w:rPr>
              <w:t>2018年度</w:t>
            </w:r>
          </w:p>
          <w:p>
            <w:pPr>
              <w:widowControl/>
              <w:spacing w:line="300" w:lineRule="exact"/>
              <w:jc w:val="center"/>
              <w:rPr>
                <w:rFonts w:hint="eastAsia" w:ascii="楷体" w:hAnsi="楷体" w:eastAsia="楷体" w:cs="楷体"/>
                <w:color w:val="000000"/>
                <w:kern w:val="0"/>
                <w:sz w:val="24"/>
              </w:rPr>
            </w:pPr>
            <w:r>
              <w:rPr>
                <w:rFonts w:hint="eastAsia" w:ascii="楷体" w:hAnsi="楷体" w:eastAsia="楷体" w:cs="楷体"/>
                <w:color w:val="000000"/>
                <w:kern w:val="0"/>
                <w:sz w:val="24"/>
              </w:rPr>
              <w:t>预算</w:t>
            </w:r>
          </w:p>
        </w:tc>
        <w:tc>
          <w:tcPr>
            <w:tcW w:w="1276" w:type="dxa"/>
            <w:gridSpan w:val="2"/>
            <w:tcBorders>
              <w:top w:val="single" w:color="auto" w:sz="8" w:space="0"/>
              <w:left w:val="nil"/>
              <w:bottom w:val="single" w:color="auto" w:sz="8" w:space="0"/>
              <w:right w:val="single" w:color="auto" w:sz="8" w:space="0"/>
            </w:tcBorders>
            <w:noWrap w:val="0"/>
            <w:vAlign w:val="center"/>
          </w:tcPr>
          <w:p>
            <w:pPr>
              <w:widowControl/>
              <w:spacing w:line="300" w:lineRule="exact"/>
              <w:jc w:val="center"/>
              <w:rPr>
                <w:rFonts w:hint="eastAsia" w:ascii="楷体" w:hAnsi="楷体" w:eastAsia="楷体" w:cs="楷体"/>
                <w:color w:val="000000"/>
                <w:kern w:val="0"/>
                <w:sz w:val="24"/>
              </w:rPr>
            </w:pPr>
            <w:r>
              <w:rPr>
                <w:rFonts w:hint="eastAsia" w:ascii="楷体" w:hAnsi="楷体" w:eastAsia="楷体" w:cs="楷体"/>
                <w:color w:val="000000"/>
                <w:kern w:val="0"/>
                <w:sz w:val="24"/>
              </w:rPr>
              <w:t>2019年度</w:t>
            </w:r>
          </w:p>
          <w:p>
            <w:pPr>
              <w:widowControl/>
              <w:spacing w:line="300" w:lineRule="exact"/>
              <w:jc w:val="center"/>
              <w:rPr>
                <w:rFonts w:hint="eastAsia" w:ascii="楷体" w:hAnsi="楷体" w:eastAsia="楷体" w:cs="楷体"/>
                <w:color w:val="000000"/>
                <w:kern w:val="0"/>
                <w:sz w:val="24"/>
              </w:rPr>
            </w:pPr>
            <w:r>
              <w:rPr>
                <w:rFonts w:hint="eastAsia" w:ascii="楷体" w:hAnsi="楷体" w:eastAsia="楷体" w:cs="楷体"/>
                <w:color w:val="000000"/>
                <w:kern w:val="0"/>
                <w:sz w:val="24"/>
              </w:rPr>
              <w:t>预算</w:t>
            </w:r>
          </w:p>
        </w:tc>
        <w:tc>
          <w:tcPr>
            <w:tcW w:w="1275" w:type="dxa"/>
            <w:gridSpan w:val="2"/>
            <w:tcBorders>
              <w:top w:val="single" w:color="auto" w:sz="8" w:space="0"/>
              <w:left w:val="nil"/>
              <w:bottom w:val="single" w:color="auto" w:sz="8" w:space="0"/>
              <w:right w:val="single" w:color="auto" w:sz="8" w:space="0"/>
            </w:tcBorders>
            <w:noWrap w:val="0"/>
            <w:vAlign w:val="center"/>
          </w:tcPr>
          <w:p>
            <w:pPr>
              <w:widowControl/>
              <w:spacing w:before="100" w:beforeAutospacing="1" w:after="100" w:afterAutospacing="1"/>
              <w:jc w:val="center"/>
              <w:rPr>
                <w:rFonts w:hint="eastAsia" w:ascii="楷体" w:hAnsi="楷体" w:eastAsia="楷体" w:cs="楷体"/>
                <w:color w:val="000000"/>
                <w:kern w:val="0"/>
                <w:sz w:val="24"/>
              </w:rPr>
            </w:pPr>
            <w:r>
              <w:rPr>
                <w:rFonts w:hint="eastAsia" w:ascii="楷体" w:hAnsi="楷体" w:eastAsia="楷体" w:cs="楷体"/>
                <w:color w:val="000000"/>
                <w:kern w:val="0"/>
                <w:sz w:val="24"/>
              </w:rPr>
              <w:t>增减金额</w:t>
            </w:r>
          </w:p>
        </w:tc>
        <w:tc>
          <w:tcPr>
            <w:tcW w:w="3893" w:type="dxa"/>
            <w:tcBorders>
              <w:top w:val="single" w:color="auto" w:sz="8" w:space="0"/>
              <w:left w:val="nil"/>
              <w:bottom w:val="single" w:color="auto" w:sz="8" w:space="0"/>
              <w:right w:val="single" w:color="auto" w:sz="8" w:space="0"/>
            </w:tcBorders>
            <w:noWrap w:val="0"/>
            <w:vAlign w:val="center"/>
          </w:tcPr>
          <w:p>
            <w:pPr>
              <w:widowControl/>
              <w:spacing w:before="100" w:beforeAutospacing="1" w:after="100" w:afterAutospacing="1"/>
              <w:jc w:val="center"/>
              <w:rPr>
                <w:rFonts w:hint="eastAsia" w:ascii="楷体" w:hAnsi="楷体" w:eastAsia="楷体" w:cs="楷体"/>
                <w:color w:val="000000"/>
                <w:kern w:val="0"/>
                <w:sz w:val="24"/>
              </w:rPr>
            </w:pPr>
            <w:r>
              <w:rPr>
                <w:rFonts w:hint="eastAsia" w:ascii="楷体" w:hAnsi="楷体" w:eastAsia="楷体" w:cs="楷体"/>
                <w:color w:val="000000"/>
                <w:kern w:val="0"/>
                <w:sz w:val="24"/>
              </w:rPr>
              <w:t>变化原因</w:t>
            </w:r>
          </w:p>
        </w:tc>
      </w:tr>
      <w:tr>
        <w:tblPrEx>
          <w:tblCellMar>
            <w:top w:w="0" w:type="dxa"/>
            <w:left w:w="108" w:type="dxa"/>
            <w:bottom w:w="0" w:type="dxa"/>
            <w:right w:w="108" w:type="dxa"/>
          </w:tblCellMar>
        </w:tblPrEx>
        <w:trPr>
          <w:trHeight w:val="398" w:hRule="atLeast"/>
        </w:trPr>
        <w:tc>
          <w:tcPr>
            <w:tcW w:w="2136" w:type="dxa"/>
            <w:tcBorders>
              <w:top w:val="nil"/>
              <w:left w:val="single" w:color="auto" w:sz="8" w:space="0"/>
              <w:bottom w:val="single" w:color="auto" w:sz="8" w:space="0"/>
              <w:right w:val="single" w:color="auto" w:sz="8" w:space="0"/>
            </w:tcBorders>
            <w:noWrap w:val="0"/>
            <w:vAlign w:val="center"/>
          </w:tcPr>
          <w:p>
            <w:pPr>
              <w:widowControl/>
              <w:spacing w:before="100" w:beforeAutospacing="1" w:after="100" w:afterAutospacing="1"/>
              <w:jc w:val="center"/>
              <w:rPr>
                <w:rFonts w:hint="eastAsia" w:ascii="楷体" w:hAnsi="楷体" w:eastAsia="楷体" w:cs="楷体"/>
                <w:color w:val="000000"/>
                <w:kern w:val="0"/>
                <w:sz w:val="24"/>
              </w:rPr>
            </w:pPr>
            <w:r>
              <w:rPr>
                <w:rFonts w:hint="eastAsia" w:ascii="楷体" w:hAnsi="楷体" w:eastAsia="楷体" w:cs="楷体"/>
                <w:color w:val="000000"/>
                <w:kern w:val="0"/>
                <w:sz w:val="24"/>
              </w:rPr>
              <w:t>因公出国经费</w:t>
            </w:r>
          </w:p>
        </w:tc>
        <w:tc>
          <w:tcPr>
            <w:tcW w:w="1275" w:type="dxa"/>
            <w:tcBorders>
              <w:top w:val="nil"/>
              <w:left w:val="nil"/>
              <w:bottom w:val="single" w:color="auto" w:sz="4" w:space="0"/>
              <w:right w:val="single" w:color="auto" w:sz="4" w:space="0"/>
            </w:tcBorders>
            <w:noWrap w:val="0"/>
            <w:vAlign w:val="center"/>
          </w:tcPr>
          <w:p>
            <w:pPr>
              <w:widowControl/>
              <w:spacing w:before="100" w:beforeAutospacing="1" w:after="100" w:afterAutospacing="1"/>
              <w:jc w:val="center"/>
              <w:rPr>
                <w:rFonts w:hint="eastAsia" w:ascii="楷体" w:hAnsi="楷体" w:eastAsia="楷体" w:cs="楷体"/>
                <w:color w:val="000000"/>
                <w:kern w:val="0"/>
                <w:sz w:val="24"/>
              </w:rPr>
            </w:pPr>
            <w:r>
              <w:rPr>
                <w:rFonts w:hint="eastAsia" w:ascii="楷体" w:hAnsi="楷体" w:eastAsia="楷体" w:cs="楷体"/>
                <w:color w:val="000000"/>
                <w:kern w:val="0"/>
                <w:sz w:val="24"/>
              </w:rPr>
              <w:t>0</w:t>
            </w:r>
          </w:p>
        </w:tc>
        <w:tc>
          <w:tcPr>
            <w:tcW w:w="1276" w:type="dxa"/>
            <w:gridSpan w:val="2"/>
            <w:tcBorders>
              <w:top w:val="nil"/>
              <w:left w:val="nil"/>
              <w:bottom w:val="single" w:color="auto" w:sz="4" w:space="0"/>
              <w:right w:val="single" w:color="auto" w:sz="4" w:space="0"/>
            </w:tcBorders>
            <w:noWrap w:val="0"/>
            <w:vAlign w:val="center"/>
          </w:tcPr>
          <w:p>
            <w:pPr>
              <w:widowControl/>
              <w:spacing w:before="100" w:beforeAutospacing="1" w:after="100" w:afterAutospacing="1"/>
              <w:jc w:val="center"/>
              <w:rPr>
                <w:rFonts w:hint="eastAsia" w:ascii="楷体" w:hAnsi="楷体" w:eastAsia="楷体" w:cs="楷体"/>
                <w:color w:val="000000"/>
                <w:kern w:val="0"/>
                <w:sz w:val="24"/>
              </w:rPr>
            </w:pPr>
            <w:r>
              <w:rPr>
                <w:rFonts w:hint="eastAsia" w:ascii="楷体" w:hAnsi="楷体" w:eastAsia="楷体" w:cs="楷体"/>
                <w:color w:val="000000"/>
                <w:kern w:val="0"/>
                <w:sz w:val="24"/>
              </w:rPr>
              <w:t>0</w:t>
            </w:r>
          </w:p>
        </w:tc>
        <w:tc>
          <w:tcPr>
            <w:tcW w:w="1275" w:type="dxa"/>
            <w:gridSpan w:val="2"/>
            <w:tcBorders>
              <w:top w:val="nil"/>
              <w:left w:val="nil"/>
              <w:bottom w:val="single" w:color="auto" w:sz="4" w:space="0"/>
              <w:right w:val="single" w:color="auto" w:sz="4" w:space="0"/>
            </w:tcBorders>
            <w:noWrap w:val="0"/>
            <w:vAlign w:val="center"/>
          </w:tcPr>
          <w:p>
            <w:pPr>
              <w:widowControl/>
              <w:spacing w:before="100" w:beforeAutospacing="1" w:after="100" w:afterAutospacing="1"/>
              <w:jc w:val="center"/>
              <w:rPr>
                <w:rFonts w:hint="eastAsia" w:ascii="楷体" w:hAnsi="楷体" w:eastAsia="楷体" w:cs="楷体"/>
                <w:color w:val="000000"/>
                <w:kern w:val="0"/>
                <w:sz w:val="24"/>
              </w:rPr>
            </w:pPr>
            <w:r>
              <w:rPr>
                <w:rFonts w:hint="eastAsia" w:ascii="楷体" w:hAnsi="楷体" w:eastAsia="楷体" w:cs="楷体"/>
                <w:color w:val="000000"/>
                <w:kern w:val="0"/>
                <w:sz w:val="24"/>
              </w:rPr>
              <w:t>0</w:t>
            </w:r>
          </w:p>
        </w:tc>
        <w:tc>
          <w:tcPr>
            <w:tcW w:w="3893" w:type="dxa"/>
            <w:tcBorders>
              <w:top w:val="nil"/>
              <w:left w:val="nil"/>
              <w:bottom w:val="single" w:color="auto" w:sz="4" w:space="0"/>
              <w:right w:val="single" w:color="auto" w:sz="4" w:space="0"/>
            </w:tcBorders>
            <w:noWrap w:val="0"/>
            <w:vAlign w:val="center"/>
          </w:tcPr>
          <w:p>
            <w:pPr>
              <w:widowControl/>
              <w:spacing w:line="280" w:lineRule="exact"/>
              <w:ind w:firstLine="840" w:firstLineChars="400"/>
              <w:jc w:val="left"/>
              <w:rPr>
                <w:rFonts w:hint="eastAsia" w:ascii="楷体" w:hAnsi="楷体" w:eastAsia="楷体" w:cs="楷体"/>
                <w:color w:val="000000"/>
                <w:kern w:val="0"/>
                <w:szCs w:val="21"/>
              </w:rPr>
            </w:pPr>
            <w:r>
              <w:rPr>
                <w:rFonts w:hint="eastAsia" w:ascii="楷体" w:hAnsi="楷体" w:eastAsia="楷体" w:cs="楷体"/>
                <w:color w:val="000000"/>
                <w:kern w:val="0"/>
                <w:szCs w:val="21"/>
              </w:rPr>
              <w:t>无增减变化</w:t>
            </w:r>
          </w:p>
        </w:tc>
      </w:tr>
      <w:tr>
        <w:tblPrEx>
          <w:tblCellMar>
            <w:top w:w="0" w:type="dxa"/>
            <w:left w:w="108" w:type="dxa"/>
            <w:bottom w:w="0" w:type="dxa"/>
            <w:right w:w="108" w:type="dxa"/>
          </w:tblCellMar>
        </w:tblPrEx>
        <w:trPr>
          <w:trHeight w:val="398" w:hRule="atLeast"/>
        </w:trPr>
        <w:tc>
          <w:tcPr>
            <w:tcW w:w="2136" w:type="dxa"/>
            <w:tcBorders>
              <w:top w:val="nil"/>
              <w:left w:val="single" w:color="auto" w:sz="8" w:space="0"/>
              <w:bottom w:val="single" w:color="auto" w:sz="8" w:space="0"/>
              <w:right w:val="single" w:color="auto" w:sz="8" w:space="0"/>
            </w:tcBorders>
            <w:noWrap w:val="0"/>
            <w:vAlign w:val="center"/>
          </w:tcPr>
          <w:p>
            <w:pPr>
              <w:widowControl/>
              <w:spacing w:before="100" w:beforeAutospacing="1" w:after="100" w:afterAutospacing="1"/>
              <w:jc w:val="center"/>
              <w:rPr>
                <w:rFonts w:hint="eastAsia" w:ascii="楷体" w:hAnsi="楷体" w:eastAsia="楷体" w:cs="楷体"/>
                <w:color w:val="000000"/>
                <w:kern w:val="0"/>
                <w:sz w:val="24"/>
              </w:rPr>
            </w:pPr>
            <w:r>
              <w:rPr>
                <w:rFonts w:hint="eastAsia" w:ascii="楷体" w:hAnsi="楷体" w:eastAsia="楷体" w:cs="楷体"/>
                <w:color w:val="000000"/>
                <w:kern w:val="0"/>
                <w:sz w:val="24"/>
              </w:rPr>
              <w:t>公务用车购置经费</w:t>
            </w:r>
          </w:p>
        </w:tc>
        <w:tc>
          <w:tcPr>
            <w:tcW w:w="1275" w:type="dxa"/>
            <w:tcBorders>
              <w:top w:val="nil"/>
              <w:left w:val="nil"/>
              <w:bottom w:val="single" w:color="auto" w:sz="4" w:space="0"/>
              <w:right w:val="single" w:color="auto" w:sz="4" w:space="0"/>
            </w:tcBorders>
            <w:noWrap w:val="0"/>
            <w:vAlign w:val="center"/>
          </w:tcPr>
          <w:p>
            <w:pPr>
              <w:widowControl/>
              <w:spacing w:before="100" w:beforeAutospacing="1" w:after="100" w:afterAutospacing="1"/>
              <w:jc w:val="center"/>
              <w:rPr>
                <w:rFonts w:hint="eastAsia" w:ascii="楷体" w:hAnsi="楷体" w:eastAsia="楷体" w:cs="楷体"/>
                <w:color w:val="000000"/>
                <w:kern w:val="0"/>
                <w:sz w:val="24"/>
              </w:rPr>
            </w:pPr>
            <w:r>
              <w:rPr>
                <w:rFonts w:hint="eastAsia" w:ascii="楷体" w:hAnsi="楷体" w:eastAsia="楷体" w:cs="楷体"/>
                <w:color w:val="000000"/>
                <w:kern w:val="0"/>
                <w:sz w:val="24"/>
              </w:rPr>
              <w:t>0</w:t>
            </w:r>
          </w:p>
        </w:tc>
        <w:tc>
          <w:tcPr>
            <w:tcW w:w="1276" w:type="dxa"/>
            <w:gridSpan w:val="2"/>
            <w:tcBorders>
              <w:top w:val="nil"/>
              <w:left w:val="nil"/>
              <w:bottom w:val="single" w:color="auto" w:sz="4" w:space="0"/>
              <w:right w:val="single" w:color="auto" w:sz="4" w:space="0"/>
            </w:tcBorders>
            <w:noWrap w:val="0"/>
            <w:vAlign w:val="center"/>
          </w:tcPr>
          <w:p>
            <w:pPr>
              <w:widowControl/>
              <w:spacing w:before="100" w:beforeAutospacing="1" w:after="100" w:afterAutospacing="1"/>
              <w:jc w:val="center"/>
              <w:rPr>
                <w:rFonts w:hint="eastAsia" w:ascii="楷体" w:hAnsi="楷体" w:eastAsia="楷体" w:cs="楷体"/>
                <w:color w:val="000000"/>
                <w:kern w:val="0"/>
                <w:sz w:val="24"/>
              </w:rPr>
            </w:pPr>
            <w:r>
              <w:rPr>
                <w:rFonts w:hint="eastAsia" w:ascii="楷体" w:hAnsi="楷体" w:eastAsia="楷体" w:cs="楷体"/>
                <w:color w:val="000000"/>
                <w:kern w:val="0"/>
                <w:sz w:val="24"/>
              </w:rPr>
              <w:t>0</w:t>
            </w:r>
          </w:p>
        </w:tc>
        <w:tc>
          <w:tcPr>
            <w:tcW w:w="1275" w:type="dxa"/>
            <w:gridSpan w:val="2"/>
            <w:tcBorders>
              <w:top w:val="nil"/>
              <w:left w:val="nil"/>
              <w:bottom w:val="single" w:color="auto" w:sz="4" w:space="0"/>
              <w:right w:val="single" w:color="auto" w:sz="4" w:space="0"/>
            </w:tcBorders>
            <w:noWrap w:val="0"/>
            <w:vAlign w:val="center"/>
          </w:tcPr>
          <w:p>
            <w:pPr>
              <w:widowControl/>
              <w:spacing w:before="100" w:beforeAutospacing="1" w:after="100" w:afterAutospacing="1"/>
              <w:jc w:val="center"/>
              <w:rPr>
                <w:rFonts w:hint="eastAsia" w:ascii="楷体" w:hAnsi="楷体" w:eastAsia="楷体" w:cs="楷体"/>
                <w:color w:val="000000"/>
                <w:kern w:val="0"/>
                <w:sz w:val="24"/>
              </w:rPr>
            </w:pPr>
            <w:r>
              <w:rPr>
                <w:rFonts w:hint="eastAsia" w:ascii="楷体" w:hAnsi="楷体" w:eastAsia="楷体" w:cs="楷体"/>
                <w:color w:val="000000"/>
                <w:kern w:val="0"/>
                <w:sz w:val="24"/>
              </w:rPr>
              <w:t>0</w:t>
            </w:r>
          </w:p>
        </w:tc>
        <w:tc>
          <w:tcPr>
            <w:tcW w:w="3893" w:type="dxa"/>
            <w:tcBorders>
              <w:top w:val="nil"/>
              <w:left w:val="nil"/>
              <w:bottom w:val="single" w:color="auto" w:sz="4" w:space="0"/>
              <w:right w:val="single" w:color="auto" w:sz="4" w:space="0"/>
            </w:tcBorders>
            <w:noWrap w:val="0"/>
            <w:vAlign w:val="center"/>
          </w:tcPr>
          <w:p>
            <w:pPr>
              <w:widowControl/>
              <w:spacing w:line="280" w:lineRule="exact"/>
              <w:ind w:firstLine="840" w:firstLineChars="400"/>
              <w:jc w:val="left"/>
              <w:rPr>
                <w:rFonts w:hint="eastAsia" w:ascii="楷体" w:hAnsi="楷体" w:eastAsia="楷体" w:cs="楷体"/>
                <w:color w:val="000000"/>
                <w:kern w:val="0"/>
                <w:szCs w:val="21"/>
              </w:rPr>
            </w:pPr>
            <w:r>
              <w:rPr>
                <w:rFonts w:hint="eastAsia" w:ascii="楷体" w:hAnsi="楷体" w:eastAsia="楷体" w:cs="楷体"/>
                <w:color w:val="000000"/>
                <w:kern w:val="0"/>
                <w:szCs w:val="21"/>
              </w:rPr>
              <w:t>无增减变化</w:t>
            </w:r>
          </w:p>
        </w:tc>
      </w:tr>
      <w:tr>
        <w:tblPrEx>
          <w:tblCellMar>
            <w:top w:w="0" w:type="dxa"/>
            <w:left w:w="108" w:type="dxa"/>
            <w:bottom w:w="0" w:type="dxa"/>
            <w:right w:w="108" w:type="dxa"/>
          </w:tblCellMar>
        </w:tblPrEx>
        <w:trPr>
          <w:trHeight w:val="570" w:hRule="atLeast"/>
        </w:trPr>
        <w:tc>
          <w:tcPr>
            <w:tcW w:w="2136" w:type="dxa"/>
            <w:tcBorders>
              <w:top w:val="nil"/>
              <w:left w:val="single" w:color="auto" w:sz="8" w:space="0"/>
              <w:bottom w:val="single" w:color="auto" w:sz="8" w:space="0"/>
              <w:right w:val="single" w:color="auto" w:sz="8" w:space="0"/>
            </w:tcBorders>
            <w:noWrap w:val="0"/>
            <w:vAlign w:val="center"/>
          </w:tcPr>
          <w:p>
            <w:pPr>
              <w:widowControl/>
              <w:spacing w:before="100" w:beforeAutospacing="1" w:after="100" w:afterAutospacing="1"/>
              <w:jc w:val="center"/>
              <w:rPr>
                <w:rFonts w:hint="eastAsia" w:ascii="楷体" w:hAnsi="楷体" w:eastAsia="楷体" w:cs="楷体"/>
                <w:color w:val="000000"/>
                <w:kern w:val="0"/>
                <w:sz w:val="24"/>
              </w:rPr>
            </w:pPr>
            <w:r>
              <w:rPr>
                <w:rFonts w:hint="eastAsia" w:ascii="楷体" w:hAnsi="楷体" w:eastAsia="楷体" w:cs="楷体"/>
                <w:color w:val="000000"/>
                <w:kern w:val="0"/>
                <w:sz w:val="24"/>
              </w:rPr>
              <w:t>公务用车运行经费</w:t>
            </w:r>
          </w:p>
        </w:tc>
        <w:tc>
          <w:tcPr>
            <w:tcW w:w="1275" w:type="dxa"/>
            <w:tcBorders>
              <w:top w:val="nil"/>
              <w:left w:val="nil"/>
              <w:bottom w:val="single" w:color="auto" w:sz="4" w:space="0"/>
              <w:right w:val="single" w:color="auto" w:sz="4" w:space="0"/>
            </w:tcBorders>
            <w:noWrap w:val="0"/>
            <w:vAlign w:val="center"/>
          </w:tcPr>
          <w:p>
            <w:pPr>
              <w:widowControl/>
              <w:spacing w:before="100" w:beforeAutospacing="1" w:after="100" w:afterAutospacing="1"/>
              <w:jc w:val="center"/>
              <w:rPr>
                <w:rFonts w:hint="eastAsia" w:ascii="楷体" w:hAnsi="楷体" w:eastAsia="楷体" w:cs="楷体"/>
                <w:color w:val="000000"/>
                <w:kern w:val="0"/>
                <w:sz w:val="24"/>
              </w:rPr>
            </w:pPr>
            <w:r>
              <w:rPr>
                <w:rFonts w:hint="eastAsia" w:ascii="楷体" w:hAnsi="楷体" w:eastAsia="楷体" w:cs="楷体"/>
                <w:color w:val="000000"/>
                <w:kern w:val="0"/>
                <w:sz w:val="24"/>
              </w:rPr>
              <w:t>7.2</w:t>
            </w:r>
          </w:p>
        </w:tc>
        <w:tc>
          <w:tcPr>
            <w:tcW w:w="1276" w:type="dxa"/>
            <w:gridSpan w:val="2"/>
            <w:tcBorders>
              <w:top w:val="nil"/>
              <w:left w:val="nil"/>
              <w:bottom w:val="single" w:color="auto" w:sz="4" w:space="0"/>
              <w:right w:val="single" w:color="auto" w:sz="4" w:space="0"/>
            </w:tcBorders>
            <w:noWrap w:val="0"/>
            <w:vAlign w:val="center"/>
          </w:tcPr>
          <w:p>
            <w:pPr>
              <w:widowControl/>
              <w:spacing w:before="100" w:beforeAutospacing="1" w:after="100" w:afterAutospacing="1"/>
              <w:ind w:firstLine="600" w:firstLineChars="250"/>
              <w:jc w:val="left"/>
              <w:rPr>
                <w:rFonts w:hint="eastAsia" w:ascii="楷体" w:hAnsi="楷体" w:eastAsia="楷体" w:cs="楷体"/>
                <w:color w:val="000000"/>
                <w:kern w:val="0"/>
                <w:sz w:val="24"/>
              </w:rPr>
            </w:pPr>
            <w:r>
              <w:rPr>
                <w:rFonts w:hint="eastAsia" w:ascii="楷体" w:hAnsi="楷体" w:eastAsia="楷体" w:cs="楷体"/>
                <w:color w:val="000000"/>
                <w:kern w:val="0"/>
                <w:sz w:val="24"/>
              </w:rPr>
              <w:t>7.2</w:t>
            </w:r>
          </w:p>
        </w:tc>
        <w:tc>
          <w:tcPr>
            <w:tcW w:w="1275" w:type="dxa"/>
            <w:gridSpan w:val="2"/>
            <w:tcBorders>
              <w:top w:val="nil"/>
              <w:left w:val="nil"/>
              <w:bottom w:val="single" w:color="auto" w:sz="4" w:space="0"/>
              <w:right w:val="single" w:color="auto" w:sz="4" w:space="0"/>
            </w:tcBorders>
            <w:noWrap w:val="0"/>
            <w:vAlign w:val="center"/>
          </w:tcPr>
          <w:p>
            <w:pPr>
              <w:widowControl/>
              <w:spacing w:before="100" w:beforeAutospacing="1" w:after="100" w:afterAutospacing="1"/>
              <w:jc w:val="center"/>
              <w:rPr>
                <w:rFonts w:hint="eastAsia" w:ascii="楷体" w:hAnsi="楷体" w:eastAsia="楷体" w:cs="楷体"/>
                <w:color w:val="000000"/>
                <w:kern w:val="0"/>
                <w:sz w:val="24"/>
              </w:rPr>
            </w:pPr>
            <w:r>
              <w:rPr>
                <w:rFonts w:hint="eastAsia" w:ascii="楷体" w:hAnsi="楷体" w:eastAsia="楷体" w:cs="楷体"/>
                <w:color w:val="000000"/>
                <w:kern w:val="0"/>
                <w:sz w:val="24"/>
              </w:rPr>
              <w:t>0</w:t>
            </w:r>
          </w:p>
        </w:tc>
        <w:tc>
          <w:tcPr>
            <w:tcW w:w="3893" w:type="dxa"/>
            <w:tcBorders>
              <w:top w:val="nil"/>
              <w:left w:val="nil"/>
              <w:bottom w:val="single" w:color="auto" w:sz="4" w:space="0"/>
              <w:right w:val="single" w:color="auto" w:sz="4" w:space="0"/>
            </w:tcBorders>
            <w:noWrap w:val="0"/>
            <w:vAlign w:val="center"/>
          </w:tcPr>
          <w:p>
            <w:pPr>
              <w:widowControl/>
              <w:spacing w:line="280" w:lineRule="exact"/>
              <w:jc w:val="left"/>
              <w:rPr>
                <w:rFonts w:hint="eastAsia" w:ascii="楷体" w:hAnsi="楷体" w:eastAsia="楷体" w:cs="楷体"/>
                <w:color w:val="000000"/>
                <w:kern w:val="0"/>
                <w:szCs w:val="21"/>
              </w:rPr>
            </w:pPr>
            <w:r>
              <w:rPr>
                <w:rFonts w:hint="eastAsia" w:ascii="楷体" w:hAnsi="楷体" w:eastAsia="楷体" w:cs="楷体"/>
                <w:color w:val="000000"/>
                <w:kern w:val="0"/>
                <w:szCs w:val="21"/>
              </w:rPr>
              <w:t>无增减变化</w:t>
            </w:r>
          </w:p>
        </w:tc>
      </w:tr>
      <w:tr>
        <w:tblPrEx>
          <w:tblCellMar>
            <w:top w:w="0" w:type="dxa"/>
            <w:left w:w="108" w:type="dxa"/>
            <w:bottom w:w="0" w:type="dxa"/>
            <w:right w:w="108" w:type="dxa"/>
          </w:tblCellMar>
        </w:tblPrEx>
        <w:trPr>
          <w:trHeight w:val="605" w:hRule="atLeast"/>
        </w:trPr>
        <w:tc>
          <w:tcPr>
            <w:tcW w:w="2136" w:type="dxa"/>
            <w:tcBorders>
              <w:top w:val="nil"/>
              <w:left w:val="single" w:color="auto" w:sz="8" w:space="0"/>
              <w:bottom w:val="single" w:color="auto" w:sz="8" w:space="0"/>
              <w:right w:val="single" w:color="auto" w:sz="8" w:space="0"/>
            </w:tcBorders>
            <w:noWrap w:val="0"/>
            <w:vAlign w:val="center"/>
          </w:tcPr>
          <w:p>
            <w:pPr>
              <w:widowControl/>
              <w:spacing w:before="100" w:beforeAutospacing="1" w:after="100" w:afterAutospacing="1"/>
              <w:jc w:val="center"/>
              <w:rPr>
                <w:rFonts w:hint="eastAsia" w:ascii="楷体" w:hAnsi="楷体" w:eastAsia="楷体" w:cs="楷体"/>
                <w:color w:val="000000"/>
                <w:kern w:val="0"/>
                <w:sz w:val="24"/>
              </w:rPr>
            </w:pPr>
            <w:r>
              <w:rPr>
                <w:rFonts w:hint="eastAsia" w:ascii="楷体" w:hAnsi="楷体" w:eastAsia="楷体" w:cs="楷体"/>
                <w:color w:val="000000"/>
                <w:kern w:val="0"/>
                <w:sz w:val="24"/>
              </w:rPr>
              <w:t>公务接待费支出</w:t>
            </w:r>
          </w:p>
        </w:tc>
        <w:tc>
          <w:tcPr>
            <w:tcW w:w="1275" w:type="dxa"/>
            <w:tcBorders>
              <w:top w:val="nil"/>
              <w:left w:val="nil"/>
              <w:bottom w:val="single" w:color="auto" w:sz="4" w:space="0"/>
              <w:right w:val="single" w:color="auto" w:sz="4" w:space="0"/>
            </w:tcBorders>
            <w:noWrap w:val="0"/>
            <w:vAlign w:val="center"/>
          </w:tcPr>
          <w:p>
            <w:pPr>
              <w:widowControl/>
              <w:spacing w:before="100" w:beforeAutospacing="1" w:after="100" w:afterAutospacing="1"/>
              <w:jc w:val="center"/>
              <w:rPr>
                <w:rFonts w:hint="eastAsia" w:ascii="楷体" w:hAnsi="楷体" w:eastAsia="楷体" w:cs="楷体"/>
                <w:color w:val="000000"/>
                <w:kern w:val="0"/>
                <w:sz w:val="24"/>
              </w:rPr>
            </w:pPr>
            <w:r>
              <w:rPr>
                <w:rFonts w:hint="eastAsia" w:ascii="楷体" w:hAnsi="楷体" w:eastAsia="楷体" w:cs="楷体"/>
                <w:color w:val="000000"/>
                <w:kern w:val="0"/>
                <w:sz w:val="24"/>
              </w:rPr>
              <w:t>1.0966</w:t>
            </w:r>
          </w:p>
        </w:tc>
        <w:tc>
          <w:tcPr>
            <w:tcW w:w="1276" w:type="dxa"/>
            <w:gridSpan w:val="2"/>
            <w:tcBorders>
              <w:top w:val="nil"/>
              <w:left w:val="nil"/>
              <w:bottom w:val="single" w:color="auto" w:sz="4" w:space="0"/>
              <w:right w:val="single" w:color="auto" w:sz="4" w:space="0"/>
            </w:tcBorders>
            <w:noWrap w:val="0"/>
            <w:vAlign w:val="center"/>
          </w:tcPr>
          <w:p>
            <w:pPr>
              <w:widowControl/>
              <w:spacing w:before="100" w:beforeAutospacing="1" w:after="100" w:afterAutospacing="1"/>
              <w:jc w:val="center"/>
              <w:rPr>
                <w:rFonts w:hint="eastAsia" w:ascii="楷体" w:hAnsi="楷体" w:eastAsia="楷体" w:cs="楷体"/>
                <w:color w:val="000000"/>
                <w:kern w:val="0"/>
                <w:sz w:val="24"/>
              </w:rPr>
            </w:pPr>
            <w:r>
              <w:rPr>
                <w:rFonts w:hint="eastAsia" w:ascii="楷体" w:hAnsi="楷体" w:eastAsia="楷体" w:cs="楷体"/>
                <w:color w:val="000000"/>
                <w:kern w:val="0"/>
                <w:sz w:val="24"/>
              </w:rPr>
              <w:t>0.8632</w:t>
            </w:r>
          </w:p>
        </w:tc>
        <w:tc>
          <w:tcPr>
            <w:tcW w:w="1275" w:type="dxa"/>
            <w:gridSpan w:val="2"/>
            <w:tcBorders>
              <w:top w:val="nil"/>
              <w:left w:val="nil"/>
              <w:bottom w:val="single" w:color="auto" w:sz="4" w:space="0"/>
              <w:right w:val="single" w:color="auto" w:sz="4" w:space="0"/>
            </w:tcBorders>
            <w:noWrap w:val="0"/>
            <w:vAlign w:val="center"/>
          </w:tcPr>
          <w:p>
            <w:pPr>
              <w:widowControl/>
              <w:spacing w:before="100" w:beforeAutospacing="1" w:after="100" w:afterAutospacing="1"/>
              <w:jc w:val="center"/>
              <w:rPr>
                <w:rFonts w:hint="eastAsia" w:ascii="楷体" w:hAnsi="楷体" w:eastAsia="楷体" w:cs="楷体"/>
                <w:color w:val="000000"/>
                <w:kern w:val="0"/>
                <w:sz w:val="24"/>
              </w:rPr>
            </w:pPr>
            <w:r>
              <w:rPr>
                <w:rFonts w:hint="eastAsia" w:ascii="楷体" w:hAnsi="楷体" w:eastAsia="楷体" w:cs="楷体"/>
                <w:color w:val="000000"/>
                <w:kern w:val="0"/>
                <w:sz w:val="24"/>
              </w:rPr>
              <w:t>-0.2334</w:t>
            </w:r>
          </w:p>
        </w:tc>
        <w:tc>
          <w:tcPr>
            <w:tcW w:w="3893" w:type="dxa"/>
            <w:tcBorders>
              <w:top w:val="nil"/>
              <w:left w:val="nil"/>
              <w:bottom w:val="single" w:color="auto" w:sz="4" w:space="0"/>
              <w:right w:val="single" w:color="auto" w:sz="4" w:space="0"/>
            </w:tcBorders>
            <w:noWrap w:val="0"/>
            <w:vAlign w:val="center"/>
          </w:tcPr>
          <w:p>
            <w:pPr>
              <w:pStyle w:val="8"/>
              <w:widowControl/>
              <w:rPr>
                <w:rFonts w:hint="eastAsia" w:ascii="楷体" w:hAnsi="楷体" w:eastAsia="楷体" w:cs="楷体"/>
                <w:color w:val="000000"/>
                <w:szCs w:val="21"/>
              </w:rPr>
            </w:pPr>
            <w:r>
              <w:rPr>
                <w:rFonts w:hint="eastAsia" w:ascii="楷体" w:hAnsi="楷体" w:eastAsia="楷体" w:cs="楷体"/>
                <w:color w:val="000000"/>
                <w:sz w:val="21"/>
                <w:szCs w:val="21"/>
              </w:rPr>
              <w:t>2019年公务接待费预算减少主要是：人员调出，公务接待费按比例提取。</w:t>
            </w:r>
          </w:p>
        </w:tc>
      </w:tr>
      <w:tr>
        <w:tblPrEx>
          <w:tblCellMar>
            <w:top w:w="0" w:type="dxa"/>
            <w:left w:w="108" w:type="dxa"/>
            <w:bottom w:w="0" w:type="dxa"/>
            <w:right w:w="108" w:type="dxa"/>
          </w:tblCellMar>
        </w:tblPrEx>
        <w:trPr>
          <w:trHeight w:val="1140" w:hRule="atLeast"/>
        </w:trPr>
        <w:tc>
          <w:tcPr>
            <w:tcW w:w="2136" w:type="dxa"/>
            <w:tcBorders>
              <w:top w:val="nil"/>
              <w:left w:val="single" w:color="auto" w:sz="8" w:space="0"/>
              <w:bottom w:val="single" w:color="auto" w:sz="8" w:space="0"/>
              <w:right w:val="single" w:color="auto" w:sz="8" w:space="0"/>
            </w:tcBorders>
            <w:noWrap w:val="0"/>
            <w:vAlign w:val="center"/>
          </w:tcPr>
          <w:p>
            <w:pPr>
              <w:widowControl/>
              <w:spacing w:before="100" w:beforeAutospacing="1" w:after="100" w:afterAutospacing="1"/>
              <w:jc w:val="center"/>
              <w:rPr>
                <w:rFonts w:hint="eastAsia" w:ascii="楷体" w:hAnsi="楷体" w:eastAsia="楷体" w:cs="楷体"/>
                <w:color w:val="000000"/>
                <w:kern w:val="0"/>
                <w:sz w:val="24"/>
              </w:rPr>
            </w:pPr>
            <w:r>
              <w:rPr>
                <w:rFonts w:hint="eastAsia" w:ascii="楷体" w:hAnsi="楷体" w:eastAsia="楷体" w:cs="楷体"/>
                <w:color w:val="000000"/>
                <w:kern w:val="0"/>
                <w:sz w:val="24"/>
              </w:rPr>
              <w:t>合计</w:t>
            </w:r>
          </w:p>
        </w:tc>
        <w:tc>
          <w:tcPr>
            <w:tcW w:w="1275" w:type="dxa"/>
            <w:tcBorders>
              <w:top w:val="nil"/>
              <w:left w:val="nil"/>
              <w:bottom w:val="single" w:color="auto" w:sz="4" w:space="0"/>
              <w:right w:val="single" w:color="auto" w:sz="4" w:space="0"/>
            </w:tcBorders>
            <w:noWrap w:val="0"/>
            <w:vAlign w:val="center"/>
          </w:tcPr>
          <w:p>
            <w:pPr>
              <w:widowControl/>
              <w:spacing w:before="100" w:beforeAutospacing="1" w:after="100" w:afterAutospacing="1"/>
              <w:jc w:val="center"/>
              <w:rPr>
                <w:rFonts w:hint="eastAsia" w:ascii="楷体" w:hAnsi="楷体" w:eastAsia="楷体" w:cs="楷体"/>
                <w:color w:val="000000"/>
                <w:kern w:val="0"/>
                <w:sz w:val="24"/>
              </w:rPr>
            </w:pPr>
            <w:r>
              <w:rPr>
                <w:rFonts w:hint="eastAsia" w:ascii="楷体" w:hAnsi="楷体" w:eastAsia="楷体" w:cs="楷体"/>
                <w:color w:val="000000"/>
                <w:kern w:val="0"/>
                <w:sz w:val="24"/>
              </w:rPr>
              <w:t>8.2966</w:t>
            </w:r>
          </w:p>
        </w:tc>
        <w:tc>
          <w:tcPr>
            <w:tcW w:w="1276" w:type="dxa"/>
            <w:gridSpan w:val="2"/>
            <w:tcBorders>
              <w:top w:val="nil"/>
              <w:left w:val="nil"/>
              <w:bottom w:val="single" w:color="auto" w:sz="4" w:space="0"/>
              <w:right w:val="single" w:color="auto" w:sz="4" w:space="0"/>
            </w:tcBorders>
            <w:noWrap w:val="0"/>
            <w:vAlign w:val="center"/>
          </w:tcPr>
          <w:p>
            <w:pPr>
              <w:widowControl/>
              <w:spacing w:before="100" w:beforeAutospacing="1" w:after="100" w:afterAutospacing="1"/>
              <w:jc w:val="center"/>
              <w:rPr>
                <w:rFonts w:hint="eastAsia" w:ascii="楷体" w:hAnsi="楷体" w:eastAsia="楷体" w:cs="楷体"/>
                <w:color w:val="000000"/>
                <w:kern w:val="0"/>
                <w:sz w:val="24"/>
              </w:rPr>
            </w:pPr>
            <w:r>
              <w:rPr>
                <w:rFonts w:hint="eastAsia" w:ascii="楷体" w:hAnsi="楷体" w:eastAsia="楷体" w:cs="楷体"/>
                <w:color w:val="000000"/>
                <w:kern w:val="0"/>
                <w:sz w:val="24"/>
              </w:rPr>
              <w:t>8.0632</w:t>
            </w:r>
          </w:p>
        </w:tc>
        <w:tc>
          <w:tcPr>
            <w:tcW w:w="1275" w:type="dxa"/>
            <w:gridSpan w:val="2"/>
            <w:tcBorders>
              <w:top w:val="nil"/>
              <w:left w:val="nil"/>
              <w:bottom w:val="single" w:color="auto" w:sz="4" w:space="0"/>
              <w:right w:val="single" w:color="auto" w:sz="4" w:space="0"/>
            </w:tcBorders>
            <w:noWrap w:val="0"/>
            <w:vAlign w:val="center"/>
          </w:tcPr>
          <w:p>
            <w:pPr>
              <w:widowControl/>
              <w:spacing w:before="100" w:beforeAutospacing="1" w:after="100" w:afterAutospacing="1"/>
              <w:jc w:val="center"/>
              <w:rPr>
                <w:rFonts w:hint="eastAsia" w:ascii="楷体" w:hAnsi="楷体" w:eastAsia="楷体" w:cs="楷体"/>
                <w:color w:val="000000"/>
                <w:kern w:val="0"/>
                <w:sz w:val="24"/>
              </w:rPr>
            </w:pPr>
            <w:r>
              <w:rPr>
                <w:rFonts w:hint="eastAsia" w:ascii="楷体" w:hAnsi="楷体" w:eastAsia="楷体" w:cs="楷体"/>
                <w:color w:val="000000"/>
                <w:kern w:val="0"/>
                <w:sz w:val="24"/>
              </w:rPr>
              <w:t>-0.2334</w:t>
            </w:r>
          </w:p>
        </w:tc>
        <w:tc>
          <w:tcPr>
            <w:tcW w:w="3893" w:type="dxa"/>
            <w:tcBorders>
              <w:top w:val="nil"/>
              <w:left w:val="nil"/>
              <w:bottom w:val="single" w:color="auto" w:sz="4" w:space="0"/>
              <w:right w:val="single" w:color="auto" w:sz="4" w:space="0"/>
            </w:tcBorders>
            <w:noWrap w:val="0"/>
            <w:vAlign w:val="center"/>
          </w:tcPr>
          <w:p>
            <w:pPr>
              <w:widowControl/>
              <w:spacing w:line="280" w:lineRule="exact"/>
              <w:jc w:val="left"/>
              <w:rPr>
                <w:rFonts w:hint="eastAsia" w:ascii="楷体" w:hAnsi="楷体" w:eastAsia="楷体" w:cs="楷体"/>
                <w:color w:val="000000"/>
                <w:kern w:val="0"/>
                <w:szCs w:val="21"/>
              </w:rPr>
            </w:pPr>
            <w:r>
              <w:rPr>
                <w:rFonts w:hint="eastAsia" w:ascii="楷体" w:hAnsi="楷体" w:eastAsia="楷体" w:cs="楷体"/>
                <w:color w:val="000000"/>
                <w:szCs w:val="21"/>
              </w:rPr>
              <w:t>2019年公务接待费预算减少主要是：人员调出，公务接待费按比例提取。</w:t>
            </w:r>
          </w:p>
        </w:tc>
      </w:tr>
    </w:tbl>
    <w:p>
      <w:pPr>
        <w:jc w:val="center"/>
        <w:rPr>
          <w:rFonts w:hint="eastAsia" w:ascii="楷体" w:hAnsi="楷体" w:eastAsia="楷体" w:cs="楷体"/>
          <w:b/>
          <w:sz w:val="32"/>
          <w:szCs w:val="32"/>
        </w:rPr>
      </w:pPr>
    </w:p>
    <w:p>
      <w:pPr>
        <w:jc w:val="center"/>
        <w:rPr>
          <w:rFonts w:hint="eastAsia" w:ascii="楷体" w:hAnsi="楷体" w:eastAsia="楷体" w:cs="楷体"/>
          <w:b/>
          <w:sz w:val="32"/>
          <w:szCs w:val="32"/>
        </w:rPr>
      </w:pPr>
    </w:p>
    <w:p>
      <w:pPr>
        <w:jc w:val="center"/>
        <w:rPr>
          <w:rFonts w:hint="eastAsia" w:ascii="楷体" w:hAnsi="楷体" w:eastAsia="楷体" w:cs="楷体"/>
          <w:b/>
          <w:sz w:val="32"/>
          <w:szCs w:val="32"/>
        </w:rPr>
      </w:pPr>
      <w:r>
        <w:rPr>
          <w:rFonts w:hint="eastAsia" w:ascii="楷体" w:hAnsi="楷体" w:eastAsia="楷体" w:cs="楷体"/>
          <w:b/>
          <w:sz w:val="32"/>
          <w:szCs w:val="32"/>
        </w:rPr>
        <w:t>第五部分：绩效预算信息</w:t>
      </w:r>
    </w:p>
    <w:p>
      <w:pPr>
        <w:spacing w:line="240" w:lineRule="exact"/>
        <w:jc w:val="center"/>
        <w:rPr>
          <w:rFonts w:ascii="宋体" w:hAnsi="宋体"/>
          <w:b/>
          <w:sz w:val="32"/>
          <w:szCs w:val="32"/>
        </w:rPr>
      </w:pPr>
    </w:p>
    <w:p>
      <w:pPr>
        <w:spacing w:line="500" w:lineRule="exact"/>
        <w:ind w:firstLine="560"/>
        <w:rPr>
          <w:rFonts w:ascii="方正仿宋_GBK" w:eastAsia="方正仿宋_GBK"/>
          <w:sz w:val="28"/>
        </w:rPr>
      </w:pPr>
      <w:r>
        <w:rPr>
          <w:rFonts w:hint="eastAsia" w:ascii="楷体" w:hAnsi="楷体" w:eastAsia="楷体" w:cs="楷体"/>
          <w:b/>
          <w:sz w:val="32"/>
          <w:szCs w:val="32"/>
        </w:rPr>
        <w:t>一</w:t>
      </w:r>
      <w:r>
        <w:rPr>
          <w:rFonts w:ascii="楷体" w:hAnsi="楷体" w:eastAsia="楷体" w:cs="楷体"/>
          <w:b/>
          <w:sz w:val="32"/>
          <w:szCs w:val="32"/>
        </w:rPr>
        <w:t>、</w:t>
      </w:r>
      <w:r>
        <w:rPr>
          <w:rFonts w:hint="eastAsia" w:ascii="楷体" w:hAnsi="楷体" w:eastAsia="楷体" w:cs="楷体"/>
          <w:b/>
          <w:sz w:val="32"/>
          <w:szCs w:val="32"/>
        </w:rPr>
        <w:t>总体绩效目标</w:t>
      </w:r>
      <w:r>
        <w:rPr>
          <w:rFonts w:ascii="方正仿宋_GBK" w:eastAsia="方正仿宋_GBK"/>
          <w:sz w:val="28"/>
        </w:rPr>
        <w:t xml:space="preserve"> </w:t>
      </w:r>
    </w:p>
    <w:p>
      <w:pPr>
        <w:spacing w:line="500" w:lineRule="exact"/>
        <w:ind w:firstLine="560"/>
        <w:rPr>
          <w:rFonts w:ascii="方正仿宋_GBK" w:eastAsia="方正仿宋_GBK"/>
          <w:sz w:val="28"/>
        </w:rPr>
      </w:pPr>
      <w:r>
        <w:rPr>
          <w:rFonts w:ascii="方正仿宋_GBK" w:eastAsia="方正仿宋_GBK"/>
          <w:sz w:val="28"/>
        </w:rPr>
        <w:t xml:space="preserve"> 我乡将以党的十九大精神为指导，紧紧围绕区委、区政府，继续以人民群众利益为根本，定目标、赶进度,以项目建设为重点，抢抓机遇促发展，坚持夯实党建基础，挖掘弘扬红色文化主旋律，认真抓好生态资源保护，主动适应新常态，全力打造红色革命老区、绿色山水画廊、美丽和谐家园，推进全乡各项工作进一步开展。</w:t>
      </w:r>
    </w:p>
    <w:p>
      <w:pPr>
        <w:spacing w:line="500" w:lineRule="exact"/>
        <w:ind w:firstLine="560"/>
        <w:rPr>
          <w:rFonts w:ascii="方正仿宋_GBK" w:eastAsia="方正仿宋_GBK"/>
          <w:sz w:val="28"/>
        </w:rPr>
      </w:pPr>
      <w:r>
        <w:rPr>
          <w:rFonts w:ascii="方正仿宋_GBK" w:eastAsia="方正仿宋_GBK"/>
          <w:sz w:val="28"/>
        </w:rPr>
        <w:t>一是强化保护全乡生态环境态势。继续坚持“绿水青山就是金山银山”，以高压态势维护全乡生态环境。积极谋划推进“造林造风景”的植树造林工作，在绿化山坡荒地的基础上，为全域旅游发展打下坚实基础。</w:t>
      </w:r>
    </w:p>
    <w:p>
      <w:pPr>
        <w:spacing w:line="500" w:lineRule="exact"/>
        <w:ind w:firstLine="560"/>
        <w:rPr>
          <w:rFonts w:ascii="方正仿宋_GBK" w:eastAsia="方正仿宋_GBK"/>
          <w:sz w:val="28"/>
        </w:rPr>
      </w:pPr>
      <w:r>
        <w:rPr>
          <w:rFonts w:ascii="方正仿宋_GBK" w:eastAsia="方正仿宋_GBK"/>
          <w:sz w:val="28"/>
        </w:rPr>
        <w:t>二是谋划推进全域旅游发展。大力推进高士生态水镇建设，同时积极谋划推进全域旅游建设。按照九寨沟模式，规划三沟互通，整体打造，分步分区域实施，逐步迁出，集中配置，设施共享，公字当先，民生为主，集体运作，资源入股，全员就业，推进小城镇建设或中心村建设。</w:t>
      </w:r>
    </w:p>
    <w:p>
      <w:pPr>
        <w:spacing w:line="500" w:lineRule="exact"/>
        <w:ind w:firstLine="560"/>
        <w:rPr>
          <w:rFonts w:ascii="方正仿宋_GBK" w:eastAsia="方正仿宋_GBK"/>
          <w:sz w:val="28"/>
        </w:rPr>
      </w:pPr>
      <w:r>
        <w:rPr>
          <w:rFonts w:ascii="方正仿宋_GBK" w:eastAsia="方正仿宋_GBK"/>
          <w:sz w:val="28"/>
        </w:rPr>
        <w:t>三是进一步进行精准扶贫工作。针对各贫户不同情况，进一步强化精准扶贫举措。以面包虫饲养、林下菌种植为载体，以免费发放虫苗、菌种，专人指导教学，成品集体收购的方式，支持帮扶贫困户，切实改善贫困户生活环境，达到贫困人员脱真贫的效果。</w:t>
      </w:r>
    </w:p>
    <w:p>
      <w:pPr>
        <w:spacing w:line="500" w:lineRule="exact"/>
        <w:ind w:firstLine="560"/>
        <w:rPr>
          <w:rFonts w:ascii="方正仿宋_GBK" w:eastAsia="方正仿宋_GBK"/>
          <w:sz w:val="28"/>
        </w:rPr>
      </w:pPr>
      <w:r>
        <w:rPr>
          <w:rFonts w:ascii="方正仿宋_GBK" w:eastAsia="方正仿宋_GBK"/>
          <w:sz w:val="28"/>
        </w:rPr>
        <w:t>四是加大村集体经济发展力度。继续推进慈家台村集体经济发展项目，并以此为契机，辐射周边，形成发展村集体经济，促进农民增收，推进精准扶贫发展的良好循环。</w:t>
      </w:r>
    </w:p>
    <w:p>
      <w:pPr>
        <w:spacing w:line="500" w:lineRule="exact"/>
        <w:ind w:firstLine="560"/>
        <w:rPr>
          <w:rFonts w:ascii="方正仿宋_GBK" w:eastAsia="方正仿宋_GBK"/>
          <w:sz w:val="28"/>
        </w:rPr>
      </w:pPr>
      <w:r>
        <w:rPr>
          <w:rFonts w:ascii="方正仿宋_GBK" w:eastAsia="方正仿宋_GBK"/>
          <w:sz w:val="28"/>
        </w:rPr>
        <w:t xml:space="preserve"> </w:t>
      </w:r>
    </w:p>
    <w:p>
      <w:pPr>
        <w:jc w:val="left"/>
        <w:rPr>
          <w:rFonts w:hint="eastAsia" w:ascii="方正楷体_GBK" w:eastAsia="方正楷体_GBK"/>
          <w:b/>
          <w:sz w:val="28"/>
        </w:rPr>
      </w:pPr>
      <w:r>
        <w:rPr>
          <w:rFonts w:hint="eastAsia" w:ascii="方正楷体_GBK" w:eastAsia="方正楷体_GBK"/>
          <w:b/>
          <w:sz w:val="28"/>
        </w:rPr>
        <w:t xml:space="preserve">    二、职责分类绩效目标：</w:t>
      </w:r>
    </w:p>
    <w:p>
      <w:pPr>
        <w:spacing w:line="500" w:lineRule="exact"/>
        <w:ind w:firstLine="560"/>
        <w:rPr>
          <w:rFonts w:ascii="方正仿宋_GBK" w:eastAsia="方正仿宋_GBK"/>
          <w:sz w:val="28"/>
        </w:rPr>
      </w:pPr>
      <w:r>
        <w:rPr>
          <w:rFonts w:ascii="方正仿宋_GBK" w:eastAsia="方正仿宋_GBK"/>
          <w:sz w:val="28"/>
        </w:rPr>
        <w:t xml:space="preserve"> 职责分类绩效目标情况说明</w:t>
      </w:r>
    </w:p>
    <w:p>
      <w:pPr>
        <w:spacing w:line="500" w:lineRule="exact"/>
        <w:ind w:firstLine="560"/>
        <w:rPr>
          <w:rFonts w:ascii="方正仿宋_GBK" w:eastAsia="方正仿宋_GBK"/>
          <w:sz w:val="28"/>
        </w:rPr>
      </w:pPr>
      <w:r>
        <w:rPr>
          <w:rFonts w:ascii="方正仿宋_GBK" w:eastAsia="方正仿宋_GBK"/>
          <w:sz w:val="28"/>
        </w:rPr>
        <w:t>部门职责1人大监督、人大代表。</w:t>
      </w:r>
    </w:p>
    <w:p>
      <w:pPr>
        <w:spacing w:line="500" w:lineRule="exact"/>
        <w:ind w:firstLine="560"/>
        <w:rPr>
          <w:rFonts w:ascii="方正仿宋_GBK" w:eastAsia="方正仿宋_GBK"/>
          <w:sz w:val="28"/>
        </w:rPr>
      </w:pPr>
      <w:r>
        <w:rPr>
          <w:rFonts w:ascii="方正仿宋_GBK" w:eastAsia="方正仿宋_GBK"/>
          <w:sz w:val="28"/>
        </w:rPr>
        <w:t>确保有关选举的法律法规符合实际，在充分考察调研的基础上，实施对其进行修改。对乡镇政府组成人员和乡镇人民法院主要负责人进行目标责任监督，确保依法履行职责，完成目标任务。承担乡镇人大换届选举、乡镇区领导人的选举和常委会人事任免的服务工作；负责对乡镇政府组成人员和乡镇人民法院主要负责人的目标责任书、述职报告的督办工作。</w:t>
      </w:r>
    </w:p>
    <w:p>
      <w:pPr>
        <w:spacing w:line="500" w:lineRule="exact"/>
        <w:ind w:firstLine="560"/>
        <w:rPr>
          <w:rFonts w:ascii="方正仿宋_GBK" w:eastAsia="方正仿宋_GBK"/>
          <w:sz w:val="28"/>
        </w:rPr>
      </w:pPr>
      <w:r>
        <w:rPr>
          <w:rFonts w:ascii="方正仿宋_GBK" w:eastAsia="方正仿宋_GBK"/>
          <w:sz w:val="28"/>
        </w:rPr>
        <w:t>部门职责2民族宗教事务管理</w:t>
      </w:r>
    </w:p>
    <w:p>
      <w:pPr>
        <w:spacing w:line="500" w:lineRule="exact"/>
        <w:ind w:firstLine="560"/>
        <w:rPr>
          <w:rFonts w:ascii="方正仿宋_GBK" w:eastAsia="方正仿宋_GBK"/>
          <w:sz w:val="28"/>
        </w:rPr>
      </w:pPr>
      <w:r>
        <w:rPr>
          <w:rFonts w:ascii="方正仿宋_GBK" w:eastAsia="方正仿宋_GBK"/>
          <w:sz w:val="28"/>
        </w:rPr>
        <w:t>加强民族宗教的法制宣传和团结教育，团结和动员广大信教群众为改革开放和经济建设服务。协助处理民族宗教方面的维稳问题。进行清真食品检查；处理其他不可预见的民族宗教问题。对地下主教、神甫及其骨干分子进行监控、反渗透，巩固爱国人员的领导地位。</w:t>
      </w:r>
    </w:p>
    <w:p>
      <w:pPr>
        <w:spacing w:line="500" w:lineRule="exact"/>
        <w:ind w:firstLine="560"/>
        <w:rPr>
          <w:rFonts w:ascii="方正仿宋_GBK" w:eastAsia="方正仿宋_GBK"/>
          <w:sz w:val="28"/>
        </w:rPr>
      </w:pPr>
      <w:r>
        <w:rPr>
          <w:rFonts w:ascii="方正仿宋_GBK" w:eastAsia="方正仿宋_GBK"/>
          <w:sz w:val="28"/>
        </w:rPr>
        <w:t>部门职责3党政事务管理</w:t>
      </w:r>
    </w:p>
    <w:p>
      <w:pPr>
        <w:spacing w:line="500" w:lineRule="exact"/>
        <w:ind w:firstLine="560"/>
        <w:rPr>
          <w:rFonts w:ascii="方正仿宋_GBK" w:eastAsia="方正仿宋_GBK"/>
          <w:sz w:val="28"/>
        </w:rPr>
      </w:pPr>
      <w:r>
        <w:rPr>
          <w:rFonts w:ascii="方正仿宋_GBK" w:eastAsia="方正仿宋_GBK"/>
          <w:sz w:val="28"/>
        </w:rPr>
        <w:t>完成党委、人大、纪检、组织、宣传、统计、妇联等工作，协调各办公室的工作关系，完成政府日常事务和机关后勤工作，完成党委政府交办的其他事项。</w:t>
      </w:r>
    </w:p>
    <w:p>
      <w:pPr>
        <w:spacing w:line="500" w:lineRule="exact"/>
        <w:ind w:firstLine="560"/>
        <w:rPr>
          <w:rFonts w:ascii="方正仿宋_GBK" w:eastAsia="方正仿宋_GBK"/>
          <w:sz w:val="28"/>
        </w:rPr>
      </w:pPr>
      <w:r>
        <w:rPr>
          <w:rFonts w:ascii="方正仿宋_GBK" w:eastAsia="方正仿宋_GBK"/>
          <w:sz w:val="28"/>
        </w:rPr>
        <w:t>部门职责4政法综治稳定和国家安全</w:t>
      </w:r>
    </w:p>
    <w:p>
      <w:pPr>
        <w:spacing w:line="500" w:lineRule="exact"/>
        <w:ind w:firstLine="560"/>
        <w:rPr>
          <w:rFonts w:ascii="方正仿宋_GBK" w:eastAsia="方正仿宋_GBK"/>
          <w:sz w:val="28"/>
        </w:rPr>
      </w:pPr>
      <w:r>
        <w:rPr>
          <w:rFonts w:ascii="方正仿宋_GBK" w:eastAsia="方正仿宋_GBK"/>
          <w:sz w:val="28"/>
        </w:rPr>
        <w:t>排查、化解影响社会稳定的重大不稳定隐患、群体性事件和突发事件及影响国家安全的事件。认真做好群众来信来访工作，特别是涉及政法各部门的案件，信件，要及时准确的做好解释疏导工作，并转办（交办)政法各部限期办理或督导检查落实情况，维护群众利益诉求。完善矛盾纠纷排查机制，对乡镇内矛盾纠纷随时排查及时化解，做到小事不出村，大事不出乡镇，把矛盾化解在基层、化解在萌芽状态。组织开展好全国两会及其他重要时期公路护路联防工作，维护好公路的安全运行，保障公路运输及过往人员安全.</w:t>
      </w:r>
    </w:p>
    <w:p>
      <w:pPr>
        <w:spacing w:line="500" w:lineRule="exact"/>
        <w:ind w:firstLine="560"/>
        <w:rPr>
          <w:rFonts w:ascii="方正仿宋_GBK" w:eastAsia="方正仿宋_GBK"/>
          <w:sz w:val="28"/>
        </w:rPr>
      </w:pPr>
      <w:r>
        <w:rPr>
          <w:rFonts w:ascii="方正仿宋_GBK" w:eastAsia="方正仿宋_GBK"/>
          <w:sz w:val="28"/>
        </w:rPr>
        <w:t>部门职责5社会管理与服务</w:t>
      </w:r>
    </w:p>
    <w:p>
      <w:pPr>
        <w:spacing w:line="500" w:lineRule="exact"/>
        <w:ind w:firstLine="560"/>
        <w:rPr>
          <w:rFonts w:ascii="方正仿宋_GBK" w:eastAsia="方正仿宋_GBK"/>
          <w:sz w:val="28"/>
        </w:rPr>
      </w:pPr>
      <w:r>
        <w:rPr>
          <w:rFonts w:ascii="方正仿宋_GBK" w:eastAsia="方正仿宋_GBK"/>
          <w:sz w:val="28"/>
        </w:rPr>
        <w:t>组织指导乡镇、村民委员会和基层群众自治组织；指导村民委员会民主选举、民主决策、民主管理和民主监督，村务公开；指导乡镇村民委员会建设及服务管理工作。</w:t>
      </w:r>
    </w:p>
    <w:p>
      <w:pPr>
        <w:spacing w:line="500" w:lineRule="exact"/>
        <w:ind w:firstLine="560"/>
        <w:rPr>
          <w:rFonts w:ascii="方正仿宋_GBK" w:eastAsia="方正仿宋_GBK"/>
          <w:sz w:val="28"/>
        </w:rPr>
      </w:pPr>
      <w:r>
        <w:rPr>
          <w:rFonts w:ascii="方正仿宋_GBK" w:eastAsia="方正仿宋_GBK"/>
          <w:sz w:val="28"/>
        </w:rPr>
        <w:t>部门职责6政府专项工作服务与管理</w:t>
      </w:r>
    </w:p>
    <w:p>
      <w:pPr>
        <w:spacing w:line="500" w:lineRule="exact"/>
        <w:ind w:firstLine="560"/>
        <w:rPr>
          <w:rFonts w:ascii="方正仿宋_GBK" w:eastAsia="方正仿宋_GBK"/>
          <w:sz w:val="28"/>
        </w:rPr>
      </w:pPr>
      <w:r>
        <w:rPr>
          <w:rFonts w:ascii="方正仿宋_GBK" w:eastAsia="方正仿宋_GBK"/>
          <w:sz w:val="28"/>
        </w:rPr>
        <w:t>政府采购、农村综合改革、政府债务、综合治税、政府购买服务、规范津补贴等政府专项工作的服务与管理.</w:t>
      </w:r>
    </w:p>
    <w:p>
      <w:pPr>
        <w:spacing w:line="500" w:lineRule="exact"/>
        <w:ind w:firstLine="560"/>
        <w:rPr>
          <w:rFonts w:ascii="方正仿宋_GBK" w:eastAsia="方正仿宋_GBK"/>
          <w:sz w:val="28"/>
        </w:rPr>
      </w:pPr>
      <w:r>
        <w:rPr>
          <w:rFonts w:ascii="方正仿宋_GBK" w:eastAsia="方正仿宋_GBK"/>
          <w:sz w:val="28"/>
        </w:rPr>
        <w:t>部门职责7财政</w:t>
      </w:r>
    </w:p>
    <w:p>
      <w:pPr>
        <w:spacing w:line="500" w:lineRule="exact"/>
        <w:ind w:firstLine="560"/>
        <w:rPr>
          <w:rFonts w:ascii="方正仿宋_GBK" w:eastAsia="方正仿宋_GBK"/>
          <w:sz w:val="28"/>
        </w:rPr>
      </w:pPr>
      <w:r>
        <w:rPr>
          <w:rFonts w:ascii="方正仿宋_GBK" w:eastAsia="方正仿宋_GBK"/>
          <w:sz w:val="28"/>
        </w:rPr>
        <w:t>负责编制乡财政预算、决算预算，财政工作加强财务会计管理工作，依法按照财经制度管理会计事务。维护财经制度，办理好各项财经事项。</w:t>
      </w:r>
    </w:p>
    <w:p>
      <w:pPr>
        <w:spacing w:line="500" w:lineRule="exact"/>
        <w:ind w:firstLine="560"/>
        <w:rPr>
          <w:rFonts w:ascii="方正仿宋_GBK" w:eastAsia="方正仿宋_GBK"/>
          <w:sz w:val="28"/>
        </w:rPr>
      </w:pPr>
      <w:r>
        <w:rPr>
          <w:rFonts w:ascii="方正仿宋_GBK" w:eastAsia="方正仿宋_GBK"/>
          <w:sz w:val="28"/>
        </w:rPr>
        <w:t>部门职责8水利水电项目建设与管理</w:t>
      </w:r>
      <w:r>
        <w:rPr>
          <w:rFonts w:ascii="方正仿宋_GBK" w:eastAsia="方正仿宋_GBK"/>
          <w:sz w:val="28"/>
        </w:rPr>
        <w:tab/>
      </w:r>
    </w:p>
    <w:p>
      <w:pPr>
        <w:spacing w:line="500" w:lineRule="exact"/>
        <w:ind w:firstLine="560"/>
        <w:rPr>
          <w:rFonts w:ascii="方正仿宋_GBK" w:eastAsia="方正仿宋_GBK"/>
          <w:sz w:val="28"/>
        </w:rPr>
      </w:pPr>
      <w:r>
        <w:rPr>
          <w:rFonts w:ascii="方正仿宋_GBK" w:eastAsia="方正仿宋_GBK"/>
          <w:sz w:val="28"/>
        </w:rPr>
        <w:t>开展河道堤防、水库、排涝、水文等水利工程运行管理和加强对乡镇水利行业的安全生产监督、检查。对水利工程进行维修养护，确保工程安全运行，在全乡范围内通过实施农村饮水安全项目，解决农村居民饮水不安全问题。建设小型农田水利设施，实施节水灌溉、灌区续建配套与节水改造等，推广综合节水技术，农业水价综合改革，开展乡镇水利站建设。负责乡镇防汛抗旱组织建设，应急调度，建设应急度汛、抗旱应急、山洪灾害防治项目，储备管理防汛抗旱物资，建设水利信息化基础设施，提高乡镇抗御水旱灾害能力。</w:t>
      </w:r>
    </w:p>
    <w:p>
      <w:pPr>
        <w:spacing w:line="500" w:lineRule="exact"/>
        <w:ind w:firstLine="560"/>
        <w:rPr>
          <w:rFonts w:ascii="方正仿宋_GBK" w:eastAsia="方正仿宋_GBK"/>
          <w:sz w:val="28"/>
        </w:rPr>
      </w:pPr>
      <w:r>
        <w:rPr>
          <w:rFonts w:ascii="方正仿宋_GBK" w:eastAsia="方正仿宋_GBK"/>
          <w:sz w:val="28"/>
        </w:rPr>
        <w:t>部门职责9城乡建设管理</w:t>
      </w:r>
    </w:p>
    <w:p>
      <w:pPr>
        <w:spacing w:line="500" w:lineRule="exact"/>
        <w:ind w:firstLine="560"/>
        <w:rPr>
          <w:rFonts w:ascii="方正仿宋_GBK" w:eastAsia="方正仿宋_GBK"/>
          <w:sz w:val="28"/>
        </w:rPr>
      </w:pPr>
      <w:r>
        <w:rPr>
          <w:rFonts w:ascii="方正仿宋_GBK" w:eastAsia="方正仿宋_GBK"/>
          <w:sz w:val="28"/>
        </w:rPr>
        <w:t>乡镇公用设施建设、安全和应急管理；落实村庄和小城镇建设政策；指导农村住房建设、住房安全和危房改造；改善小城镇和村庄人居环境。</w:t>
      </w:r>
    </w:p>
    <w:p>
      <w:pPr>
        <w:spacing w:line="500" w:lineRule="exact"/>
        <w:ind w:firstLine="560"/>
        <w:rPr>
          <w:rFonts w:ascii="方正仿宋_GBK" w:eastAsia="方正仿宋_GBK"/>
          <w:sz w:val="28"/>
        </w:rPr>
      </w:pPr>
      <w:r>
        <w:rPr>
          <w:rFonts w:ascii="方正仿宋_GBK" w:eastAsia="方正仿宋_GBK"/>
          <w:sz w:val="28"/>
        </w:rPr>
        <w:t>部门职责10交通运输基础设施建设</w:t>
      </w:r>
    </w:p>
    <w:p>
      <w:pPr>
        <w:spacing w:line="500" w:lineRule="exact"/>
        <w:ind w:firstLine="560"/>
        <w:rPr>
          <w:rFonts w:ascii="方正仿宋_GBK" w:eastAsia="方正仿宋_GBK"/>
          <w:sz w:val="28"/>
        </w:rPr>
      </w:pPr>
      <w:r>
        <w:rPr>
          <w:rFonts w:ascii="方正仿宋_GBK" w:eastAsia="方正仿宋_GBK"/>
          <w:sz w:val="28"/>
        </w:rPr>
        <w:t>完成路基路面大中型维修，加固桥梁，治理隐患；农村公路养护实施“以奖代补”。</w:t>
      </w:r>
    </w:p>
    <w:p>
      <w:pPr>
        <w:spacing w:line="500" w:lineRule="exact"/>
        <w:ind w:firstLine="560"/>
        <w:rPr>
          <w:rFonts w:ascii="方正仿宋_GBK" w:eastAsia="方正仿宋_GBK"/>
          <w:sz w:val="28"/>
        </w:rPr>
      </w:pPr>
      <w:r>
        <w:rPr>
          <w:rFonts w:ascii="方正仿宋_GBK" w:eastAsia="方正仿宋_GBK"/>
          <w:sz w:val="28"/>
        </w:rPr>
        <w:t>部门职责11政务管理</w:t>
      </w:r>
    </w:p>
    <w:p>
      <w:pPr>
        <w:spacing w:line="500" w:lineRule="exact"/>
        <w:ind w:firstLine="560"/>
        <w:rPr>
          <w:rFonts w:ascii="方正仿宋_GBK" w:eastAsia="方正仿宋_GBK"/>
          <w:sz w:val="28"/>
        </w:rPr>
      </w:pPr>
      <w:r>
        <w:rPr>
          <w:rFonts w:ascii="方正仿宋_GBK" w:eastAsia="方正仿宋_GBK"/>
          <w:sz w:val="28"/>
        </w:rPr>
        <w:t>乡镇机关网络建设、运转维护和电子政务；机关标准化建设、保密、档案以及政务接待、公务。办公楼修缮、供水、供电、供暖以及机关环境绿化美化、卫生保洁、安全保卫。离退休干部慰问。党组织活动。处理人民群众来信、来访。</w:t>
      </w:r>
    </w:p>
    <w:p>
      <w:pPr>
        <w:spacing w:line="500" w:lineRule="exact"/>
        <w:ind w:firstLine="560"/>
        <w:rPr>
          <w:rFonts w:ascii="方正仿宋_GBK" w:eastAsia="方正仿宋_GBK"/>
          <w:sz w:val="28"/>
        </w:rPr>
      </w:pPr>
      <w:r>
        <w:rPr>
          <w:rFonts w:ascii="方正仿宋_GBK" w:eastAsia="方正仿宋_GBK"/>
          <w:sz w:val="28"/>
        </w:rPr>
        <w:t>部门职责12医疗保障</w:t>
      </w:r>
    </w:p>
    <w:p>
      <w:pPr>
        <w:spacing w:line="500" w:lineRule="exact"/>
        <w:ind w:firstLine="560"/>
        <w:rPr>
          <w:rFonts w:ascii="方正仿宋_GBK" w:eastAsia="方正仿宋_GBK"/>
          <w:sz w:val="28"/>
        </w:rPr>
      </w:pPr>
      <w:r>
        <w:rPr>
          <w:rFonts w:ascii="方正仿宋_GBK" w:eastAsia="方正仿宋_GBK"/>
          <w:sz w:val="28"/>
        </w:rPr>
        <w:t>组织、引导、支持，农民自愿参加新型农村合作医疗，提高农村居民的医疗保障水平；建立大病保险制度；对城乡居民因患大病发生的高额医疗费用给予报销。</w:t>
      </w:r>
    </w:p>
    <w:p>
      <w:pPr>
        <w:spacing w:line="500" w:lineRule="exact"/>
        <w:ind w:firstLine="560"/>
        <w:rPr>
          <w:rFonts w:ascii="方正仿宋_GBK" w:eastAsia="方正仿宋_GBK"/>
          <w:sz w:val="28"/>
        </w:rPr>
      </w:pPr>
      <w:r>
        <w:rPr>
          <w:rFonts w:ascii="方正仿宋_GBK" w:eastAsia="方正仿宋_GBK"/>
          <w:sz w:val="28"/>
        </w:rPr>
        <w:t>部门职责13计划生育</w:t>
      </w:r>
    </w:p>
    <w:p>
      <w:pPr>
        <w:spacing w:line="500" w:lineRule="exact"/>
        <w:ind w:firstLine="560"/>
        <w:rPr>
          <w:rFonts w:ascii="方正仿宋_GBK" w:eastAsia="方正仿宋_GBK"/>
          <w:sz w:val="28"/>
        </w:rPr>
      </w:pPr>
      <w:r>
        <w:rPr>
          <w:rFonts w:ascii="方正仿宋_GBK" w:eastAsia="方正仿宋_GBK"/>
          <w:sz w:val="28"/>
        </w:rPr>
        <w:t>提供各类计划生育技术服务，建立利益导向机制，开展出生人口性别比治理以及流动人口计划生育管理等各项工作。</w:t>
      </w:r>
      <w:r>
        <w:rPr>
          <w:rFonts w:ascii="方正仿宋_GBK" w:eastAsia="方正仿宋_GBK"/>
          <w:sz w:val="28"/>
        </w:rPr>
        <w:tab/>
      </w:r>
    </w:p>
    <w:p>
      <w:pPr>
        <w:spacing w:line="500" w:lineRule="exact"/>
        <w:ind w:firstLine="560"/>
        <w:rPr>
          <w:rFonts w:ascii="方正仿宋_GBK" w:eastAsia="方正仿宋_GBK"/>
          <w:sz w:val="28"/>
        </w:rPr>
      </w:pPr>
      <w:r>
        <w:rPr>
          <w:rFonts w:ascii="方正仿宋_GBK" w:eastAsia="方正仿宋_GBK"/>
          <w:sz w:val="28"/>
        </w:rPr>
        <w:tab/>
      </w:r>
      <w:r>
        <w:rPr>
          <w:rFonts w:ascii="方正仿宋_GBK" w:eastAsia="方正仿宋_GBK"/>
          <w:sz w:val="28"/>
        </w:rPr>
        <w:t>部门职责14农村文化建设</w:t>
      </w:r>
    </w:p>
    <w:p>
      <w:pPr>
        <w:spacing w:line="500" w:lineRule="exact"/>
        <w:ind w:firstLine="560"/>
        <w:rPr>
          <w:rFonts w:ascii="方正仿宋_GBK" w:eastAsia="方正仿宋_GBK"/>
          <w:sz w:val="28"/>
        </w:rPr>
      </w:pPr>
      <w:r>
        <w:rPr>
          <w:rFonts w:ascii="方正仿宋_GBK" w:eastAsia="方正仿宋_GBK"/>
          <w:sz w:val="28"/>
        </w:rPr>
        <w:t>协助完成国家下达的广播直播卫星户户通工程、农村电影工作、数字影院升级改造、农家书屋建设、全民阅读活动、老放映员生活补助以及应急广播体系建设等任务目标。</w:t>
      </w:r>
    </w:p>
    <w:p>
      <w:pPr>
        <w:spacing w:line="500" w:lineRule="exact"/>
        <w:ind w:firstLine="560"/>
        <w:rPr>
          <w:rFonts w:ascii="方正仿宋_GBK" w:eastAsia="方正仿宋_GBK"/>
          <w:sz w:val="28"/>
        </w:rPr>
      </w:pPr>
      <w:r>
        <w:rPr>
          <w:rFonts w:ascii="方正仿宋_GBK" w:eastAsia="方正仿宋_GBK"/>
          <w:sz w:val="28"/>
        </w:rPr>
        <w:t>部门职责15环境污染综合防治</w:t>
      </w:r>
    </w:p>
    <w:p>
      <w:pPr>
        <w:spacing w:line="500" w:lineRule="exact"/>
        <w:ind w:firstLine="560"/>
        <w:rPr>
          <w:rFonts w:ascii="方正仿宋_GBK" w:eastAsia="方正仿宋_GBK"/>
          <w:sz w:val="28"/>
        </w:rPr>
      </w:pPr>
      <w:r>
        <w:rPr>
          <w:rFonts w:ascii="方正仿宋_GBK" w:eastAsia="方正仿宋_GBK"/>
          <w:sz w:val="28"/>
        </w:rPr>
        <w:t>贯彻落实大气、水体、固体废物、化学品、机动车等污染防治管理制度，开展饮用水水源地环境保护。强化生态保护和监察监管，提高自然保护区建设水平，加强生物多样性保护力度，提升农村生态环境质量。</w:t>
      </w:r>
    </w:p>
    <w:p>
      <w:pPr>
        <w:spacing w:line="500" w:lineRule="exact"/>
        <w:ind w:firstLine="560"/>
        <w:rPr>
          <w:rFonts w:ascii="方正仿宋_GBK" w:eastAsia="方正仿宋_GBK"/>
          <w:sz w:val="28"/>
        </w:rPr>
      </w:pPr>
      <w:r>
        <w:rPr>
          <w:rFonts w:ascii="方正仿宋_GBK" w:eastAsia="方正仿宋_GBK"/>
          <w:sz w:val="28"/>
        </w:rPr>
        <w:t>部门职责16信访问题处理</w:t>
      </w:r>
    </w:p>
    <w:p>
      <w:pPr>
        <w:spacing w:line="500" w:lineRule="exact"/>
        <w:ind w:firstLine="560"/>
        <w:rPr>
          <w:rFonts w:ascii="方正仿宋_GBK" w:eastAsia="方正仿宋_GBK"/>
          <w:sz w:val="28"/>
        </w:rPr>
      </w:pPr>
      <w:r>
        <w:rPr>
          <w:rFonts w:ascii="方正仿宋_GBK" w:eastAsia="方正仿宋_GBK"/>
          <w:sz w:val="28"/>
        </w:rPr>
        <w:t>负责正常信访、非访、突发性及群体性事件的办理；提供相关服务保障；协助区信访局处理群众进京上访；信访事项督查、复查、复核、听证。</w:t>
      </w:r>
    </w:p>
    <w:p>
      <w:pPr>
        <w:spacing w:line="500" w:lineRule="exact"/>
        <w:ind w:firstLine="560"/>
        <w:rPr>
          <w:rFonts w:ascii="方正仿宋_GBK" w:eastAsia="方正仿宋_GBK"/>
          <w:sz w:val="28"/>
        </w:rPr>
      </w:pPr>
      <w:r>
        <w:rPr>
          <w:rFonts w:ascii="方正仿宋_GBK" w:eastAsia="方正仿宋_GBK"/>
          <w:sz w:val="28"/>
        </w:rPr>
        <w:t>部门职责17民兵训练和专武干部培训</w:t>
      </w:r>
    </w:p>
    <w:p>
      <w:pPr>
        <w:spacing w:line="500" w:lineRule="exact"/>
        <w:ind w:firstLine="560"/>
        <w:rPr>
          <w:rFonts w:ascii="方正仿宋_GBK" w:eastAsia="方正仿宋_GBK"/>
          <w:sz w:val="28"/>
        </w:rPr>
      </w:pPr>
      <w:r>
        <w:rPr>
          <w:rFonts w:ascii="方正仿宋_GBK" w:eastAsia="方正仿宋_GBK"/>
          <w:sz w:val="28"/>
        </w:rPr>
        <w:t>根据上级要求，认真制定基干民兵和专武干部培训计划和方案，严格组织人员按质按量完成训练任务。保证装备器材的良好状态，随时执行紧急拉动和应急任务。</w:t>
      </w:r>
    </w:p>
    <w:p>
      <w:pPr>
        <w:spacing w:line="500" w:lineRule="exact"/>
        <w:ind w:firstLine="560"/>
        <w:rPr>
          <w:rFonts w:ascii="方正仿宋_GBK" w:eastAsia="方正仿宋_GBK"/>
          <w:sz w:val="28"/>
        </w:rPr>
      </w:pPr>
      <w:r>
        <w:rPr>
          <w:rFonts w:ascii="方正仿宋_GBK" w:eastAsia="方正仿宋_GBK"/>
          <w:sz w:val="28"/>
        </w:rPr>
        <w:t>部门职责18义务教育</w:t>
      </w:r>
    </w:p>
    <w:p>
      <w:pPr>
        <w:spacing w:line="500" w:lineRule="exact"/>
        <w:ind w:firstLine="560"/>
        <w:rPr>
          <w:rFonts w:ascii="方正仿宋_GBK" w:eastAsia="方正仿宋_GBK"/>
          <w:sz w:val="28"/>
        </w:rPr>
      </w:pPr>
      <w:r>
        <w:rPr>
          <w:rFonts w:ascii="方正仿宋_GBK" w:eastAsia="方正仿宋_GBK"/>
          <w:sz w:val="28"/>
        </w:rPr>
        <w:t>提高义务教育公用经费保障水平，改善办学条件，均衡配置基础教育资源，缩小城乡、区域、校际之间办学差距，落实学生资助政策。</w:t>
      </w:r>
    </w:p>
    <w:p>
      <w:pPr>
        <w:spacing w:line="500" w:lineRule="exact"/>
        <w:ind w:firstLine="560"/>
        <w:rPr>
          <w:rFonts w:ascii="方正仿宋_GBK" w:eastAsia="方正仿宋_GBK"/>
          <w:sz w:val="28"/>
        </w:rPr>
      </w:pPr>
      <w:r>
        <w:rPr>
          <w:rFonts w:ascii="方正仿宋_GBK" w:eastAsia="方正仿宋_GBK"/>
          <w:sz w:val="28"/>
        </w:rPr>
        <w:t>部门职责19食品药品安全管理</w:t>
      </w:r>
    </w:p>
    <w:p>
      <w:pPr>
        <w:spacing w:line="500" w:lineRule="exact"/>
        <w:ind w:firstLine="560"/>
        <w:rPr>
          <w:rFonts w:ascii="方正仿宋_GBK" w:eastAsia="方正仿宋_GBK"/>
          <w:sz w:val="28"/>
        </w:rPr>
      </w:pPr>
      <w:r>
        <w:rPr>
          <w:rFonts w:ascii="方正仿宋_GBK" w:eastAsia="方正仿宋_GBK"/>
          <w:sz w:val="28"/>
        </w:rPr>
        <w:t>对食品制作流通各环节进行监管，及时发现和排除食品安全问题，确保大型活动期间的餐饮安全。</w:t>
      </w:r>
    </w:p>
    <w:p>
      <w:pPr>
        <w:spacing w:line="500" w:lineRule="exact"/>
        <w:ind w:firstLine="560"/>
        <w:rPr>
          <w:rFonts w:ascii="方正仿宋_GBK" w:eastAsia="方正仿宋_GBK"/>
          <w:sz w:val="28"/>
        </w:rPr>
      </w:pPr>
      <w:r>
        <w:rPr>
          <w:rFonts w:ascii="方正仿宋_GBK" w:eastAsia="方正仿宋_GBK"/>
          <w:sz w:val="28"/>
        </w:rPr>
        <w:t>部门职责20安全生产综合监督管理</w:t>
      </w:r>
    </w:p>
    <w:p>
      <w:pPr>
        <w:spacing w:line="500" w:lineRule="exact"/>
        <w:ind w:firstLine="560"/>
        <w:rPr>
          <w:rFonts w:ascii="方正仿宋_GBK" w:eastAsia="方正仿宋_GBK"/>
          <w:sz w:val="28"/>
        </w:rPr>
      </w:pPr>
      <w:r>
        <w:rPr>
          <w:rFonts w:ascii="方正仿宋_GBK" w:eastAsia="方正仿宋_GBK"/>
          <w:sz w:val="28"/>
        </w:rPr>
        <w:t>承担全乡安全生产综合监督管理责任，依法行使综合监督管理职权；根据《</w:t>
      </w:r>
      <w:r>
        <w:rPr>
          <w:rFonts w:hint="eastAsia" w:ascii="方正仿宋_GBK" w:eastAsia="方正仿宋_GBK"/>
          <w:sz w:val="28"/>
          <w:lang w:eastAsia="zh-CN"/>
        </w:rPr>
        <w:t>中华人民共和国</w:t>
      </w:r>
      <w:bookmarkStart w:id="3" w:name="_GoBack"/>
      <w:bookmarkEnd w:id="3"/>
      <w:r>
        <w:rPr>
          <w:rFonts w:hint="eastAsia" w:ascii="方正仿宋_GBK" w:eastAsia="方正仿宋_GBK"/>
          <w:sz w:val="28"/>
          <w:lang w:eastAsia="zh-CN"/>
        </w:rPr>
        <w:t>安全生产法</w:t>
      </w:r>
      <w:r>
        <w:rPr>
          <w:rFonts w:ascii="方正仿宋_GBK" w:eastAsia="方正仿宋_GBK"/>
          <w:sz w:val="28"/>
        </w:rPr>
        <w:t>》、《安全生产违法行为行政处罚办法》等法律法规，依法开展执法检查工作，对发现的安全生产违法行为依法进行行政处罚，遏制重特大事故发生，确保全乡安全生产形势稳定好转。</w:t>
      </w:r>
    </w:p>
    <w:p>
      <w:pPr>
        <w:spacing w:line="500" w:lineRule="exact"/>
        <w:ind w:firstLine="560"/>
        <w:rPr>
          <w:rFonts w:ascii="方正仿宋_GBK" w:eastAsia="方正仿宋_GBK"/>
          <w:sz w:val="28"/>
        </w:rPr>
      </w:pPr>
      <w:r>
        <w:rPr>
          <w:rFonts w:ascii="方正仿宋_GBK" w:eastAsia="方正仿宋_GBK"/>
          <w:sz w:val="28"/>
        </w:rPr>
        <w:t>部门职责21防灾减灾救灾</w:t>
      </w:r>
    </w:p>
    <w:p>
      <w:pPr>
        <w:spacing w:line="500" w:lineRule="exact"/>
        <w:ind w:firstLine="560"/>
        <w:rPr>
          <w:rFonts w:ascii="方正仿宋_GBK" w:eastAsia="方正仿宋_GBK"/>
          <w:sz w:val="28"/>
        </w:rPr>
      </w:pPr>
      <w:r>
        <w:rPr>
          <w:rFonts w:ascii="方正仿宋_GBK" w:eastAsia="方正仿宋_GBK"/>
          <w:sz w:val="28"/>
        </w:rPr>
        <w:t>组织开展乡镇防灾减灾救灾工作；组织救灾捐赠工作，负责救灾捐赠款物的接收和分配。</w:t>
      </w:r>
    </w:p>
    <w:p>
      <w:pPr>
        <w:spacing w:line="500" w:lineRule="exact"/>
        <w:ind w:firstLine="560"/>
        <w:rPr>
          <w:rFonts w:ascii="方正仿宋_GBK" w:eastAsia="方正仿宋_GBK"/>
          <w:sz w:val="28"/>
        </w:rPr>
      </w:pPr>
      <w:r>
        <w:rPr>
          <w:rFonts w:ascii="方正仿宋_GBK" w:eastAsia="方正仿宋_GBK"/>
          <w:sz w:val="28"/>
        </w:rPr>
        <w:t>部门职责22扶持农产品生产</w:t>
      </w:r>
    </w:p>
    <w:p>
      <w:pPr>
        <w:spacing w:line="500" w:lineRule="exact"/>
        <w:ind w:firstLine="560"/>
        <w:rPr>
          <w:rFonts w:ascii="方正仿宋_GBK" w:eastAsia="方正仿宋_GBK"/>
          <w:sz w:val="28"/>
        </w:rPr>
      </w:pPr>
      <w:r>
        <w:rPr>
          <w:rFonts w:ascii="方正仿宋_GBK" w:eastAsia="方正仿宋_GBK"/>
          <w:sz w:val="28"/>
        </w:rPr>
        <w:t>对生产者采取直接补贴的办法，支持推广优良品种、先进适用种养技术，实施科学管理，提高农产品质量、产量，提高生产经营效益</w:t>
      </w:r>
    </w:p>
    <w:p>
      <w:pPr>
        <w:spacing w:line="500" w:lineRule="exact"/>
        <w:ind w:firstLine="560"/>
        <w:rPr>
          <w:rFonts w:ascii="方正仿宋_GBK" w:eastAsia="方正仿宋_GBK"/>
          <w:sz w:val="28"/>
        </w:rPr>
      </w:pPr>
      <w:r>
        <w:rPr>
          <w:rFonts w:ascii="方正仿宋_GBK" w:eastAsia="方正仿宋_GBK"/>
          <w:sz w:val="28"/>
        </w:rPr>
        <w:t>部门职责23完善农村经营管理体制</w:t>
      </w:r>
    </w:p>
    <w:p>
      <w:pPr>
        <w:spacing w:line="500" w:lineRule="exact"/>
        <w:ind w:firstLine="560"/>
        <w:rPr>
          <w:rFonts w:ascii="方正仿宋_GBK" w:eastAsia="方正仿宋_GBK"/>
          <w:sz w:val="28"/>
        </w:rPr>
      </w:pPr>
      <w:r>
        <w:rPr>
          <w:rFonts w:ascii="方正仿宋_GBK" w:eastAsia="方正仿宋_GBK"/>
          <w:sz w:val="28"/>
        </w:rPr>
        <w:t>推进农村集体产权制度改革，完善农村土地承包制度，引导农村土地合理流转。创新农业经营主体。</w:t>
      </w:r>
    </w:p>
    <w:p>
      <w:pPr>
        <w:spacing w:line="500" w:lineRule="exact"/>
        <w:ind w:firstLine="560"/>
        <w:rPr>
          <w:rFonts w:ascii="方正仿宋_GBK" w:eastAsia="方正仿宋_GBK"/>
          <w:sz w:val="28"/>
        </w:rPr>
      </w:pPr>
      <w:r>
        <w:rPr>
          <w:rFonts w:ascii="方正仿宋_GBK" w:eastAsia="方正仿宋_GBK"/>
          <w:sz w:val="28"/>
        </w:rPr>
        <w:t>部门职责24林业生态建设</w:t>
      </w:r>
    </w:p>
    <w:p>
      <w:pPr>
        <w:spacing w:line="500" w:lineRule="exact"/>
        <w:ind w:firstLine="560"/>
        <w:rPr>
          <w:rFonts w:ascii="方正仿宋_GBK" w:eastAsia="方正仿宋_GBK"/>
          <w:sz w:val="28"/>
        </w:rPr>
      </w:pPr>
      <w:r>
        <w:rPr>
          <w:rFonts w:ascii="方正仿宋_GBK" w:eastAsia="方正仿宋_GBK"/>
          <w:sz w:val="28"/>
        </w:rPr>
        <w:t>贯彻执行国家、省、关于林业及其生态建设的方针、政策和法律法规；组织落实林业及其生态环境建设、森林资源保护、国土绿化、荒漠化防治和林业产业发展的政策，并组织实施监督和检查，组织开展森林资源、承担林业生态文明建设的有关工作</w:t>
      </w:r>
    </w:p>
    <w:p>
      <w:pPr>
        <w:spacing w:line="500" w:lineRule="exact"/>
        <w:ind w:firstLine="560"/>
        <w:rPr>
          <w:rFonts w:ascii="方正仿宋_GBK" w:eastAsia="方正仿宋_GBK"/>
          <w:sz w:val="28"/>
        </w:rPr>
      </w:pPr>
      <w:r>
        <w:rPr>
          <w:rFonts w:ascii="方正仿宋_GBK" w:eastAsia="方正仿宋_GBK"/>
          <w:sz w:val="28"/>
        </w:rPr>
        <w:t>部门职责25推进新农村建设</w:t>
      </w:r>
    </w:p>
    <w:p>
      <w:pPr>
        <w:spacing w:after="156" w:afterLines="50" w:line="500" w:lineRule="exact"/>
        <w:jc w:val="left"/>
        <w:outlineLvl w:val="0"/>
        <w:rPr>
          <w:rFonts w:hint="eastAsia" w:ascii="楷体" w:hAnsi="楷体" w:eastAsia="楷体" w:cs="楷体"/>
          <w:b/>
          <w:sz w:val="32"/>
          <w:szCs w:val="32"/>
        </w:rPr>
      </w:pPr>
      <w:r>
        <w:rPr>
          <w:rFonts w:ascii="方正仿宋_GBK" w:eastAsia="方正仿宋_GBK"/>
          <w:sz w:val="28"/>
        </w:rPr>
        <w:t>通过实施农村面貌改造提升行动和开展新民居中心村示范点建设，加快建设社会主义新农村。改善农村环境面貌，提升农民生产生活条件。</w:t>
      </w:r>
    </w:p>
    <w:p>
      <w:pPr>
        <w:spacing w:after="156" w:afterLines="50" w:line="500" w:lineRule="exact"/>
        <w:ind w:left="1349"/>
        <w:jc w:val="left"/>
        <w:outlineLvl w:val="0"/>
        <w:rPr>
          <w:rFonts w:hint="eastAsia" w:ascii="楷体" w:hAnsi="楷体" w:eastAsia="楷体" w:cs="楷体"/>
          <w:b/>
          <w:sz w:val="32"/>
          <w:szCs w:val="32"/>
        </w:rPr>
      </w:pPr>
    </w:p>
    <w:p>
      <w:pPr>
        <w:jc w:val="left"/>
        <w:sectPr>
          <w:headerReference r:id="rId7" w:type="first"/>
          <w:footerReference r:id="rId10" w:type="first"/>
          <w:headerReference r:id="rId5" w:type="default"/>
          <w:footerReference r:id="rId8" w:type="default"/>
          <w:headerReference r:id="rId6" w:type="even"/>
          <w:footerReference r:id="rId9" w:type="even"/>
          <w:pgSz w:w="11907" w:h="16839"/>
          <w:pgMar w:top="1531" w:right="1134" w:bottom="1474" w:left="1134" w:header="851" w:footer="992" w:gutter="0"/>
          <w:pgNumType w:start="1"/>
          <w:cols w:space="720" w:num="1"/>
          <w:docGrid w:type="lines" w:linePitch="312" w:charSpace="0"/>
        </w:sectPr>
      </w:pPr>
    </w:p>
    <w:p>
      <w:pPr>
        <w:jc w:val="center"/>
        <w:outlineLvl w:val="0"/>
        <w:rPr>
          <w:rFonts w:hint="eastAsia" w:ascii="方正小标宋_GBK" w:eastAsia="方正小标宋_GBK"/>
          <w:sz w:val="32"/>
        </w:rPr>
      </w:pPr>
      <w:bookmarkStart w:id="0" w:name="_Toc3295339"/>
      <w:r>
        <w:rPr>
          <w:rStyle w:val="13"/>
          <w:rFonts w:ascii="楷体" w:hAnsi="楷体" w:eastAsia="楷体"/>
          <w:color w:val="FFFFFF"/>
          <w:sz w:val="32"/>
        </w:rPr>
        <w:footnoteReference w:id="0" w:customMarkFollows="1"/>
        <w:sym w:font="Symbol" w:char="F020"/>
      </w:r>
      <w:bookmarkEnd w:id="0"/>
      <w:bookmarkStart w:id="1" w:name="_Toc508907110"/>
      <w:r>
        <w:rPr>
          <w:rFonts w:hint="eastAsia" w:ascii="方正小标宋_GBK" w:eastAsia="方正小标宋_GBK"/>
          <w:sz w:val="32"/>
        </w:rPr>
        <w:t>部门职责-工作活动绩效目标</w:t>
      </w:r>
      <w:bookmarkEnd w:id="1"/>
    </w:p>
    <w:tbl>
      <w:tblPr>
        <w:tblStyle w:val="9"/>
        <w:tblW w:w="139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小标宋_GBK" w:eastAsia="方正小标宋_GBK"/>
                <w:sz w:val="24"/>
              </w:rPr>
            </w:pPr>
            <w:r>
              <w:rPr>
                <w:rFonts w:ascii="方正小标宋_GBK" w:eastAsia="方正小标宋_GBK"/>
                <w:sz w:val="24"/>
              </w:rPr>
              <w:t>920</w:t>
            </w:r>
            <w:r>
              <w:rPr>
                <w:rFonts w:hint="eastAsia" w:ascii="方正小标宋_GBK" w:eastAsia="方正小标宋_GBK"/>
                <w:sz w:val="24"/>
              </w:rPr>
              <w:t>保定市满城区刘家台乡人民政府</w:t>
            </w:r>
          </w:p>
        </w:tc>
        <w:tc>
          <w:tcPr>
            <w:tcW w:w="2948" w:type="dxa"/>
            <w:gridSpan w:val="4"/>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sz w:val="24"/>
              </w:rPr>
            </w:pPr>
            <w:r>
              <w:rPr>
                <w:rFonts w:hint="eastAsia" w:ascii="方正书宋_GBK" w:eastAsia="方正书宋_GBK"/>
                <w:sz w:val="24"/>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276"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2976"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976"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417"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2948" w:type="dxa"/>
            <w:gridSpan w:val="4"/>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continue"/>
            <w:shd w:val="clear" w:color="auto" w:fill="auto"/>
            <w:noWrap w:val="0"/>
            <w:vAlign w:val="center"/>
          </w:tcPr>
          <w:p>
            <w:pPr>
              <w:spacing w:line="300" w:lineRule="exact"/>
              <w:jc w:val="left"/>
              <w:outlineLvl w:val="0"/>
            </w:pPr>
          </w:p>
        </w:tc>
        <w:tc>
          <w:tcPr>
            <w:tcW w:w="1276" w:type="dxa"/>
            <w:vMerge w:val="continue"/>
            <w:shd w:val="clear" w:color="auto" w:fill="auto"/>
            <w:noWrap w:val="0"/>
            <w:vAlign w:val="center"/>
          </w:tcPr>
          <w:p>
            <w:pPr>
              <w:spacing w:line="300" w:lineRule="exact"/>
              <w:jc w:val="left"/>
              <w:outlineLvl w:val="0"/>
            </w:pPr>
          </w:p>
        </w:tc>
        <w:tc>
          <w:tcPr>
            <w:tcW w:w="2976" w:type="dxa"/>
            <w:vMerge w:val="continue"/>
            <w:shd w:val="clear" w:color="auto" w:fill="auto"/>
            <w:noWrap w:val="0"/>
            <w:vAlign w:val="center"/>
          </w:tcPr>
          <w:p>
            <w:pPr>
              <w:spacing w:line="300" w:lineRule="exact"/>
              <w:jc w:val="left"/>
              <w:outlineLvl w:val="0"/>
            </w:pPr>
          </w:p>
        </w:tc>
        <w:tc>
          <w:tcPr>
            <w:tcW w:w="2976" w:type="dxa"/>
            <w:vMerge w:val="continue"/>
            <w:shd w:val="clear" w:color="auto" w:fill="auto"/>
            <w:noWrap w:val="0"/>
            <w:vAlign w:val="center"/>
          </w:tcPr>
          <w:p>
            <w:pPr>
              <w:spacing w:line="300" w:lineRule="exact"/>
              <w:jc w:val="left"/>
              <w:outlineLvl w:val="0"/>
            </w:pPr>
          </w:p>
        </w:tc>
        <w:tc>
          <w:tcPr>
            <w:tcW w:w="1417" w:type="dxa"/>
            <w:vMerge w:val="continue"/>
            <w:shd w:val="clear" w:color="auto" w:fill="auto"/>
            <w:noWrap w:val="0"/>
            <w:vAlign w:val="center"/>
          </w:tcPr>
          <w:p>
            <w:pPr>
              <w:spacing w:line="300" w:lineRule="exact"/>
              <w:jc w:val="left"/>
              <w:outlineLvl w:val="0"/>
            </w:pPr>
          </w:p>
        </w:tc>
        <w:tc>
          <w:tcPr>
            <w:tcW w:w="73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优</w:t>
            </w:r>
          </w:p>
        </w:tc>
        <w:tc>
          <w:tcPr>
            <w:tcW w:w="73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良</w:t>
            </w:r>
          </w:p>
        </w:tc>
        <w:tc>
          <w:tcPr>
            <w:tcW w:w="73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中</w:t>
            </w:r>
          </w:p>
        </w:tc>
        <w:tc>
          <w:tcPr>
            <w:tcW w:w="73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ascii="方正书宋_GBK" w:eastAsia="方正书宋_GBK"/>
                <w:b/>
              </w:rPr>
            </w:pPr>
            <w:r>
              <w:rPr>
                <w:rFonts w:hint="eastAsia" w:ascii="方正书宋_GBK" w:eastAsia="方正书宋_GBK"/>
                <w:b/>
              </w:rPr>
              <w:t>一、选举和任免</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检查监督代表法、选举法及其实施办法的贯彻实施；承担人大换届选举及人事任免服务工作；负责对乡镇政府组成人员和乡镇人民法院主要负责人的目标责任书、述职报告的督办工作。</w:t>
            </w:r>
          </w:p>
        </w:tc>
        <w:tc>
          <w:tcPr>
            <w:tcW w:w="29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、确保有关选举的法律法规符合实际，在充分考察调研的基础上，实施对其进行修改。</w:t>
            </w:r>
            <w:r>
              <w:rPr>
                <w:rFonts w:ascii="方正书宋_GBK" w:eastAsia="方正书宋_GBK"/>
              </w:rPr>
              <w:t>2</w:t>
            </w:r>
            <w:r>
              <w:rPr>
                <w:rFonts w:hint="eastAsia" w:ascii="方正书宋_GBK" w:eastAsia="方正书宋_GBK"/>
              </w:rPr>
              <w:t>、对乡镇政府组成人员和乡镇人民法院主要负责人进行目标责任监督，确保依法履行职责，完成目标任务。</w:t>
            </w:r>
          </w:p>
        </w:tc>
        <w:tc>
          <w:tcPr>
            <w:tcW w:w="1417" w:type="dxa"/>
            <w:shd w:val="clear" w:color="auto" w:fill="auto"/>
            <w:noWrap w:val="0"/>
            <w:vAlign w:val="center"/>
          </w:tcPr>
          <w:p>
            <w:pPr>
              <w:spacing w:line="300" w:lineRule="exact"/>
              <w:jc w:val="left"/>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、换届选举及人事任免</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承担乡镇人大换届选举、乡镇区领导人的选举和常委会人事任免的服务工作；负责对乡镇政府组成人员和乡镇人民法院主要负责人的目标责任书、述职报告的督办工作。</w:t>
            </w:r>
          </w:p>
        </w:tc>
        <w:tc>
          <w:tcPr>
            <w:tcW w:w="29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提高法规质量，发挥人大的桥梁纽带作用，反映民意，促进依法履职</w:t>
            </w:r>
          </w:p>
        </w:tc>
        <w:tc>
          <w:tcPr>
            <w:tcW w:w="141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执法检查和集中视察完成率</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95%</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85%</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85%</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二、民族宗教事务管理</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贯彻执行宣传国家关于宗教工作的方针政策，监督检查宗教活动场所，创建和谐寺观教堂，培训宗教工作干部，对困难宗教教职人员进行补助，监控、制止天主教地下分子的非法活动。开展民族宗教政策和法制宣传教育工作，协助处理民族宗教方面的维稳问题促进民族宗教团结、稳定，妥善处置宗教突发事件、维护宗教界和谐稳定。</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规范流转行为，优化资源配置，促进农民专业合作经济组织健康发展，加快新农村建设和城镇化进程。</w:t>
            </w:r>
          </w:p>
        </w:tc>
        <w:tc>
          <w:tcPr>
            <w:tcW w:w="1417" w:type="dxa"/>
            <w:shd w:val="clear" w:color="auto" w:fill="auto"/>
            <w:noWrap w:val="0"/>
            <w:vAlign w:val="center"/>
          </w:tcPr>
          <w:p>
            <w:pPr>
              <w:spacing w:line="300" w:lineRule="exact"/>
              <w:jc w:val="left"/>
              <w:rPr>
                <w:rFonts w:hint="eastAsia"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、民族宗教综合治理</w:t>
            </w:r>
          </w:p>
        </w:tc>
        <w:tc>
          <w:tcPr>
            <w:tcW w:w="1276" w:type="dxa"/>
            <w:vMerge w:val="restart"/>
            <w:shd w:val="clear" w:color="auto" w:fill="auto"/>
            <w:noWrap w:val="0"/>
            <w:vAlign w:val="center"/>
          </w:tcPr>
          <w:p>
            <w:pPr>
              <w:spacing w:line="300" w:lineRule="exact"/>
              <w:jc w:val="left"/>
              <w:rPr>
                <w:rFonts w:ascii="方正书宋_GBK" w:eastAsia="方正书宋_GBK"/>
              </w:rPr>
            </w:pPr>
          </w:p>
        </w:tc>
        <w:tc>
          <w:tcPr>
            <w:tcW w:w="2976" w:type="dxa"/>
            <w:vMerge w:val="restar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加强民族宗教的法制宣传和团结教育，团结和动员广大信教群众为改革开放和经济建设服务。协助处理民族宗教方面的维稳问题。进行清真食品检查；处理其他不可预见的民族宗教问题。对地下主教、神甫及其骨干分子进行监控、反渗透，巩固爱国人员的领导地位。</w:t>
            </w:r>
          </w:p>
          <w:p>
            <w:pPr>
              <w:spacing w:line="300" w:lineRule="exact"/>
              <w:jc w:val="left"/>
              <w:rPr>
                <w:rFonts w:hint="eastAsia" w:ascii="方正书宋_GBK" w:eastAsia="方正书宋_GBK"/>
              </w:rPr>
            </w:pPr>
            <w:r>
              <w:rPr>
                <w:rFonts w:hint="eastAsia" w:ascii="方正书宋_GBK" w:eastAsia="方正书宋_GBK"/>
              </w:rPr>
              <w:t>加强民族宗教的法制宣传和团结教育，团结和动员广大信教群众为改革开放和经济建设服务。协助处理民族宗教方面的维稳问题。进行清真食品检查；处理其他不可预见的民族宗教问题。对地下主教、神甫及其骨干分子进行监控、反渗透，巩固爱国人员的领导地位。</w:t>
            </w:r>
          </w:p>
        </w:tc>
        <w:tc>
          <w:tcPr>
            <w:tcW w:w="2976" w:type="dxa"/>
            <w:vMerge w:val="restart"/>
            <w:shd w:val="clear" w:color="auto" w:fill="auto"/>
            <w:noWrap w:val="0"/>
            <w:vAlign w:val="center"/>
          </w:tcPr>
          <w:p>
            <w:pPr>
              <w:spacing w:line="300" w:lineRule="exact"/>
              <w:jc w:val="left"/>
              <w:rPr>
                <w:rFonts w:hint="eastAsia" w:ascii="方正书宋_GBK" w:eastAsia="方正书宋_GBK"/>
              </w:rPr>
            </w:pP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天主教神职人员补助覆盖率</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 xml:space="preserve"> </w:t>
            </w:r>
            <w:r>
              <w:rPr>
                <w:rFonts w:hint="eastAsia" w:ascii="方正书宋_GBK" w:eastAsia="方正书宋_GBK"/>
              </w:rPr>
              <w:t>≥</w:t>
            </w:r>
            <w:r>
              <w:rPr>
                <w:rFonts w:ascii="方正书宋_GBK" w:eastAsia="方正书宋_GBK"/>
              </w:rPr>
              <w:t>80%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 xml:space="preserve"> </w:t>
            </w:r>
            <w:r>
              <w:rPr>
                <w:rFonts w:hint="eastAsia" w:ascii="方正书宋_GBK" w:eastAsia="方正书宋_GBK"/>
              </w:rPr>
              <w:t>≥</w:t>
            </w:r>
            <w:r>
              <w:rPr>
                <w:rFonts w:ascii="方正书宋_GBK" w:eastAsia="方正书宋_GBK"/>
              </w:rPr>
              <w:t>70%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 xml:space="preserve"> </w:t>
            </w:r>
            <w:r>
              <w:rPr>
                <w:rFonts w:hint="eastAsia" w:ascii="方正书宋_GBK" w:eastAsia="方正书宋_GBK"/>
              </w:rPr>
              <w:t>≥</w:t>
            </w:r>
            <w:r>
              <w:rPr>
                <w:rFonts w:ascii="方正书宋_GBK" w:eastAsia="方正书宋_GBK"/>
              </w:rPr>
              <w:t>60%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 xml:space="preserve"> </w:t>
            </w:r>
            <w:r>
              <w:rPr>
                <w:rFonts w:hint="eastAsia" w:ascii="方正书宋_GBK" w:eastAsia="方正书宋_GBK"/>
              </w:rPr>
              <w:t>＜</w:t>
            </w: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noWrap w:val="0"/>
            <w:vAlign w:val="center"/>
          </w:tcPr>
          <w:p>
            <w:pPr>
              <w:spacing w:line="300" w:lineRule="exact"/>
              <w:jc w:val="left"/>
              <w:rPr>
                <w:rFonts w:hint="eastAsia" w:ascii="方正书宋_GBK" w:eastAsia="方正书宋_GBK"/>
                <w:b/>
              </w:rPr>
            </w:pPr>
          </w:p>
        </w:tc>
        <w:tc>
          <w:tcPr>
            <w:tcW w:w="12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2976" w:type="dxa"/>
            <w:vMerge w:val="continue"/>
            <w:shd w:val="clear" w:color="auto" w:fill="auto"/>
            <w:noWrap w:val="0"/>
            <w:vAlign w:val="center"/>
          </w:tcPr>
          <w:p>
            <w:pPr>
              <w:spacing w:line="300" w:lineRule="exact"/>
              <w:jc w:val="left"/>
              <w:rPr>
                <w:rFonts w:ascii="方正书宋_GBK" w:eastAsia="方正书宋_GBK"/>
              </w:rPr>
            </w:pP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维稳突出问题解决率</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三、政法综治稳定和国家安全</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w:t>
            </w:r>
            <w:r>
              <w:rPr>
                <w:rFonts w:hint="eastAsia" w:ascii="方正书宋_GBK" w:eastAsia="方正书宋_GBK"/>
              </w:rPr>
              <w:t>、贯彻实施国家安全战略，推进国家安全法制建设，贯彻落实国家安全工作方针，研究解决涉及国家安全工作的重大问题。</w:t>
            </w:r>
            <w:r>
              <w:rPr>
                <w:rFonts w:ascii="方正书宋_GBK" w:eastAsia="方正书宋_GBK"/>
              </w:rPr>
              <w:t>2</w:t>
            </w:r>
            <w:r>
              <w:rPr>
                <w:rFonts w:hint="eastAsia" w:ascii="方正书宋_GBK" w:eastAsia="方正书宋_GBK"/>
              </w:rPr>
              <w:t>、推进社会治安综合治理，维护社会稳定，有效地维护本乡镇的可持续稳定。同时抓好全民普法工作，推进依法治理。</w:t>
            </w:r>
            <w:r>
              <w:rPr>
                <w:rFonts w:ascii="方正书宋_GBK" w:eastAsia="方正书宋_GBK"/>
              </w:rPr>
              <w:t>3</w:t>
            </w:r>
            <w:r>
              <w:rPr>
                <w:rFonts w:hint="eastAsia" w:ascii="方正书宋_GBK" w:eastAsia="方正书宋_GBK"/>
              </w:rPr>
              <w:t>、加强政法队伍建设和领导班子建设。</w:t>
            </w:r>
            <w:r>
              <w:rPr>
                <w:rFonts w:ascii="方正书宋_GBK" w:eastAsia="方正书宋_GBK"/>
              </w:rPr>
              <w:t>4</w:t>
            </w:r>
            <w:r>
              <w:rPr>
                <w:rFonts w:hint="eastAsia" w:ascii="方正书宋_GBK" w:eastAsia="方正书宋_GBK"/>
              </w:rPr>
              <w:t>、受理并查处涉法信访案件工作，促进司法公正。</w:t>
            </w:r>
            <w:r>
              <w:rPr>
                <w:rFonts w:ascii="方正书宋_GBK" w:eastAsia="方正书宋_GBK"/>
              </w:rPr>
              <w:t>5</w:t>
            </w:r>
            <w:r>
              <w:rPr>
                <w:rFonts w:hint="eastAsia" w:ascii="方正书宋_GBK" w:eastAsia="方正书宋_GBK"/>
              </w:rPr>
              <w:t>、坚持社会治安综合治理属地管理原则；抓好目标管理责任制、责任追究和一票否决权等制度的落实，抓好中小学校的社会治安综合治理和所辖乡镇公路治安联防护路等工作。</w:t>
            </w:r>
            <w:r>
              <w:rPr>
                <w:rFonts w:ascii="方正书宋_GBK" w:eastAsia="方正书宋_GBK"/>
              </w:rPr>
              <w:t>6</w:t>
            </w:r>
            <w:r>
              <w:rPr>
                <w:rFonts w:hint="eastAsia" w:ascii="方正书宋_GBK" w:eastAsia="方正书宋_GBK"/>
              </w:rPr>
              <w:t>、依法打击并取缔各种非法宗教活动。</w:t>
            </w:r>
            <w:r>
              <w:rPr>
                <w:rFonts w:ascii="方正书宋_GBK" w:eastAsia="方正书宋_GBK"/>
              </w:rPr>
              <w:t>7</w:t>
            </w:r>
            <w:r>
              <w:rPr>
                <w:rFonts w:hint="eastAsia" w:ascii="方正书宋_GBK" w:eastAsia="方正书宋_GBK"/>
              </w:rPr>
              <w:t>、矛盾纠纷排查。</w:t>
            </w:r>
          </w:p>
        </w:tc>
        <w:tc>
          <w:tcPr>
            <w:tcW w:w="29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抓好乡镇政法综治稳定工作，预防减少不稳定隐患、群体性事件和突发事件，维护国家安全工作。</w:t>
            </w:r>
          </w:p>
        </w:tc>
        <w:tc>
          <w:tcPr>
            <w:tcW w:w="1417" w:type="dxa"/>
            <w:shd w:val="clear" w:color="auto" w:fill="auto"/>
            <w:noWrap w:val="0"/>
            <w:vAlign w:val="center"/>
          </w:tcPr>
          <w:p>
            <w:pPr>
              <w:spacing w:line="300" w:lineRule="exact"/>
              <w:jc w:val="left"/>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、协调维护社会稳定和国家安全</w:t>
            </w:r>
          </w:p>
        </w:tc>
        <w:tc>
          <w:tcPr>
            <w:tcW w:w="1276" w:type="dxa"/>
            <w:vMerge w:val="restart"/>
            <w:shd w:val="clear" w:color="auto" w:fill="auto"/>
            <w:noWrap w:val="0"/>
            <w:vAlign w:val="center"/>
          </w:tcPr>
          <w:p>
            <w:pPr>
              <w:spacing w:line="300" w:lineRule="exact"/>
              <w:jc w:val="left"/>
              <w:rPr>
                <w:rFonts w:ascii="方正书宋_GBK" w:eastAsia="方正书宋_GBK"/>
              </w:rPr>
            </w:pPr>
          </w:p>
        </w:tc>
        <w:tc>
          <w:tcPr>
            <w:tcW w:w="2976" w:type="dxa"/>
            <w:vMerge w:val="restar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排查、化解影响社会稳定的重大不稳定隐患、群体性事件和突发事件及影响国家安全的事件。</w:t>
            </w:r>
          </w:p>
        </w:tc>
        <w:tc>
          <w:tcPr>
            <w:tcW w:w="2976" w:type="dxa"/>
            <w:vMerge w:val="restar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预防减少不稳定因素的发生，有效化解不稳定隐患、群体性事件和突发事件，维护国家安全工作。</w:t>
            </w:r>
          </w:p>
        </w:tc>
        <w:tc>
          <w:tcPr>
            <w:tcW w:w="1417"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 xml:space="preserve"> </w:t>
            </w:r>
            <w:r>
              <w:rPr>
                <w:rFonts w:hint="eastAsia" w:ascii="方正书宋_GBK" w:eastAsia="方正书宋_GBK"/>
              </w:rPr>
              <w:t>安保活动圆满完成情况</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noWrap w:val="0"/>
            <w:vAlign w:val="center"/>
          </w:tcPr>
          <w:p>
            <w:pPr>
              <w:spacing w:line="300" w:lineRule="exact"/>
              <w:jc w:val="left"/>
              <w:rPr>
                <w:rFonts w:hint="eastAsia" w:ascii="方正书宋_GBK" w:eastAsia="方正书宋_GBK"/>
                <w:b/>
              </w:rPr>
            </w:pPr>
          </w:p>
        </w:tc>
        <w:tc>
          <w:tcPr>
            <w:tcW w:w="12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141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协调督导事项化解率</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75%</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65%</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、涉法涉诉信访工作</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认真做好群众来信来访工作，特别是涉及政法各部门的案件，信件，要及时准确的做好解释疏导工作，并转办（交办</w:t>
            </w:r>
            <w:r>
              <w:rPr>
                <w:rFonts w:ascii="方正书宋_GBK" w:eastAsia="方正书宋_GBK"/>
              </w:rPr>
              <w:t>)</w:t>
            </w:r>
            <w:r>
              <w:rPr>
                <w:rFonts w:hint="eastAsia" w:ascii="方正书宋_GBK" w:eastAsia="方正书宋_GBK"/>
              </w:rPr>
              <w:t>政法各部限期办理或督导检查落实情况，维护群众利益诉求。</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强化接访中心建设，切实提高接访中心吸附力。积极推进涉法涉诉信访工作改革，把涉法涉诉信访问题的解决导入法治轨道。</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办结率</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完成</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完成较好</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基本完成</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未完成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、矛盾纠纷排查化解</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完善矛盾纠纷排查机制，对乡镇内矛盾纠纷随时排查及时化解，做到小事不出村，大事不出乡镇，把矛盾化解在基层、化解在萌芽状态。</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矛盾纠纷排查率</w:t>
            </w:r>
            <w:r>
              <w:rPr>
                <w:rFonts w:ascii="方正书宋_GBK" w:eastAsia="方正书宋_GBK"/>
              </w:rPr>
              <w:t>100%</w:t>
            </w:r>
            <w:r>
              <w:rPr>
                <w:rFonts w:hint="eastAsia" w:ascii="方正书宋_GBK" w:eastAsia="方正书宋_GBK"/>
              </w:rPr>
              <w:t>，化解率</w:t>
            </w:r>
            <w:r>
              <w:rPr>
                <w:rFonts w:ascii="方正书宋_GBK" w:eastAsia="方正书宋_GBK"/>
              </w:rPr>
              <w:t>98%</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排查率、化解率</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完成</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完成较好</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基本完成</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未完成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4</w:t>
            </w:r>
            <w:r>
              <w:rPr>
                <w:rFonts w:hint="eastAsia" w:ascii="方正书宋_GBK" w:eastAsia="方正书宋_GBK"/>
                <w:b/>
              </w:rPr>
              <w:t>、公路护路联防工作</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组织开展好全国两会及其他重要时期公路护路联防工作，维护好公路的安全运行，保障公路运输及过往人员安全</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保障公路运输及过往人员安全</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保障安全畅通及过往人员安全</w:t>
            </w:r>
          </w:p>
        </w:tc>
        <w:tc>
          <w:tcPr>
            <w:tcW w:w="737" w:type="dxa"/>
            <w:shd w:val="clear" w:color="auto" w:fill="auto"/>
            <w:noWrap w:val="0"/>
            <w:vAlign w:val="center"/>
          </w:tcPr>
          <w:p>
            <w:pPr>
              <w:spacing w:line="300" w:lineRule="exact"/>
              <w:jc w:val="center"/>
              <w:rPr>
                <w:rFonts w:hint="eastAsia" w:ascii="方正书宋_GBK" w:eastAsia="方正书宋_GBK"/>
              </w:rPr>
            </w:pPr>
            <w:r>
              <w:rPr>
                <w:rFonts w:ascii="方正书宋_GBK" w:eastAsia="方正书宋_GBK"/>
              </w:rPr>
              <w:t xml:space="preserve"> </w:t>
            </w:r>
            <w:r>
              <w:rPr>
                <w:rFonts w:hint="eastAsia" w:ascii="方正书宋_GBK" w:eastAsia="方正书宋_GBK"/>
              </w:rPr>
              <w:t>完成</w:t>
            </w:r>
          </w:p>
        </w:tc>
        <w:tc>
          <w:tcPr>
            <w:tcW w:w="737" w:type="dxa"/>
            <w:shd w:val="clear" w:color="auto" w:fill="auto"/>
            <w:noWrap w:val="0"/>
            <w:vAlign w:val="center"/>
          </w:tcPr>
          <w:p>
            <w:pPr>
              <w:spacing w:line="300" w:lineRule="exact"/>
              <w:jc w:val="center"/>
              <w:rPr>
                <w:rFonts w:hint="eastAsia" w:ascii="方正书宋_GBK" w:eastAsia="方正书宋_GBK"/>
              </w:rPr>
            </w:pPr>
            <w:r>
              <w:rPr>
                <w:rFonts w:ascii="方正书宋_GBK" w:eastAsia="方正书宋_GBK"/>
              </w:rPr>
              <w:t xml:space="preserve"> </w:t>
            </w:r>
            <w:r>
              <w:rPr>
                <w:rFonts w:hint="eastAsia" w:ascii="方正书宋_GBK" w:eastAsia="方正书宋_GBK"/>
              </w:rPr>
              <w:t>完成较好</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基本完成</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未完成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四、社会管理与服务</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1249744.00</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组织指导基层政权和村民委员会建设；推进社会工作人员队伍建设</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推进乡镇社会组织健康发展，优化行政区划空间布局，建立健全城乡基层群众自治组织，逐步实现社会工作者专业化、职业化。</w:t>
            </w:r>
          </w:p>
        </w:tc>
        <w:tc>
          <w:tcPr>
            <w:tcW w:w="1417" w:type="dxa"/>
            <w:shd w:val="clear" w:color="auto" w:fill="auto"/>
            <w:noWrap w:val="0"/>
            <w:vAlign w:val="center"/>
          </w:tcPr>
          <w:p>
            <w:pPr>
              <w:spacing w:line="300" w:lineRule="exact"/>
              <w:jc w:val="left"/>
              <w:rPr>
                <w:rFonts w:hint="eastAsia"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、基层政权和村民委员会建设</w:t>
            </w:r>
          </w:p>
        </w:tc>
        <w:tc>
          <w:tcPr>
            <w:tcW w:w="1276" w:type="dxa"/>
            <w:vMerge w:val="restar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1249744.00</w:t>
            </w:r>
          </w:p>
        </w:tc>
        <w:tc>
          <w:tcPr>
            <w:tcW w:w="2976" w:type="dxa"/>
            <w:vMerge w:val="restar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组织指导乡镇、村民委员会和基层群众自治组织；指导村民委员会民主选举、民主决策、民主管理和民主监督，村务公开；指导乡镇村民委员会建设及服务管理工作。</w:t>
            </w:r>
          </w:p>
        </w:tc>
        <w:tc>
          <w:tcPr>
            <w:tcW w:w="2976" w:type="dxa"/>
            <w:vMerge w:val="restar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建立健全城乡基层群众自治组织，在村民委员会实行</w:t>
            </w:r>
            <w:r>
              <w:rPr>
                <w:rFonts w:hint="cs" w:ascii="方正书宋_GBK" w:eastAsia="方正书宋_GBK"/>
              </w:rPr>
              <w:t>“</w:t>
            </w:r>
            <w:r>
              <w:rPr>
                <w:rFonts w:hint="eastAsia" w:ascii="方正书宋_GBK" w:eastAsia="方正书宋_GBK"/>
              </w:rPr>
              <w:t>四个民主</w:t>
            </w:r>
            <w:r>
              <w:rPr>
                <w:rFonts w:hint="cs" w:ascii="方正书宋_GBK" w:eastAsia="方正书宋_GBK"/>
              </w:rPr>
              <w:t>”</w:t>
            </w:r>
            <w:r>
              <w:rPr>
                <w:rFonts w:hint="eastAsia" w:ascii="方正书宋_GBK" w:eastAsia="方正书宋_GBK"/>
              </w:rPr>
              <w:t>；按照农村社区建设实验全覆盖创建标准开展农村社区建设</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开展农村社区建设的建制村到达全国平均水平</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 xml:space="preserve"> </w:t>
            </w:r>
            <w:r>
              <w:rPr>
                <w:rFonts w:hint="eastAsia" w:ascii="方正书宋_GBK" w:eastAsia="方正书宋_GBK"/>
              </w:rPr>
              <w:t>≥</w:t>
            </w:r>
            <w:r>
              <w:rPr>
                <w:rFonts w:ascii="方正书宋_GBK" w:eastAsia="方正书宋_GBK"/>
              </w:rPr>
              <w:t>41.53%</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 xml:space="preserve"> </w:t>
            </w:r>
            <w:r>
              <w:rPr>
                <w:rFonts w:hint="eastAsia" w:ascii="方正书宋_GBK" w:eastAsia="方正书宋_GBK"/>
              </w:rPr>
              <w:t>≥</w:t>
            </w:r>
            <w:r>
              <w:rPr>
                <w:rFonts w:ascii="方正书宋_GBK" w:eastAsia="方正书宋_GBK"/>
              </w:rPr>
              <w:t>40.53%</w:t>
            </w:r>
          </w:p>
        </w:tc>
        <w:tc>
          <w:tcPr>
            <w:tcW w:w="737" w:type="dxa"/>
            <w:shd w:val="clear" w:color="auto" w:fill="auto"/>
            <w:noWrap w:val="0"/>
            <w:vAlign w:val="center"/>
          </w:tcPr>
          <w:p>
            <w:pPr>
              <w:spacing w:line="300" w:lineRule="exact"/>
              <w:jc w:val="center"/>
              <w:rPr>
                <w:rFonts w:hint="eastAsia" w:ascii="方正书宋_GBK" w:eastAsia="方正书宋_GBK"/>
              </w:rPr>
            </w:pPr>
            <w:r>
              <w:rPr>
                <w:rFonts w:ascii="方正书宋_GBK" w:eastAsia="方正书宋_GBK"/>
              </w:rPr>
              <w:t xml:space="preserve"> </w:t>
            </w:r>
            <w:r>
              <w:rPr>
                <w:rFonts w:hint="eastAsia" w:ascii="方正书宋_GBK" w:eastAsia="方正书宋_GBK"/>
              </w:rPr>
              <w:t>≥</w:t>
            </w:r>
            <w:r>
              <w:rPr>
                <w:rFonts w:ascii="方正书宋_GBK" w:eastAsia="方正书宋_GBK"/>
              </w:rPr>
              <w:t>39.53%</w:t>
            </w:r>
          </w:p>
        </w:tc>
        <w:tc>
          <w:tcPr>
            <w:tcW w:w="737" w:type="dxa"/>
            <w:shd w:val="clear" w:color="auto" w:fill="auto"/>
            <w:noWrap w:val="0"/>
            <w:vAlign w:val="center"/>
          </w:tcPr>
          <w:p>
            <w:pPr>
              <w:spacing w:line="300" w:lineRule="exact"/>
              <w:jc w:val="center"/>
              <w:rPr>
                <w:rFonts w:hint="eastAsia" w:ascii="方正书宋_GBK" w:eastAsia="方正书宋_GBK"/>
              </w:rPr>
            </w:pPr>
            <w:r>
              <w:rPr>
                <w:rFonts w:ascii="方正书宋_GBK" w:eastAsia="方正书宋_GBK"/>
              </w:rPr>
              <w:t xml:space="preserve"> </w:t>
            </w:r>
            <w:r>
              <w:rPr>
                <w:rFonts w:hint="eastAsia" w:ascii="方正书宋_GBK" w:eastAsia="方正书宋_GBK"/>
              </w:rPr>
              <w:t>＜</w:t>
            </w:r>
            <w:r>
              <w:rPr>
                <w:rFonts w:ascii="方正书宋_GBK" w:eastAsia="方正书宋_GBK"/>
              </w:rPr>
              <w:t>39.53%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noWrap w:val="0"/>
            <w:vAlign w:val="center"/>
          </w:tcPr>
          <w:p>
            <w:pPr>
              <w:spacing w:line="300" w:lineRule="exact"/>
              <w:jc w:val="left"/>
              <w:rPr>
                <w:rFonts w:hint="eastAsia" w:ascii="方正书宋_GBK" w:eastAsia="方正书宋_GBK"/>
                <w:b/>
              </w:rPr>
            </w:pPr>
          </w:p>
        </w:tc>
        <w:tc>
          <w:tcPr>
            <w:tcW w:w="12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1417"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 xml:space="preserve"> </w:t>
            </w:r>
            <w:r>
              <w:rPr>
                <w:rFonts w:hint="eastAsia" w:ascii="方正书宋_GBK" w:eastAsia="方正书宋_GBK"/>
              </w:rPr>
              <w:t>村民委员会换届选举率达到或超过上届水平</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99.8%</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99.6%</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99.4%</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noWrap w:val="0"/>
            <w:vAlign w:val="center"/>
          </w:tcPr>
          <w:p>
            <w:pPr>
              <w:spacing w:line="300" w:lineRule="exact"/>
              <w:jc w:val="left"/>
              <w:rPr>
                <w:rFonts w:hint="eastAsia" w:ascii="方正书宋_GBK" w:eastAsia="方正书宋_GBK"/>
                <w:b/>
              </w:rPr>
            </w:pPr>
          </w:p>
        </w:tc>
        <w:tc>
          <w:tcPr>
            <w:tcW w:w="12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141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社区综合设施覆盖率达到全国平均水平</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77.4%</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76.4%</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75.4%</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五、政府专项工作服务与管理</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政府采购、农村综合改革、政府债务、综合治税、政府购买服务、规范津补贴等政府专项工作的服务与管理</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各专项工作依法规范管理，政策制度健全，执行程序规范，管控有力有效，各项政策落实，各项服务到位，业务风险有效控制，资金分配规范合理，经费使用节约。</w:t>
            </w:r>
          </w:p>
        </w:tc>
        <w:tc>
          <w:tcPr>
            <w:tcW w:w="1417" w:type="dxa"/>
            <w:shd w:val="clear" w:color="auto" w:fill="auto"/>
            <w:noWrap w:val="0"/>
            <w:vAlign w:val="center"/>
          </w:tcPr>
          <w:p>
            <w:pPr>
              <w:spacing w:line="300" w:lineRule="exact"/>
              <w:jc w:val="left"/>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、政府债务管理</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加强政府债券管理和土储融资审核；编制月季年报并上报分析材料；实施风险预警及专项检查与监督。</w:t>
            </w:r>
          </w:p>
        </w:tc>
        <w:tc>
          <w:tcPr>
            <w:tcW w:w="29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 xml:space="preserve">   </w:t>
            </w:r>
            <w:r>
              <w:rPr>
                <w:rFonts w:hint="eastAsia" w:ascii="方正书宋_GBK" w:eastAsia="方正书宋_GBK"/>
              </w:rPr>
              <w:t>有效发挥政府规范举债的积极作用，规范政府债务管理，防范政府债务风险。</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乡镇债务风险警戒值</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全部低于财政部风险警戒标准</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总体风险低于警戒标准，单项指标被风险预警</w:t>
            </w:r>
            <w:r>
              <w:rPr>
                <w:rFonts w:ascii="方正书宋_GBK" w:eastAsia="方正书宋_GBK"/>
              </w:rPr>
              <w:t xml:space="preserve"> </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总体风险低于警戒标准，两个单项指标被风险预警</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三个单项指标被风险预警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lang w:eastAsia="zh-CN"/>
              </w:rPr>
            </w:pPr>
            <w:r>
              <w:rPr>
                <w:rFonts w:hint="eastAsia" w:ascii="方正书宋_GBK" w:eastAsia="方正书宋_GBK"/>
                <w:b/>
              </w:rPr>
              <w:t>　　</w:t>
            </w:r>
            <w:r>
              <w:rPr>
                <w:rFonts w:ascii="方正书宋_GBK" w:eastAsia="方正书宋_GBK"/>
                <w:b/>
              </w:rPr>
              <w:t>2</w:t>
            </w:r>
            <w:r>
              <w:rPr>
                <w:rFonts w:hint="eastAsia" w:ascii="方正书宋_GBK" w:eastAsia="方正书宋_GBK"/>
                <w:b/>
              </w:rPr>
              <w:t>、基层矛盾纠纷调</w:t>
            </w:r>
            <w:r>
              <w:rPr>
                <w:rFonts w:hint="eastAsia" w:ascii="方正书宋_GBK" w:eastAsia="方正书宋_GBK"/>
                <w:b/>
                <w:lang w:val="en-US" w:eastAsia="zh-CN"/>
              </w:rPr>
              <w:t>解</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及时化解基层矛盾隐患，调节矛盾纠纷</w:t>
            </w:r>
          </w:p>
        </w:tc>
        <w:tc>
          <w:tcPr>
            <w:tcW w:w="29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提高群众满意率</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矛盾纠纷排查率</w:t>
            </w:r>
          </w:p>
        </w:tc>
        <w:tc>
          <w:tcPr>
            <w:tcW w:w="737" w:type="dxa"/>
            <w:shd w:val="clear" w:color="auto" w:fill="auto"/>
            <w:noWrap w:val="0"/>
            <w:vAlign w:val="center"/>
          </w:tcPr>
          <w:p>
            <w:pPr>
              <w:spacing w:line="300" w:lineRule="exact"/>
              <w:jc w:val="center"/>
              <w:rPr>
                <w:rFonts w:hint="eastAsia" w:ascii="方正书宋_GBK" w:eastAsia="方正书宋_GBK"/>
              </w:rPr>
            </w:pPr>
            <w:r>
              <w:rPr>
                <w:rFonts w:ascii="方正书宋_GBK" w:eastAsia="方正书宋_GBK"/>
              </w:rPr>
              <w:t>90%</w:t>
            </w:r>
          </w:p>
        </w:tc>
        <w:tc>
          <w:tcPr>
            <w:tcW w:w="737" w:type="dxa"/>
            <w:shd w:val="clear" w:color="auto" w:fill="auto"/>
            <w:noWrap w:val="0"/>
            <w:vAlign w:val="center"/>
          </w:tcPr>
          <w:p>
            <w:pPr>
              <w:spacing w:line="300" w:lineRule="exact"/>
              <w:jc w:val="center"/>
              <w:rPr>
                <w:rFonts w:hint="eastAsia" w:ascii="方正书宋_GBK" w:eastAsia="方正书宋_GBK"/>
              </w:rPr>
            </w:pPr>
            <w:r>
              <w:rPr>
                <w:rFonts w:ascii="方正书宋_GBK" w:eastAsia="方正书宋_GBK"/>
              </w:rPr>
              <w:t>85%</w:t>
            </w:r>
            <w:r>
              <w:rPr>
                <w:rFonts w:hint="eastAsia" w:ascii="方正书宋_GBK" w:eastAsia="方正书宋_GBK"/>
              </w:rPr>
              <w:t>以上</w:t>
            </w:r>
          </w:p>
        </w:tc>
        <w:tc>
          <w:tcPr>
            <w:tcW w:w="737" w:type="dxa"/>
            <w:shd w:val="clear" w:color="auto" w:fill="auto"/>
            <w:noWrap w:val="0"/>
            <w:vAlign w:val="center"/>
          </w:tcPr>
          <w:p>
            <w:pPr>
              <w:spacing w:line="300" w:lineRule="exact"/>
              <w:jc w:val="center"/>
              <w:rPr>
                <w:rFonts w:hint="eastAsia" w:ascii="方正书宋_GBK" w:eastAsia="方正书宋_GBK"/>
              </w:rPr>
            </w:pPr>
            <w:r>
              <w:rPr>
                <w:rFonts w:ascii="方正书宋_GBK" w:eastAsia="方正书宋_GBK"/>
              </w:rPr>
              <w:t>80%</w:t>
            </w:r>
            <w:r>
              <w:rPr>
                <w:rFonts w:hint="eastAsia" w:ascii="方正书宋_GBK" w:eastAsia="方正书宋_GBK"/>
              </w:rPr>
              <w:t>以上</w:t>
            </w:r>
          </w:p>
        </w:tc>
        <w:tc>
          <w:tcPr>
            <w:tcW w:w="737" w:type="dxa"/>
            <w:shd w:val="clear" w:color="auto" w:fill="auto"/>
            <w:noWrap w:val="0"/>
            <w:vAlign w:val="center"/>
          </w:tcPr>
          <w:p>
            <w:pPr>
              <w:spacing w:line="300" w:lineRule="exact"/>
              <w:jc w:val="center"/>
              <w:rPr>
                <w:rFonts w:hint="eastAsia" w:ascii="方正书宋_GBK" w:eastAsia="方正书宋_GBK"/>
              </w:rPr>
            </w:pPr>
            <w:r>
              <w:rPr>
                <w:rFonts w:ascii="方正书宋_GBK" w:eastAsia="方正书宋_GBK"/>
              </w:rPr>
              <w:t>80%</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六、水利水电项目建设与管理</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水利水电项目的建设与维护管理</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按期完成水利水电项目建设和维修管护任务，对社会稳定和经济发展起到积极作用</w:t>
            </w:r>
          </w:p>
        </w:tc>
        <w:tc>
          <w:tcPr>
            <w:tcW w:w="1417" w:type="dxa"/>
            <w:shd w:val="clear" w:color="auto" w:fill="auto"/>
            <w:noWrap w:val="0"/>
            <w:vAlign w:val="center"/>
          </w:tcPr>
          <w:p>
            <w:pPr>
              <w:spacing w:line="300" w:lineRule="exact"/>
              <w:jc w:val="left"/>
              <w:rPr>
                <w:rFonts w:hint="eastAsia"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、水利工程运行与维护</w:t>
            </w:r>
          </w:p>
        </w:tc>
        <w:tc>
          <w:tcPr>
            <w:tcW w:w="1276" w:type="dxa"/>
            <w:vMerge w:val="restart"/>
            <w:shd w:val="clear" w:color="auto" w:fill="auto"/>
            <w:noWrap w:val="0"/>
            <w:vAlign w:val="center"/>
          </w:tcPr>
          <w:p>
            <w:pPr>
              <w:spacing w:line="300" w:lineRule="exact"/>
              <w:jc w:val="left"/>
              <w:rPr>
                <w:rFonts w:ascii="方正书宋_GBK" w:eastAsia="方正书宋_GBK"/>
              </w:rPr>
            </w:pPr>
          </w:p>
        </w:tc>
        <w:tc>
          <w:tcPr>
            <w:tcW w:w="2976" w:type="dxa"/>
            <w:vMerge w:val="restar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开展河道堤防、水库、排涝、水文等水利工程运行管理和加强对乡镇水利行业的安全生产监督、检查。对水利工程进行维修养护，确保工程安全运行。</w:t>
            </w:r>
          </w:p>
        </w:tc>
        <w:tc>
          <w:tcPr>
            <w:tcW w:w="2976" w:type="dxa"/>
            <w:vMerge w:val="restart"/>
            <w:shd w:val="clear" w:color="auto" w:fill="auto"/>
            <w:noWrap w:val="0"/>
            <w:vAlign w:val="center"/>
          </w:tcPr>
          <w:p>
            <w:pPr>
              <w:spacing w:line="300" w:lineRule="exact"/>
              <w:jc w:val="left"/>
              <w:rPr>
                <w:rFonts w:hint="eastAsia" w:ascii="方正书宋_GBK" w:eastAsia="方正书宋_GBK"/>
              </w:rPr>
            </w:pP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工程运行故障率</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2%</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noWrap w:val="0"/>
            <w:vAlign w:val="center"/>
          </w:tcPr>
          <w:p>
            <w:pPr>
              <w:spacing w:line="300" w:lineRule="exact"/>
              <w:jc w:val="left"/>
              <w:rPr>
                <w:rFonts w:hint="eastAsia" w:ascii="方正书宋_GBK" w:eastAsia="方正书宋_GBK"/>
                <w:b/>
              </w:rPr>
            </w:pPr>
          </w:p>
        </w:tc>
        <w:tc>
          <w:tcPr>
            <w:tcW w:w="12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工程质量验收合格率</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、保障农村饮水安全</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在全乡范围内通过实施农村饮水安全项目，解决农村居民饮水不安全问题。</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保障农村供水安全</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任务完成率</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、农田水利建设</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建设小型农田水利设施，实施节水灌溉、灌区续建配套与节水改造等，推广综合节水技术，农业水价综合改革，开展乡镇水利站建设。</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提高农业用水效率、改善农业生产条件</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项目完工率</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4</w:t>
            </w:r>
            <w:r>
              <w:rPr>
                <w:rFonts w:hint="eastAsia" w:ascii="方正书宋_GBK" w:eastAsia="方正书宋_GBK"/>
                <w:b/>
              </w:rPr>
              <w:t>、水库移民安置及后期管理</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落实水库移民政策，扶持移民发展生产，保持移民稳定。</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增加移民收入，改善移民生产生活条件，促进移民稳定</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移民政策落实率</w:t>
            </w:r>
          </w:p>
        </w:tc>
        <w:tc>
          <w:tcPr>
            <w:tcW w:w="737" w:type="dxa"/>
            <w:shd w:val="clear" w:color="auto" w:fill="auto"/>
            <w:noWrap w:val="0"/>
            <w:vAlign w:val="center"/>
          </w:tcPr>
          <w:p>
            <w:pPr>
              <w:spacing w:line="300" w:lineRule="exact"/>
              <w:jc w:val="center"/>
              <w:rPr>
                <w:rFonts w:hint="eastAsia" w:ascii="方正书宋_GBK" w:eastAsia="方正书宋_GBK"/>
              </w:rPr>
            </w:pPr>
            <w:r>
              <w:rPr>
                <w:rFonts w:ascii="方正书宋_GBK" w:eastAsia="方正书宋_GBK"/>
              </w:rPr>
              <w:t>100%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七、水利科技支撑和公共服务</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组织开展乡镇水利事业建设的科技创新和技术示范推广，为水利事业科学发展提供公共支撑。</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示范推广水利工程和管理技术，提高水利事业管理水平。</w:t>
            </w:r>
          </w:p>
        </w:tc>
        <w:tc>
          <w:tcPr>
            <w:tcW w:w="1417" w:type="dxa"/>
            <w:shd w:val="clear" w:color="auto" w:fill="auto"/>
            <w:noWrap w:val="0"/>
            <w:vAlign w:val="center"/>
          </w:tcPr>
          <w:p>
            <w:pPr>
              <w:spacing w:line="300" w:lineRule="exact"/>
              <w:jc w:val="left"/>
              <w:rPr>
                <w:rFonts w:hint="eastAsia"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、防汛抗旱</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负责乡镇防汛抗旱组织建设，应急调度，建设应急度汛、抗旱应急、山洪灾害防治项目，储备管理防汛抗旱物资，建设水利信息化基础设施，提高乡镇抗御水旱灾害能力。</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发挥防汛抗旱减灾体系作用，最大限度地减少水旱灾害造成的人员伤亡和财产损失。</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工程完成率</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八、城乡建设管理</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乡镇公用设施建设、安全和应急管理；落实村庄和小城镇建设政策；指导农村住房建设、住房安全和危房改造；改善小城镇和村庄人居环境。</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加强村镇建设，改善农村人居环境，实现城乡统筹发展。协调和指导推进城镇化工作，加快城镇化进程。</w:t>
            </w:r>
          </w:p>
        </w:tc>
        <w:tc>
          <w:tcPr>
            <w:tcW w:w="1417" w:type="dxa"/>
            <w:shd w:val="clear" w:color="auto" w:fill="auto"/>
            <w:noWrap w:val="0"/>
            <w:vAlign w:val="center"/>
          </w:tcPr>
          <w:p>
            <w:pPr>
              <w:spacing w:line="300" w:lineRule="exact"/>
              <w:jc w:val="left"/>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、公用设施建设与管理</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开展乡镇供水、节水、燃气、热力、环境设施、园林、污水处理、垃圾处理等设施建设，开展乡镇的绿化和生物多样性工作；组织实施乡镇绿道绿廊建设；进行公用设施安全和应急管理。</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加强乡镇基础设施建设</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基础设施建设工作目标完成率</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、推进城镇化建设</w:t>
            </w:r>
          </w:p>
        </w:tc>
        <w:tc>
          <w:tcPr>
            <w:tcW w:w="1276" w:type="dxa"/>
            <w:vMerge w:val="restart"/>
            <w:shd w:val="clear" w:color="auto" w:fill="auto"/>
            <w:noWrap w:val="0"/>
            <w:vAlign w:val="center"/>
          </w:tcPr>
          <w:p>
            <w:pPr>
              <w:spacing w:line="300" w:lineRule="exact"/>
              <w:jc w:val="left"/>
              <w:rPr>
                <w:rFonts w:ascii="方正书宋_GBK" w:eastAsia="方正书宋_GBK"/>
              </w:rPr>
            </w:pPr>
          </w:p>
        </w:tc>
        <w:tc>
          <w:tcPr>
            <w:tcW w:w="2976" w:type="dxa"/>
            <w:vMerge w:val="restar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推进城镇建设与旧城改造，推进小城镇和集镇人居环境改善，落实推进省市重点镇的建设；做好乡镇规划、环境质量、居住水平、产业聚集、风貌特色、综合管理、乡镇建设投融资等工作，全面推进乡镇建设上水平，推进城镇化工作。</w:t>
            </w:r>
          </w:p>
        </w:tc>
        <w:tc>
          <w:tcPr>
            <w:tcW w:w="2976" w:type="dxa"/>
            <w:vMerge w:val="restart"/>
            <w:shd w:val="clear" w:color="auto" w:fill="auto"/>
            <w:noWrap w:val="0"/>
            <w:vAlign w:val="center"/>
          </w:tcPr>
          <w:p>
            <w:pPr>
              <w:spacing w:line="300" w:lineRule="exact"/>
              <w:jc w:val="left"/>
              <w:rPr>
                <w:rFonts w:hint="eastAsia" w:ascii="方正书宋_GBK" w:eastAsia="方正书宋_GBK"/>
              </w:rPr>
            </w:pP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乡镇建设工作考核完成率</w:t>
            </w:r>
          </w:p>
        </w:tc>
        <w:tc>
          <w:tcPr>
            <w:tcW w:w="737" w:type="dxa"/>
            <w:shd w:val="clear" w:color="auto" w:fill="auto"/>
            <w:noWrap w:val="0"/>
            <w:vAlign w:val="center"/>
          </w:tcPr>
          <w:p>
            <w:pPr>
              <w:spacing w:line="300" w:lineRule="exact"/>
              <w:jc w:val="center"/>
              <w:rPr>
                <w:rFonts w:hint="eastAsia" w:ascii="方正书宋_GBK" w:eastAsia="方正书宋_GBK"/>
              </w:rPr>
            </w:pPr>
            <w:r>
              <w:rPr>
                <w:rFonts w:ascii="方正书宋_GBK" w:eastAsia="方正书宋_GBK"/>
              </w:rPr>
              <w:t>100%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noWrap w:val="0"/>
            <w:vAlign w:val="center"/>
          </w:tcPr>
          <w:p>
            <w:pPr>
              <w:spacing w:line="300" w:lineRule="exact"/>
              <w:jc w:val="left"/>
              <w:rPr>
                <w:rFonts w:hint="eastAsia" w:ascii="方正书宋_GBK" w:eastAsia="方正书宋_GBK"/>
                <w:b/>
              </w:rPr>
            </w:pPr>
          </w:p>
        </w:tc>
        <w:tc>
          <w:tcPr>
            <w:tcW w:w="12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垃圾处理率</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98%</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98%</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noWrap w:val="0"/>
            <w:vAlign w:val="center"/>
          </w:tcPr>
          <w:p>
            <w:pPr>
              <w:spacing w:line="300" w:lineRule="exact"/>
              <w:jc w:val="left"/>
              <w:rPr>
                <w:rFonts w:hint="eastAsia" w:ascii="方正书宋_GBK" w:eastAsia="方正书宋_GBK"/>
                <w:b/>
              </w:rPr>
            </w:pPr>
          </w:p>
        </w:tc>
        <w:tc>
          <w:tcPr>
            <w:tcW w:w="12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危房改造完成率</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98%</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九、交通运输基础设施建设</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完成交通基础设施投资；管理乡镇重点工程建设、工程质量和安全生产，对项目招投标活动进行监督管理。</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投资建设普通公路及农村公路；进行场站建设；保障交通基础设施建设项目质量。</w:t>
            </w:r>
          </w:p>
        </w:tc>
        <w:tc>
          <w:tcPr>
            <w:tcW w:w="1417" w:type="dxa"/>
            <w:shd w:val="clear" w:color="auto" w:fill="auto"/>
            <w:noWrap w:val="0"/>
            <w:vAlign w:val="center"/>
          </w:tcPr>
          <w:p>
            <w:pPr>
              <w:spacing w:line="300" w:lineRule="exact"/>
              <w:jc w:val="left"/>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、开展交通基础设施建设</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监管乡镇公路，对公路有关重点工程建设、工程质量和安全生产及行业招投标活动进行监督和管理，做好建设过程中的协调管理工作。</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公路建设运转有序，各项业务顺利开展，工作按时完成。</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交通基础设施建设重点项目完成率</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65%</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十、交通运输基础设施养护、维护</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开展交通运输基础设施养护、维护，对项目招投标活动进行监督管理</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完成路基路面大中型维修，加固桥梁，治理隐患；开展高速绿色廊道建设；农村公路养护实施</w:t>
            </w:r>
            <w:r>
              <w:rPr>
                <w:rFonts w:hint="cs" w:ascii="方正书宋_GBK" w:eastAsia="方正书宋_GBK"/>
              </w:rPr>
              <w:t>“</w:t>
            </w:r>
            <w:r>
              <w:rPr>
                <w:rFonts w:hint="eastAsia" w:ascii="方正书宋_GBK" w:eastAsia="方正书宋_GBK"/>
              </w:rPr>
              <w:t>以奖代补</w:t>
            </w:r>
            <w:r>
              <w:rPr>
                <w:rFonts w:hint="cs" w:ascii="方正书宋_GBK" w:eastAsia="方正书宋_GBK"/>
              </w:rPr>
              <w:t>”</w:t>
            </w:r>
          </w:p>
        </w:tc>
        <w:tc>
          <w:tcPr>
            <w:tcW w:w="1417" w:type="dxa"/>
            <w:shd w:val="clear" w:color="auto" w:fill="auto"/>
            <w:noWrap w:val="0"/>
            <w:vAlign w:val="center"/>
          </w:tcPr>
          <w:p>
            <w:pPr>
              <w:spacing w:line="300" w:lineRule="exact"/>
              <w:jc w:val="left"/>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、公路建设管理养护基础数据采集</w:t>
            </w:r>
          </w:p>
        </w:tc>
        <w:tc>
          <w:tcPr>
            <w:tcW w:w="1276" w:type="dxa"/>
            <w:vMerge w:val="restart"/>
            <w:shd w:val="clear" w:color="auto" w:fill="auto"/>
            <w:noWrap w:val="0"/>
            <w:vAlign w:val="center"/>
          </w:tcPr>
          <w:p>
            <w:pPr>
              <w:spacing w:line="300" w:lineRule="exact"/>
              <w:jc w:val="left"/>
              <w:rPr>
                <w:rFonts w:ascii="方正书宋_GBK" w:eastAsia="方正书宋_GBK"/>
              </w:rPr>
            </w:pPr>
          </w:p>
        </w:tc>
        <w:tc>
          <w:tcPr>
            <w:tcW w:w="2976" w:type="dxa"/>
            <w:vMerge w:val="restar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通过公路各项指标地理信息、数据采集及桥梁隧道检测、交通量调查等方式适时采集相关数据并及时更新；管理维护设备及数据采集信息系统。</w:t>
            </w:r>
          </w:p>
        </w:tc>
        <w:tc>
          <w:tcPr>
            <w:tcW w:w="2976" w:type="dxa"/>
            <w:vMerge w:val="restart"/>
            <w:shd w:val="clear" w:color="auto" w:fill="auto"/>
            <w:noWrap w:val="0"/>
            <w:vAlign w:val="center"/>
          </w:tcPr>
          <w:p>
            <w:pPr>
              <w:spacing w:line="300" w:lineRule="exact"/>
              <w:jc w:val="left"/>
              <w:rPr>
                <w:rFonts w:hint="eastAsia" w:ascii="方正书宋_GBK" w:eastAsia="方正书宋_GBK"/>
              </w:rPr>
            </w:pP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公路基础信息数据更新率</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noWrap w:val="0"/>
            <w:vAlign w:val="center"/>
          </w:tcPr>
          <w:p>
            <w:pPr>
              <w:spacing w:line="300" w:lineRule="exact"/>
              <w:jc w:val="center"/>
              <w:rPr>
                <w:rFonts w:hint="eastAsia" w:ascii="方正书宋_GBK" w:eastAsia="方正书宋_GBK"/>
              </w:rPr>
            </w:pPr>
            <w:r>
              <w:rPr>
                <w:rFonts w:ascii="方正书宋_GBK" w:eastAsia="方正书宋_GBK"/>
              </w:rPr>
              <w:t xml:space="preserve"> </w:t>
            </w:r>
            <w:r>
              <w:rPr>
                <w:rFonts w:hint="eastAsia" w:ascii="方正书宋_GBK" w:eastAsia="方正书宋_GBK"/>
              </w:rPr>
              <w:t>≥</w:t>
            </w:r>
            <w:r>
              <w:rPr>
                <w:rFonts w:ascii="方正书宋_GBK" w:eastAsia="方正书宋_GBK"/>
              </w:rPr>
              <w:t>70%</w:t>
            </w:r>
          </w:p>
        </w:tc>
        <w:tc>
          <w:tcPr>
            <w:tcW w:w="737" w:type="dxa"/>
            <w:shd w:val="clear" w:color="auto" w:fill="auto"/>
            <w:noWrap w:val="0"/>
            <w:vAlign w:val="center"/>
          </w:tcPr>
          <w:p>
            <w:pPr>
              <w:spacing w:line="300" w:lineRule="exact"/>
              <w:jc w:val="center"/>
              <w:rPr>
                <w:rFonts w:hint="eastAsia" w:ascii="方正书宋_GBK" w:eastAsia="方正书宋_GBK"/>
              </w:rPr>
            </w:pPr>
            <w:r>
              <w:rPr>
                <w:rFonts w:ascii="方正书宋_GBK" w:eastAsia="方正书宋_GBK"/>
              </w:rPr>
              <w:t xml:space="preserve"> </w:t>
            </w:r>
            <w:r>
              <w:rPr>
                <w:rFonts w:hint="eastAsia" w:ascii="方正书宋_GBK" w:eastAsia="方正书宋_GBK"/>
              </w:rPr>
              <w:t>＜</w:t>
            </w: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noWrap w:val="0"/>
            <w:vAlign w:val="center"/>
          </w:tcPr>
          <w:p>
            <w:pPr>
              <w:spacing w:line="300" w:lineRule="exact"/>
              <w:jc w:val="left"/>
              <w:rPr>
                <w:rFonts w:hint="eastAsia" w:ascii="方正书宋_GBK" w:eastAsia="方正书宋_GBK"/>
                <w:b/>
              </w:rPr>
            </w:pPr>
          </w:p>
        </w:tc>
        <w:tc>
          <w:tcPr>
            <w:tcW w:w="12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1417"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 xml:space="preserve"> </w:t>
            </w:r>
            <w:r>
              <w:rPr>
                <w:rFonts w:hint="eastAsia" w:ascii="方正书宋_GBK" w:eastAsia="方正书宋_GBK"/>
              </w:rPr>
              <w:t>公路基础信息数据使用率</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 xml:space="preserve"> </w:t>
            </w:r>
            <w:r>
              <w:rPr>
                <w:rFonts w:hint="eastAsia" w:ascii="方正书宋_GBK" w:eastAsia="方正书宋_GBK"/>
              </w:rPr>
              <w:t>≥</w:t>
            </w:r>
            <w:r>
              <w:rPr>
                <w:rFonts w:ascii="方正书宋_GBK" w:eastAsia="方正书宋_GBK"/>
              </w:rPr>
              <w:t>70%</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、公路、水运工程养护监督和管理</w:t>
            </w:r>
          </w:p>
        </w:tc>
        <w:tc>
          <w:tcPr>
            <w:tcW w:w="1276" w:type="dxa"/>
            <w:vMerge w:val="restart"/>
            <w:shd w:val="clear" w:color="auto" w:fill="auto"/>
            <w:noWrap w:val="0"/>
            <w:vAlign w:val="center"/>
          </w:tcPr>
          <w:p>
            <w:pPr>
              <w:spacing w:line="300" w:lineRule="exact"/>
              <w:jc w:val="left"/>
              <w:rPr>
                <w:rFonts w:ascii="方正书宋_GBK" w:eastAsia="方正书宋_GBK"/>
              </w:rPr>
            </w:pPr>
          </w:p>
        </w:tc>
        <w:tc>
          <w:tcPr>
            <w:tcW w:w="2976" w:type="dxa"/>
            <w:vMerge w:val="restar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对公路、水运工程及其设施养护工程质量安全及招投标活动进行监督和管理。</w:t>
            </w:r>
          </w:p>
        </w:tc>
        <w:tc>
          <w:tcPr>
            <w:tcW w:w="2976" w:type="dxa"/>
            <w:vMerge w:val="restart"/>
            <w:shd w:val="clear" w:color="auto" w:fill="auto"/>
            <w:noWrap w:val="0"/>
            <w:vAlign w:val="center"/>
          </w:tcPr>
          <w:p>
            <w:pPr>
              <w:spacing w:line="300" w:lineRule="exact"/>
              <w:jc w:val="left"/>
              <w:rPr>
                <w:rFonts w:hint="eastAsia" w:ascii="方正书宋_GBK" w:eastAsia="方正书宋_GBK"/>
              </w:rPr>
            </w:pPr>
          </w:p>
        </w:tc>
        <w:tc>
          <w:tcPr>
            <w:tcW w:w="141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项目质量</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合格</w:t>
            </w:r>
          </w:p>
        </w:tc>
        <w:tc>
          <w:tcPr>
            <w:tcW w:w="737"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不合格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noWrap w:val="0"/>
            <w:vAlign w:val="center"/>
          </w:tcPr>
          <w:p>
            <w:pPr>
              <w:spacing w:line="300" w:lineRule="exact"/>
              <w:jc w:val="left"/>
              <w:rPr>
                <w:rFonts w:hint="eastAsia" w:ascii="方正书宋_GBK" w:eastAsia="方正书宋_GBK"/>
                <w:b/>
              </w:rPr>
            </w:pPr>
          </w:p>
        </w:tc>
        <w:tc>
          <w:tcPr>
            <w:tcW w:w="12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工作质量</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按时完成工作，质量高</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按时完成工作，质量一般</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基本完成工作</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未按时完成工作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十一、政务管理</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承担系统综合业务管理和部门综合事务管理</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促进乡镇机关事务管理工作科学发展</w:t>
            </w:r>
          </w:p>
        </w:tc>
        <w:tc>
          <w:tcPr>
            <w:tcW w:w="1417" w:type="dxa"/>
            <w:shd w:val="clear" w:color="auto" w:fill="auto"/>
            <w:noWrap w:val="0"/>
            <w:vAlign w:val="center"/>
          </w:tcPr>
          <w:p>
            <w:pPr>
              <w:spacing w:line="300" w:lineRule="exact"/>
              <w:jc w:val="left"/>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、综合事务管理</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管理乡镇机关网络建设、运转维护和电子政务；机关标准化建设、保密、档案以及政务接待、公务。办公楼修缮、供水、供电、供暖以及机关环境绿化美化、卫生保洁、安全保卫。离退休干部慰问。党组织活动。</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搞好服务保障，为广大干部职工提供安全、快捷、细致、周到的工作环境；加强财务管理，确保资金安全，提高财政资金使用效益。</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综合事务保障完成率</w:t>
            </w:r>
          </w:p>
        </w:tc>
        <w:tc>
          <w:tcPr>
            <w:tcW w:w="737" w:type="dxa"/>
            <w:shd w:val="clear" w:color="auto" w:fill="auto"/>
            <w:noWrap w:val="0"/>
            <w:vAlign w:val="center"/>
          </w:tcPr>
          <w:p>
            <w:pPr>
              <w:spacing w:line="300" w:lineRule="exact"/>
              <w:jc w:val="center"/>
              <w:rPr>
                <w:rFonts w:hint="eastAsia" w:ascii="方正书宋_GBK" w:eastAsia="方正书宋_GBK"/>
              </w:rPr>
            </w:pPr>
            <w:r>
              <w:rPr>
                <w:rFonts w:ascii="方正书宋_GBK" w:eastAsia="方正书宋_GBK"/>
              </w:rPr>
              <w:t>100%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noWrap w:val="0"/>
            <w:vAlign w:val="center"/>
          </w:tcPr>
          <w:p>
            <w:pPr>
              <w:spacing w:line="300" w:lineRule="exact"/>
              <w:jc w:val="center"/>
              <w:rPr>
                <w:rFonts w:hint="eastAsia" w:ascii="方正书宋_GBK" w:eastAsia="方正书宋_GBK"/>
              </w:rPr>
            </w:pPr>
            <w:r>
              <w:rPr>
                <w:rFonts w:ascii="方正书宋_GBK" w:eastAsia="方正书宋_GBK"/>
              </w:rPr>
              <w:t xml:space="preserve"> </w:t>
            </w:r>
            <w:r>
              <w:rPr>
                <w:rFonts w:hint="eastAsia" w:ascii="方正书宋_GBK" w:eastAsia="方正书宋_GBK"/>
              </w:rPr>
              <w:t>＜</w:t>
            </w:r>
            <w:r>
              <w:rPr>
                <w:rFonts w:ascii="方正书宋_GBK" w:eastAsia="方正书宋_GBK"/>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、信访活动</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处理人民群众来信、来访</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涉密</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涉密</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 xml:space="preserve"> </w:t>
            </w:r>
            <w:r>
              <w:rPr>
                <w:rFonts w:hint="eastAsia" w:ascii="方正书宋_GBK" w:eastAsia="方正书宋_GBK"/>
              </w:rPr>
              <w:t>涉密</w:t>
            </w:r>
          </w:p>
        </w:tc>
        <w:tc>
          <w:tcPr>
            <w:tcW w:w="737" w:type="dxa"/>
            <w:shd w:val="clear" w:color="auto" w:fill="auto"/>
            <w:noWrap w:val="0"/>
            <w:vAlign w:val="center"/>
          </w:tcPr>
          <w:p>
            <w:pPr>
              <w:spacing w:line="300" w:lineRule="exact"/>
              <w:jc w:val="center"/>
              <w:rPr>
                <w:rFonts w:hint="eastAsia" w:ascii="方正书宋_GBK" w:eastAsia="方正书宋_GBK"/>
              </w:rPr>
            </w:pPr>
            <w:r>
              <w:rPr>
                <w:rFonts w:ascii="方正书宋_GBK" w:eastAsia="方正书宋_GBK"/>
              </w:rPr>
              <w:t xml:space="preserve"> </w:t>
            </w:r>
            <w:r>
              <w:rPr>
                <w:rFonts w:hint="eastAsia" w:ascii="方正书宋_GBK" w:eastAsia="方正书宋_GBK"/>
              </w:rPr>
              <w:t>涉密</w:t>
            </w:r>
          </w:p>
        </w:tc>
        <w:tc>
          <w:tcPr>
            <w:tcW w:w="737" w:type="dxa"/>
            <w:shd w:val="clear" w:color="auto" w:fill="auto"/>
            <w:noWrap w:val="0"/>
            <w:vAlign w:val="center"/>
          </w:tcPr>
          <w:p>
            <w:pPr>
              <w:spacing w:line="300" w:lineRule="exact"/>
              <w:jc w:val="center"/>
              <w:rPr>
                <w:rFonts w:hint="eastAsia" w:ascii="方正书宋_GBK" w:eastAsia="方正书宋_GBK"/>
              </w:rPr>
            </w:pPr>
            <w:r>
              <w:rPr>
                <w:rFonts w:ascii="方正书宋_GBK" w:eastAsia="方正书宋_GBK"/>
              </w:rPr>
              <w:t xml:space="preserve"> </w:t>
            </w:r>
            <w:r>
              <w:rPr>
                <w:rFonts w:hint="eastAsia" w:ascii="方正书宋_GBK" w:eastAsia="方正书宋_GBK"/>
              </w:rPr>
              <w:t>涉密</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 xml:space="preserve"> </w:t>
            </w:r>
            <w:r>
              <w:rPr>
                <w:rFonts w:hint="eastAsia" w:ascii="方正书宋_GBK" w:eastAsia="方正书宋_GBK"/>
              </w:rP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十二、医疗保障</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通过贯彻实施新型农村合作医疗、疾病应急救助、城乡居民大病保险以及公费医疗等制度，保障人民群众公平享有所需医疗服务权益。</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扩大各项保险的覆盖面，及时足额落实社会保险待遇</w:t>
            </w:r>
          </w:p>
        </w:tc>
        <w:tc>
          <w:tcPr>
            <w:tcW w:w="1417" w:type="dxa"/>
            <w:shd w:val="clear" w:color="auto" w:fill="auto"/>
            <w:noWrap w:val="0"/>
            <w:vAlign w:val="center"/>
          </w:tcPr>
          <w:p>
            <w:pPr>
              <w:spacing w:line="300" w:lineRule="exact"/>
              <w:jc w:val="left"/>
              <w:rPr>
                <w:rFonts w:hint="eastAsia"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、新型农村合作医疗及城乡居民大病保险</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组织、引导、支持，农民自愿参加新型农村合作医疗，提高农村居民的医疗保障水平；建立大病保险制度；对城乡居民因患大病发生的高额医疗费用给予报销。</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有效降低城乡居民看病就医的经济负担。</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新农合参合率</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十三、计划生育</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提供各类计划生育技术服务，建立利益导向机制，开展出生人口性别比治理以及流动人口计划生育管理等各项工作。</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稳定适度的低生育水平，有效保障计划生育家庭生活水平，提高妇女生殖健康水平，降低出生缺陷的发生，有效遏制出生人口性别比偏高问题。</w:t>
            </w:r>
          </w:p>
        </w:tc>
        <w:tc>
          <w:tcPr>
            <w:tcW w:w="1417" w:type="dxa"/>
            <w:shd w:val="clear" w:color="auto" w:fill="auto"/>
            <w:noWrap w:val="0"/>
            <w:vAlign w:val="center"/>
          </w:tcPr>
          <w:p>
            <w:pPr>
              <w:spacing w:line="300" w:lineRule="exact"/>
              <w:jc w:val="left"/>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、计划生育服务</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免费为农村计划怀孕夫妇实行孕前优生健康检查；免费为公民提供计划生育避孕节育基本技术服务；免费为农村已婚育龄妇女提供生殖健康检查服务。</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改善我区农村计划怀孕夫妇健康状况，有效降低出生缺陷发生风险；为各类育龄人群提供安全、有效避孕节育技术服务；健全完善流动人口管理机制。</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免费孕前优生健康检查目标人群覆盖率</w:t>
            </w:r>
          </w:p>
        </w:tc>
        <w:tc>
          <w:tcPr>
            <w:tcW w:w="737" w:type="dxa"/>
            <w:shd w:val="clear" w:color="auto" w:fill="auto"/>
            <w:noWrap w:val="0"/>
            <w:vAlign w:val="center"/>
          </w:tcPr>
          <w:p>
            <w:pPr>
              <w:spacing w:line="300" w:lineRule="exact"/>
              <w:jc w:val="center"/>
              <w:rPr>
                <w:rFonts w:hint="eastAsia" w:ascii="方正书宋_GBK" w:eastAsia="方正书宋_GBK"/>
              </w:rPr>
            </w:pPr>
            <w:r>
              <w:rPr>
                <w:rFonts w:ascii="方正书宋_GBK" w:eastAsia="方正书宋_GBK"/>
              </w:rPr>
              <w:t>80%</w:t>
            </w:r>
            <w:r>
              <w:rPr>
                <w:rFonts w:hint="eastAsia" w:ascii="方正书宋_GBK" w:eastAsia="方正书宋_GBK"/>
              </w:rPr>
              <w:t>及以上</w:t>
            </w:r>
          </w:p>
        </w:tc>
        <w:tc>
          <w:tcPr>
            <w:tcW w:w="737" w:type="dxa"/>
            <w:shd w:val="clear" w:color="auto" w:fill="auto"/>
            <w:noWrap w:val="0"/>
            <w:vAlign w:val="center"/>
          </w:tcPr>
          <w:p>
            <w:pPr>
              <w:spacing w:line="300" w:lineRule="exact"/>
              <w:jc w:val="center"/>
              <w:rPr>
                <w:rFonts w:hint="eastAsia" w:ascii="方正书宋_GBK" w:eastAsia="方正书宋_GBK"/>
              </w:rPr>
            </w:pPr>
            <w:r>
              <w:rPr>
                <w:rFonts w:ascii="方正书宋_GBK" w:eastAsia="方正书宋_GBK"/>
              </w:rPr>
              <w:t>75%</w:t>
            </w:r>
            <w:r>
              <w:rPr>
                <w:rFonts w:hint="eastAsia" w:ascii="方正书宋_GBK" w:eastAsia="方正书宋_GBK"/>
              </w:rPr>
              <w:t>及以上</w:t>
            </w:r>
          </w:p>
        </w:tc>
        <w:tc>
          <w:tcPr>
            <w:tcW w:w="737" w:type="dxa"/>
            <w:shd w:val="clear" w:color="auto" w:fill="auto"/>
            <w:noWrap w:val="0"/>
            <w:vAlign w:val="center"/>
          </w:tcPr>
          <w:p>
            <w:pPr>
              <w:spacing w:line="300" w:lineRule="exact"/>
              <w:jc w:val="center"/>
              <w:rPr>
                <w:rFonts w:hint="eastAsia" w:ascii="方正书宋_GBK" w:eastAsia="方正书宋_GBK"/>
              </w:rPr>
            </w:pPr>
            <w:r>
              <w:rPr>
                <w:rFonts w:ascii="方正书宋_GBK" w:eastAsia="方正书宋_GBK"/>
              </w:rPr>
              <w:t>70%</w:t>
            </w:r>
            <w:r>
              <w:rPr>
                <w:rFonts w:hint="eastAsia" w:ascii="方正书宋_GBK" w:eastAsia="方正书宋_GBK"/>
              </w:rPr>
              <w:t>及以上</w:t>
            </w:r>
          </w:p>
        </w:tc>
        <w:tc>
          <w:tcPr>
            <w:tcW w:w="737" w:type="dxa"/>
            <w:shd w:val="clear" w:color="auto" w:fill="auto"/>
            <w:noWrap w:val="0"/>
            <w:vAlign w:val="center"/>
          </w:tcPr>
          <w:p>
            <w:pPr>
              <w:spacing w:line="300" w:lineRule="exact"/>
              <w:jc w:val="center"/>
              <w:rPr>
                <w:rFonts w:hint="eastAsia" w:ascii="方正书宋_GBK" w:eastAsia="方正书宋_GBK"/>
              </w:rPr>
            </w:pPr>
            <w:r>
              <w:rPr>
                <w:rFonts w:ascii="方正书宋_GBK" w:eastAsia="方正书宋_GBK"/>
              </w:rPr>
              <w:t>70%</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十四、农村文化建设</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协助完成国家下达的广播直播卫星户户通工程、农村电影工作、数字影院升级改造、农家书屋建设、全民阅读活动、老放映员生活补助以及应急广播体系建设等任务目标。</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宣传党的路线，方针、政策和上级工作部署，坚持正确舆论导向，发挥主流媒体作用；开展各类宣传工作；组织农村群众文化体育活动，负责乡镇广播电视微波电路正常运行和维护；负责相关设备的正常运行和维护；在乡镇建立广播电视安全播出保障体系，组织实施重大公益工程和公益活动，扶助老少边穷地区新闻出版广播影视建设和发展。</w:t>
            </w:r>
          </w:p>
        </w:tc>
        <w:tc>
          <w:tcPr>
            <w:tcW w:w="1417" w:type="dxa"/>
            <w:shd w:val="clear" w:color="auto" w:fill="auto"/>
            <w:noWrap w:val="0"/>
            <w:vAlign w:val="center"/>
          </w:tcPr>
          <w:p>
            <w:pPr>
              <w:spacing w:line="300" w:lineRule="exact"/>
              <w:jc w:val="left"/>
              <w:rPr>
                <w:rFonts w:hint="eastAsia"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、公共服务工程推广</w:t>
            </w:r>
          </w:p>
        </w:tc>
        <w:tc>
          <w:tcPr>
            <w:tcW w:w="1276" w:type="dxa"/>
            <w:vMerge w:val="restart"/>
            <w:shd w:val="clear" w:color="auto" w:fill="auto"/>
            <w:noWrap w:val="0"/>
            <w:vAlign w:val="center"/>
          </w:tcPr>
          <w:p>
            <w:pPr>
              <w:spacing w:line="300" w:lineRule="exact"/>
              <w:jc w:val="left"/>
              <w:rPr>
                <w:rFonts w:ascii="方正书宋_GBK" w:eastAsia="方正书宋_GBK"/>
              </w:rPr>
            </w:pPr>
          </w:p>
        </w:tc>
        <w:tc>
          <w:tcPr>
            <w:tcW w:w="2976" w:type="dxa"/>
            <w:vMerge w:val="restar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农家书屋建设、群众文化体育活动、全民阅读活动、老放映员生活补助以及应急广播体系建设等任务目标。</w:t>
            </w:r>
          </w:p>
        </w:tc>
        <w:tc>
          <w:tcPr>
            <w:tcW w:w="2976" w:type="dxa"/>
            <w:vMerge w:val="restart"/>
            <w:shd w:val="clear" w:color="auto" w:fill="auto"/>
            <w:noWrap w:val="0"/>
            <w:vAlign w:val="center"/>
          </w:tcPr>
          <w:p>
            <w:pPr>
              <w:spacing w:line="300" w:lineRule="exact"/>
              <w:jc w:val="left"/>
              <w:rPr>
                <w:rFonts w:hint="eastAsia" w:ascii="方正书宋_GBK" w:eastAsia="方正书宋_GBK"/>
              </w:rPr>
            </w:pP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应急广播体系建设任务完成率</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noWrap w:val="0"/>
            <w:vAlign w:val="center"/>
          </w:tcPr>
          <w:p>
            <w:pPr>
              <w:spacing w:line="300" w:lineRule="exact"/>
              <w:jc w:val="left"/>
              <w:rPr>
                <w:rFonts w:hint="eastAsia" w:ascii="方正书宋_GBK" w:eastAsia="方正书宋_GBK"/>
                <w:b/>
              </w:rPr>
            </w:pPr>
          </w:p>
        </w:tc>
        <w:tc>
          <w:tcPr>
            <w:tcW w:w="12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群众文化体育活动组织覆盖率</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noWrap w:val="0"/>
            <w:vAlign w:val="center"/>
          </w:tcPr>
          <w:p>
            <w:pPr>
              <w:spacing w:line="300" w:lineRule="exact"/>
              <w:jc w:val="left"/>
              <w:rPr>
                <w:rFonts w:hint="eastAsia" w:ascii="方正书宋_GBK" w:eastAsia="方正书宋_GBK"/>
                <w:b/>
              </w:rPr>
            </w:pPr>
          </w:p>
        </w:tc>
        <w:tc>
          <w:tcPr>
            <w:tcW w:w="12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对外交流次数</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4</w:t>
            </w:r>
          </w:p>
        </w:tc>
        <w:tc>
          <w:tcPr>
            <w:tcW w:w="737" w:type="dxa"/>
            <w:shd w:val="clear" w:color="auto" w:fill="auto"/>
            <w:noWrap w:val="0"/>
            <w:vAlign w:val="center"/>
          </w:tcPr>
          <w:p>
            <w:pPr>
              <w:spacing w:line="300" w:lineRule="exact"/>
              <w:jc w:val="center"/>
              <w:rPr>
                <w:rFonts w:hint="eastAsia" w:ascii="方正书宋_GBK" w:eastAsia="方正书宋_GBK"/>
              </w:rPr>
            </w:pPr>
            <w:r>
              <w:rPr>
                <w:rFonts w:ascii="方正书宋_GBK" w:eastAsia="方正书宋_GBK"/>
              </w:rPr>
              <w:t>3</w:t>
            </w:r>
          </w:p>
        </w:tc>
        <w:tc>
          <w:tcPr>
            <w:tcW w:w="737" w:type="dxa"/>
            <w:shd w:val="clear" w:color="auto" w:fill="auto"/>
            <w:noWrap w:val="0"/>
            <w:vAlign w:val="center"/>
          </w:tcPr>
          <w:p>
            <w:pPr>
              <w:spacing w:line="300" w:lineRule="exact"/>
              <w:jc w:val="center"/>
              <w:rPr>
                <w:rFonts w:hint="eastAsia" w:ascii="方正书宋_GBK" w:eastAsia="方正书宋_GBK"/>
              </w:rPr>
            </w:pPr>
            <w:r>
              <w:rPr>
                <w:rFonts w:ascii="方正书宋_GBK" w:eastAsia="方正书宋_GBK"/>
              </w:rPr>
              <w:t>2</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noWrap w:val="0"/>
            <w:vAlign w:val="center"/>
          </w:tcPr>
          <w:p>
            <w:pPr>
              <w:spacing w:line="300" w:lineRule="exact"/>
              <w:jc w:val="left"/>
              <w:rPr>
                <w:rFonts w:hint="eastAsia" w:ascii="方正书宋_GBK" w:eastAsia="方正书宋_GBK"/>
                <w:b/>
              </w:rPr>
            </w:pPr>
          </w:p>
        </w:tc>
        <w:tc>
          <w:tcPr>
            <w:tcW w:w="12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农家书屋更新完成率</w:t>
            </w:r>
          </w:p>
        </w:tc>
        <w:tc>
          <w:tcPr>
            <w:tcW w:w="737" w:type="dxa"/>
            <w:shd w:val="clear" w:color="auto" w:fill="auto"/>
            <w:noWrap w:val="0"/>
            <w:vAlign w:val="center"/>
          </w:tcPr>
          <w:p>
            <w:pPr>
              <w:spacing w:line="300" w:lineRule="exact"/>
              <w:jc w:val="center"/>
              <w:rPr>
                <w:rFonts w:hint="eastAsia" w:ascii="方正书宋_GBK" w:eastAsia="方正书宋_GBK"/>
              </w:rPr>
            </w:pPr>
            <w:r>
              <w:rPr>
                <w:rFonts w:ascii="方正书宋_GBK" w:eastAsia="方正书宋_GBK"/>
              </w:rPr>
              <w:t>100%</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noWrap w:val="0"/>
            <w:vAlign w:val="center"/>
          </w:tcPr>
          <w:p>
            <w:pPr>
              <w:spacing w:line="300" w:lineRule="exact"/>
              <w:jc w:val="left"/>
              <w:rPr>
                <w:rFonts w:hint="eastAsia" w:ascii="方正书宋_GBK" w:eastAsia="方正书宋_GBK"/>
                <w:b/>
              </w:rPr>
            </w:pPr>
          </w:p>
        </w:tc>
        <w:tc>
          <w:tcPr>
            <w:tcW w:w="12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老放映员补助到位率</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noWrap w:val="0"/>
            <w:vAlign w:val="center"/>
          </w:tcPr>
          <w:p>
            <w:pPr>
              <w:spacing w:line="300" w:lineRule="exact"/>
              <w:jc w:val="left"/>
              <w:rPr>
                <w:rFonts w:hint="eastAsia" w:ascii="方正书宋_GBK" w:eastAsia="方正书宋_GBK"/>
                <w:b/>
              </w:rPr>
            </w:pPr>
          </w:p>
        </w:tc>
        <w:tc>
          <w:tcPr>
            <w:tcW w:w="12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民间交流次数</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15</w:t>
            </w:r>
            <w:r>
              <w:rPr>
                <w:rFonts w:hint="eastAsia" w:ascii="方正书宋_GBK" w:eastAsia="方正书宋_GBK"/>
              </w:rPr>
              <w:t>次</w:t>
            </w:r>
          </w:p>
        </w:tc>
        <w:tc>
          <w:tcPr>
            <w:tcW w:w="737" w:type="dxa"/>
            <w:shd w:val="clear" w:color="auto" w:fill="auto"/>
            <w:noWrap w:val="0"/>
            <w:vAlign w:val="center"/>
          </w:tcPr>
          <w:p>
            <w:pPr>
              <w:spacing w:line="300" w:lineRule="exact"/>
              <w:jc w:val="center"/>
              <w:rPr>
                <w:rFonts w:hint="eastAsia" w:ascii="方正书宋_GBK" w:eastAsia="方正书宋_GBK"/>
              </w:rPr>
            </w:pPr>
            <w:r>
              <w:rPr>
                <w:rFonts w:ascii="方正书宋_GBK" w:eastAsia="方正书宋_GBK"/>
              </w:rPr>
              <w:t>10</w:t>
            </w:r>
            <w:r>
              <w:rPr>
                <w:rFonts w:hint="eastAsia" w:ascii="方正书宋_GBK" w:eastAsia="方正书宋_GBK"/>
              </w:rPr>
              <w:t>次</w:t>
            </w:r>
          </w:p>
        </w:tc>
        <w:tc>
          <w:tcPr>
            <w:tcW w:w="737" w:type="dxa"/>
            <w:shd w:val="clear" w:color="auto" w:fill="auto"/>
            <w:noWrap w:val="0"/>
            <w:vAlign w:val="center"/>
          </w:tcPr>
          <w:p>
            <w:pPr>
              <w:spacing w:line="300" w:lineRule="exact"/>
              <w:jc w:val="center"/>
              <w:rPr>
                <w:rFonts w:hint="eastAsia" w:ascii="方正书宋_GBK" w:eastAsia="方正书宋_GBK"/>
              </w:rPr>
            </w:pPr>
            <w:r>
              <w:rPr>
                <w:rFonts w:ascii="方正书宋_GBK" w:eastAsia="方正书宋_GBK"/>
              </w:rPr>
              <w:t>6</w:t>
            </w:r>
            <w:r>
              <w:rPr>
                <w:rFonts w:hint="eastAsia" w:ascii="方正书宋_GBK" w:eastAsia="方正书宋_GBK"/>
              </w:rPr>
              <w:t>次</w:t>
            </w:r>
          </w:p>
        </w:tc>
        <w:tc>
          <w:tcPr>
            <w:tcW w:w="737" w:type="dxa"/>
            <w:shd w:val="clear" w:color="auto" w:fill="auto"/>
            <w:noWrap w:val="0"/>
            <w:vAlign w:val="center"/>
          </w:tcPr>
          <w:p>
            <w:pPr>
              <w:spacing w:line="300" w:lineRule="exact"/>
              <w:jc w:val="center"/>
              <w:rPr>
                <w:rFonts w:hint="eastAsia" w:ascii="方正书宋_GBK" w:eastAsia="方正书宋_GBK"/>
              </w:rPr>
            </w:pPr>
            <w:r>
              <w:rPr>
                <w:rFonts w:ascii="方正书宋_GBK" w:eastAsia="方正书宋_GBK"/>
              </w:rPr>
              <w:t>6</w:t>
            </w:r>
            <w:r>
              <w:rPr>
                <w:rFonts w:hint="eastAsia" w:ascii="方正书宋_GBK" w:eastAsia="方正书宋_GBK"/>
              </w:rPr>
              <w:t>次以下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noWrap w:val="0"/>
            <w:vAlign w:val="center"/>
          </w:tcPr>
          <w:p>
            <w:pPr>
              <w:spacing w:line="300" w:lineRule="exact"/>
              <w:jc w:val="left"/>
              <w:rPr>
                <w:rFonts w:hint="eastAsia" w:ascii="方正书宋_GBK" w:eastAsia="方正书宋_GBK"/>
                <w:b/>
              </w:rPr>
            </w:pPr>
          </w:p>
        </w:tc>
        <w:tc>
          <w:tcPr>
            <w:tcW w:w="12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农村公益电影放映完成率</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noWrap w:val="0"/>
            <w:vAlign w:val="center"/>
          </w:tcPr>
          <w:p>
            <w:pPr>
              <w:spacing w:line="300" w:lineRule="exact"/>
              <w:jc w:val="left"/>
              <w:rPr>
                <w:rFonts w:hint="eastAsia" w:ascii="方正书宋_GBK" w:eastAsia="方正书宋_GBK"/>
                <w:b/>
              </w:rPr>
            </w:pPr>
          </w:p>
        </w:tc>
        <w:tc>
          <w:tcPr>
            <w:tcW w:w="12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全民阅读活动任务完成率</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noWrap w:val="0"/>
            <w:vAlign w:val="center"/>
          </w:tcPr>
          <w:p>
            <w:pPr>
              <w:spacing w:line="300" w:lineRule="exact"/>
              <w:jc w:val="left"/>
              <w:rPr>
                <w:rFonts w:hint="eastAsia" w:ascii="方正书宋_GBK" w:eastAsia="方正书宋_GBK"/>
                <w:b/>
              </w:rPr>
            </w:pPr>
          </w:p>
        </w:tc>
        <w:tc>
          <w:tcPr>
            <w:tcW w:w="12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户户通工程任务完成率</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noWrap w:val="0"/>
            <w:vAlign w:val="center"/>
          </w:tcPr>
          <w:p>
            <w:pPr>
              <w:spacing w:line="300" w:lineRule="exact"/>
              <w:jc w:val="left"/>
              <w:rPr>
                <w:rFonts w:hint="eastAsia" w:ascii="方正书宋_GBK" w:eastAsia="方正书宋_GBK"/>
                <w:b/>
              </w:rPr>
            </w:pPr>
          </w:p>
        </w:tc>
        <w:tc>
          <w:tcPr>
            <w:tcW w:w="12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1417" w:type="dxa"/>
            <w:shd w:val="clear" w:color="auto" w:fill="auto"/>
            <w:noWrap w:val="0"/>
            <w:vAlign w:val="center"/>
          </w:tcPr>
          <w:p>
            <w:pPr>
              <w:spacing w:line="300" w:lineRule="exact"/>
              <w:jc w:val="left"/>
              <w:rPr>
                <w:rFonts w:hint="eastAsia"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noWrap w:val="0"/>
            <w:vAlign w:val="center"/>
          </w:tcPr>
          <w:p>
            <w:pPr>
              <w:spacing w:line="300" w:lineRule="exact"/>
              <w:jc w:val="left"/>
              <w:rPr>
                <w:rFonts w:hint="eastAsia" w:ascii="方正书宋_GBK" w:eastAsia="方正书宋_GBK"/>
                <w:b/>
              </w:rPr>
            </w:pPr>
          </w:p>
        </w:tc>
        <w:tc>
          <w:tcPr>
            <w:tcW w:w="12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1417" w:type="dxa"/>
            <w:shd w:val="clear" w:color="auto" w:fill="auto"/>
            <w:noWrap w:val="0"/>
            <w:vAlign w:val="center"/>
          </w:tcPr>
          <w:p>
            <w:pPr>
              <w:spacing w:line="300" w:lineRule="exact"/>
              <w:jc w:val="left"/>
              <w:rPr>
                <w:rFonts w:hint="eastAsia"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十五、环境污染综合防治</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贯彻落实大气、水体、固体废物、化学品、机动车等污染防治管理制度，开展饮用水水源地环境保护。</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加强大气、水体、机动车污染防治，加强固体废弃物、重金属等重点污染治理工程的防治工作。</w:t>
            </w:r>
          </w:p>
        </w:tc>
        <w:tc>
          <w:tcPr>
            <w:tcW w:w="1417" w:type="dxa"/>
            <w:shd w:val="clear" w:color="auto" w:fill="auto"/>
            <w:noWrap w:val="0"/>
            <w:vAlign w:val="center"/>
          </w:tcPr>
          <w:p>
            <w:pPr>
              <w:spacing w:line="300" w:lineRule="exact"/>
              <w:jc w:val="left"/>
              <w:rPr>
                <w:rFonts w:hint="eastAsia"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、大气污染防治</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重点对</w:t>
            </w:r>
            <w:r>
              <w:rPr>
                <w:rFonts w:ascii="方正书宋_GBK" w:eastAsia="方正书宋_GBK"/>
              </w:rPr>
              <w:t>PM</w:t>
            </w:r>
            <w:r>
              <w:rPr>
                <w:rFonts w:hint="eastAsia" w:ascii="方正书宋_GBK" w:eastAsia="方正书宋_GBK"/>
              </w:rPr>
              <w:t>、</w:t>
            </w:r>
            <w:r>
              <w:rPr>
                <w:rFonts w:ascii="方正书宋_GBK" w:eastAsia="方正书宋_GBK"/>
              </w:rPr>
              <w:t>VOC</w:t>
            </w:r>
            <w:r>
              <w:rPr>
                <w:rFonts w:hint="eastAsia" w:ascii="方正书宋_GBK" w:eastAsia="方正书宋_GBK"/>
              </w:rPr>
              <w:t>、二氧化硫等大气污染物进行综合防治，推动城镇环境空气质量改善。</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加强大气污染防治，推动乡镇环境空气质量改善。</w:t>
            </w:r>
          </w:p>
        </w:tc>
        <w:tc>
          <w:tcPr>
            <w:tcW w:w="1417"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VOC</w:t>
            </w:r>
            <w:r>
              <w:rPr>
                <w:rFonts w:hint="eastAsia" w:ascii="方正书宋_GBK" w:eastAsia="方正书宋_GBK"/>
              </w:rPr>
              <w:t>排放消减率</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十六、自然生态保护</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强化生态保护和监察监管，提高自然保护区建设水平，加强生物多样性保护力度，提升农村生态环境质量。</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加强自然生态保护</w:t>
            </w:r>
          </w:p>
        </w:tc>
        <w:tc>
          <w:tcPr>
            <w:tcW w:w="1417" w:type="dxa"/>
            <w:shd w:val="clear" w:color="auto" w:fill="auto"/>
            <w:noWrap w:val="0"/>
            <w:vAlign w:val="center"/>
          </w:tcPr>
          <w:p>
            <w:pPr>
              <w:spacing w:line="300" w:lineRule="exact"/>
              <w:jc w:val="left"/>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、农村环境综合整治</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解决影响群众生活和健康较为直接的饮用水安全保障、生活垃圾和污水治理、率领关于污染治理防治等突出环境问题，改善环境重点、敏感区域的农村人居和生态环境质量。</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解决农村区域性突出环境问题</w:t>
            </w:r>
          </w:p>
        </w:tc>
        <w:tc>
          <w:tcPr>
            <w:tcW w:w="141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试点、示范区域村庄污水处理率</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十七、信访问题处理</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50000.00</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负责正常信访、非访、突发性及群体性事件的办理；提供相关服务保障；协助区信访局处理群众进京上访；信访事项督查、复查、复核、听证。</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及时办理正常信访业务，妥善处置非访、突发性及群体性事件，对信访事项督查、复查、复核、听证。</w:t>
            </w:r>
          </w:p>
        </w:tc>
        <w:tc>
          <w:tcPr>
            <w:tcW w:w="1417" w:type="dxa"/>
            <w:shd w:val="clear" w:color="auto" w:fill="auto"/>
            <w:noWrap w:val="0"/>
            <w:vAlign w:val="center"/>
          </w:tcPr>
          <w:p>
            <w:pPr>
              <w:spacing w:line="300" w:lineRule="exact"/>
              <w:jc w:val="left"/>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、办理正常信访业务</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50000.00</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办理人民群众来信、来访、网上信访；处理乡镇群众进京上访。</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涉密</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涉密</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涉密</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涉密</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涉密</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十八、民兵训练和专武干部培训</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加强后备力量建设，培养</w:t>
            </w:r>
            <w:r>
              <w:rPr>
                <w:rFonts w:hint="cs" w:ascii="方正书宋_GBK" w:eastAsia="方正书宋_GBK"/>
              </w:rPr>
              <w:t>“</w:t>
            </w:r>
            <w:r>
              <w:rPr>
                <w:rFonts w:hint="eastAsia" w:ascii="方正书宋_GBK" w:eastAsia="方正书宋_GBK"/>
              </w:rPr>
              <w:t>劳武</w:t>
            </w:r>
            <w:r>
              <w:rPr>
                <w:rFonts w:hint="cs" w:ascii="方正书宋_GBK" w:eastAsia="方正书宋_GBK"/>
              </w:rPr>
              <w:t>”</w:t>
            </w:r>
            <w:r>
              <w:rPr>
                <w:rFonts w:hint="eastAsia" w:ascii="方正书宋_GBK" w:eastAsia="方正书宋_GBK"/>
              </w:rPr>
              <w:t>两用人才的人民武装建设的基地。</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贯彻</w:t>
            </w:r>
            <w:r>
              <w:rPr>
                <w:rFonts w:hint="cs" w:ascii="方正书宋_GBK" w:eastAsia="方正书宋_GBK"/>
              </w:rPr>
              <w:t>“</w:t>
            </w:r>
            <w:r>
              <w:rPr>
                <w:rFonts w:hint="eastAsia" w:ascii="方正书宋_GBK" w:eastAsia="方正书宋_GBK"/>
              </w:rPr>
              <w:t>严格训练、严格要求</w:t>
            </w:r>
            <w:r>
              <w:rPr>
                <w:rFonts w:hint="cs" w:ascii="方正书宋_GBK" w:eastAsia="方正书宋_GBK"/>
              </w:rPr>
              <w:t>”</w:t>
            </w:r>
            <w:r>
              <w:rPr>
                <w:rFonts w:hint="eastAsia" w:ascii="方正书宋_GBK" w:eastAsia="方正书宋_GBK"/>
              </w:rPr>
              <w:t>的方针，坚持规范训练，保证完成上级赋予人武干部、专武干部和基干民兵的轮训任务。因地制宜地抓好专业人才培训，充分发挥其战备效益和社会效益。实施岗位责任制，使设施、物资、场地和器材经常保持良好状态。</w:t>
            </w:r>
          </w:p>
        </w:tc>
        <w:tc>
          <w:tcPr>
            <w:tcW w:w="1417" w:type="dxa"/>
            <w:shd w:val="clear" w:color="auto" w:fill="auto"/>
            <w:noWrap w:val="0"/>
            <w:vAlign w:val="center"/>
          </w:tcPr>
          <w:p>
            <w:pPr>
              <w:spacing w:line="300" w:lineRule="exact"/>
              <w:jc w:val="left"/>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、民兵训练和专武干部培训</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根据上级要求，认真制定基干民兵和专武干部培训计划和方案，严格组织人员按质按量完成训练任务。保证装备器材的良好状态，随时执行紧急拉动和应急任务。</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涉密</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涉密</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涉密</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涉密</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涉密</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十九、义务教育</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60000.00</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以农村教育为重点，推进义务教育均衡发展，建立中小学校舍安全保障机制，改善薄弱学校办学条件，促进公共教育资源向农村和经济欠发达地区倾斜。</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提高义务教育公用经费保障水平，改善办学条件，均衡配置基础教育资源，缩小城乡、区域、校际之间办学差距，落实学生资助政策。</w:t>
            </w:r>
          </w:p>
        </w:tc>
        <w:tc>
          <w:tcPr>
            <w:tcW w:w="1417" w:type="dxa"/>
            <w:shd w:val="clear" w:color="auto" w:fill="auto"/>
            <w:noWrap w:val="0"/>
            <w:vAlign w:val="center"/>
          </w:tcPr>
          <w:p>
            <w:pPr>
              <w:spacing w:line="300" w:lineRule="exact"/>
              <w:jc w:val="left"/>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、改善薄弱学校办学条件</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60000.00</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保障义务教育阶段薄弱学校基本教学条件，改善学校生活设施，办好必要的教学点，解决乡镇学校大班额问题，推进农村学校教育信息化</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从</w:t>
            </w:r>
            <w:r>
              <w:rPr>
                <w:rFonts w:ascii="方正书宋_GBK" w:eastAsia="方正书宋_GBK"/>
              </w:rPr>
              <w:t>2014</w:t>
            </w:r>
            <w:r>
              <w:rPr>
                <w:rFonts w:hint="eastAsia" w:ascii="方正书宋_GBK" w:eastAsia="方正书宋_GBK"/>
              </w:rPr>
              <w:t>年开始，使贫困地区农村义务教育学校教学设施和生活设施满足基本生活需要，留守儿童学习和寄宿得到基本满足，中小学和教学点能够正常运转，乡镇超大班额现象基本消除，教师数量、素质、结构基本适应教学需要</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中小学生均校舍面积</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6</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5.5</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5</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二十、食品药品安全管理</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对食品制作流通各环节进行监管，及时发现和排除食品安全问题，确保大型活动期间的餐饮安全。</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通过对食品各个环节的强力监管，及时发现食品监管中存在的问题，重点做好重大活动和暑期食品安全保障。加强食品药品检验能力建设，并开展相关业务活动。客观公正地完成对本乡的食品药品安全工作考核评价，突发事件得到及时处置。</w:t>
            </w:r>
          </w:p>
        </w:tc>
        <w:tc>
          <w:tcPr>
            <w:tcW w:w="1417" w:type="dxa"/>
            <w:shd w:val="clear" w:color="auto" w:fill="auto"/>
            <w:noWrap w:val="0"/>
            <w:vAlign w:val="center"/>
          </w:tcPr>
          <w:p>
            <w:pPr>
              <w:spacing w:line="300" w:lineRule="exact"/>
              <w:jc w:val="left"/>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、食品（含保健品）安全监管</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通过对食品生产、流通、餐饮消费、保健食品的各个环节抽验和强力监管，及时发现和排除食品安全问题</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确保食品安全，重大活动和暑期食品不出现重大事故，保证人民群众饮食安全。不出现重大食品安全事故。</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重大食品事故案件（个）</w:t>
            </w:r>
          </w:p>
        </w:tc>
        <w:tc>
          <w:tcPr>
            <w:tcW w:w="737" w:type="dxa"/>
            <w:shd w:val="clear" w:color="auto" w:fill="auto"/>
            <w:noWrap w:val="0"/>
            <w:vAlign w:val="center"/>
          </w:tcPr>
          <w:p>
            <w:pPr>
              <w:spacing w:line="300" w:lineRule="exact"/>
              <w:jc w:val="center"/>
              <w:rPr>
                <w:rFonts w:hint="eastAsia" w:ascii="方正书宋_GBK" w:eastAsia="方正书宋_GBK"/>
              </w:rPr>
            </w:pPr>
            <w:r>
              <w:rPr>
                <w:rFonts w:ascii="方正书宋_GBK" w:eastAsia="方正书宋_GBK"/>
              </w:rPr>
              <w:t>0</w:t>
            </w:r>
          </w:p>
        </w:tc>
        <w:tc>
          <w:tcPr>
            <w:tcW w:w="737" w:type="dxa"/>
            <w:shd w:val="clear" w:color="auto" w:fill="auto"/>
            <w:noWrap w:val="0"/>
            <w:vAlign w:val="center"/>
          </w:tcPr>
          <w:p>
            <w:pPr>
              <w:spacing w:line="300" w:lineRule="exact"/>
              <w:jc w:val="center"/>
              <w:rPr>
                <w:rFonts w:hint="eastAsia" w:ascii="方正书宋_GBK" w:eastAsia="方正书宋_GBK"/>
              </w:rPr>
            </w:pPr>
            <w:r>
              <w:rPr>
                <w:rFonts w:ascii="方正书宋_GBK" w:eastAsia="方正书宋_GBK"/>
              </w:rPr>
              <w:t>1</w:t>
            </w:r>
          </w:p>
        </w:tc>
        <w:tc>
          <w:tcPr>
            <w:tcW w:w="737" w:type="dxa"/>
            <w:shd w:val="clear" w:color="auto" w:fill="auto"/>
            <w:noWrap w:val="0"/>
            <w:vAlign w:val="center"/>
          </w:tcPr>
          <w:p>
            <w:pPr>
              <w:spacing w:line="300" w:lineRule="exact"/>
              <w:jc w:val="center"/>
              <w:rPr>
                <w:rFonts w:hint="eastAsia" w:ascii="方正书宋_GBK" w:eastAsia="方正书宋_GBK"/>
              </w:rPr>
            </w:pPr>
            <w:r>
              <w:rPr>
                <w:rFonts w:ascii="方正书宋_GBK" w:eastAsia="方正书宋_GBK"/>
              </w:rPr>
              <w:t>2</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、重大活动餐饮服务食品安全保障</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规范重大活动餐饮服务单位食品安全监管，确保大型政治、经济、文化、体育活动及举办各类大型会议、展览会和赛事等活动期间的餐饮服务食品安全</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提升重大活动餐饮服务食品安全监管水平；规范重大活动餐饮服务单位食品安全监管</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重大活动餐饮服务接待单位预监督率</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100%</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、综合业务管理</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强化监管手段，组织开展食品药品科研项目、监督、检查、检测、案件处置、统计分析、信息公开、宣传教育等各项综合业务工作</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食品药品检验能力进一步提升，监管能力全面提升</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检验监测能力与检测需求比率相适应</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二十一、安全生产综合监督管理</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承担全乡安全生产综合监督管理责任，依法行使综合监督管理职权；根据《</w:t>
            </w:r>
            <w:r>
              <w:rPr>
                <w:rFonts w:hint="eastAsia" w:ascii="方正书宋_GBK" w:eastAsia="方正书宋_GBK"/>
                <w:lang w:eastAsia="zh-CN"/>
              </w:rPr>
              <w:t>中华人民共和国安全生产法</w:t>
            </w:r>
            <w:r>
              <w:rPr>
                <w:rFonts w:hint="eastAsia" w:ascii="方正书宋_GBK" w:eastAsia="方正书宋_GBK"/>
              </w:rPr>
              <w:t>》、《安全生产违法行为行政处罚办法》等法律法规，依法开展执法检查工作，对发现的安全生产违法行为依法进行行政处罚，遏制重特大事故发生，确保全乡安全生产形势稳定好转。</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对重点行业和作业场所职业卫生安全生产加强行政执法监察；开展重大危险源执法检查工作；开展安全事故检查及安全生产宣传教育活动；促进企业全面落实安全生产诚信管理。</w:t>
            </w:r>
          </w:p>
        </w:tc>
        <w:tc>
          <w:tcPr>
            <w:tcW w:w="1417" w:type="dxa"/>
            <w:shd w:val="clear" w:color="auto" w:fill="auto"/>
            <w:noWrap w:val="0"/>
            <w:vAlign w:val="center"/>
          </w:tcPr>
          <w:p>
            <w:pPr>
              <w:spacing w:line="300" w:lineRule="exact"/>
              <w:jc w:val="left"/>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、加强安全生产综合监督管理</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定期组织在乡镇内开展安全生产检查活动，对重点行业和作业场所职业卫生安全生产进行检查；不断加强安全生产监管能力建设；组织开展安全生产教育活动，促进企业全面落实安全生产诚信管理。</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通过检查安全生产，最大限度地发现、纠正、督促企业消除各类隐患，预防和减少事故的发生，确保乡安全生产形势持续稳定好转，加大安全生产宣传和信息公开力度，提高全社会产意识。</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检查覆盖率</w:t>
            </w:r>
          </w:p>
        </w:tc>
        <w:tc>
          <w:tcPr>
            <w:tcW w:w="737" w:type="dxa"/>
            <w:shd w:val="clear" w:color="auto" w:fill="auto"/>
            <w:noWrap w:val="0"/>
            <w:vAlign w:val="center"/>
          </w:tcPr>
          <w:p>
            <w:pPr>
              <w:spacing w:line="300" w:lineRule="exact"/>
              <w:jc w:val="center"/>
              <w:rPr>
                <w:rFonts w:hint="eastAsia" w:ascii="方正书宋_GBK" w:eastAsia="方正书宋_GBK"/>
              </w:rPr>
            </w:pPr>
            <w:r>
              <w:rPr>
                <w:rFonts w:ascii="方正书宋_GBK" w:eastAsia="方正书宋_GBK"/>
              </w:rPr>
              <w:t>100%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、加强重大危险源安全管理</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加强重大危险源的监测、监控、辨识与评估及登记建档、备案与核销等安全管理；开展重大危险源执法检查工作。</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科学准确进行重大危险源等级界定；有效开展监测数据的综合分析、数据发布工作；督促企业切实加强危险源监控，有效治理隐患，落实监管责任。</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专项检查次数</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4</w:t>
            </w:r>
          </w:p>
        </w:tc>
        <w:tc>
          <w:tcPr>
            <w:tcW w:w="737" w:type="dxa"/>
            <w:shd w:val="clear" w:color="auto" w:fill="auto"/>
            <w:noWrap w:val="0"/>
            <w:vAlign w:val="center"/>
          </w:tcPr>
          <w:p>
            <w:pPr>
              <w:spacing w:line="300" w:lineRule="exact"/>
              <w:jc w:val="center"/>
              <w:rPr>
                <w:rFonts w:hint="eastAsia" w:ascii="方正书宋_GBK" w:eastAsia="方正书宋_GBK"/>
              </w:rPr>
            </w:pPr>
            <w:r>
              <w:rPr>
                <w:rFonts w:ascii="方正书宋_GBK" w:eastAsia="方正书宋_GBK"/>
              </w:rPr>
              <w:t>3</w:t>
            </w:r>
          </w:p>
        </w:tc>
        <w:tc>
          <w:tcPr>
            <w:tcW w:w="737" w:type="dxa"/>
            <w:shd w:val="clear" w:color="auto" w:fill="auto"/>
            <w:noWrap w:val="0"/>
            <w:vAlign w:val="center"/>
          </w:tcPr>
          <w:p>
            <w:pPr>
              <w:spacing w:line="300" w:lineRule="exact"/>
              <w:jc w:val="center"/>
              <w:rPr>
                <w:rFonts w:hint="eastAsia" w:ascii="方正书宋_GBK" w:eastAsia="方正书宋_GBK"/>
              </w:rPr>
            </w:pPr>
            <w:r>
              <w:rPr>
                <w:rFonts w:ascii="方正书宋_GBK" w:eastAsia="方正书宋_GBK"/>
              </w:rPr>
              <w:t>2</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二十二、防灾减灾救灾</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组织开展乡镇防灾减灾救灾工作；组织救灾捐赠工作，负责救灾捐赠款物的接收和分配。</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实施分类救助，保障受灾群众基本生活。</w:t>
            </w:r>
          </w:p>
        </w:tc>
        <w:tc>
          <w:tcPr>
            <w:tcW w:w="1417" w:type="dxa"/>
            <w:shd w:val="clear" w:color="auto" w:fill="auto"/>
            <w:noWrap w:val="0"/>
            <w:vAlign w:val="center"/>
          </w:tcPr>
          <w:p>
            <w:pPr>
              <w:spacing w:line="300" w:lineRule="exact"/>
              <w:jc w:val="left"/>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、防灾减灾及救灾准备</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组织乡级防灾减灾及救灾活动；提高专业队伍业务素质。</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提高公民避灾自救能力和防灾减灾意识，提升重大自然灾害防御能力；提高专业队伍业务素质；保障上级救灾物资及时组织发放，提高抗灾水平。</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组织防灾减灾及救灾准备活动次数（次）</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2</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2</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w:t>
            </w:r>
          </w:p>
        </w:tc>
        <w:tc>
          <w:tcPr>
            <w:tcW w:w="737" w:type="dxa"/>
            <w:shd w:val="clear" w:color="auto" w:fill="auto"/>
            <w:noWrap w:val="0"/>
            <w:vAlign w:val="center"/>
          </w:tcPr>
          <w:p>
            <w:pPr>
              <w:spacing w:line="300" w:lineRule="exact"/>
              <w:jc w:val="center"/>
              <w:rPr>
                <w:rFonts w:hint="eastAsia"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、灾民救助</w:t>
            </w:r>
          </w:p>
        </w:tc>
        <w:tc>
          <w:tcPr>
            <w:tcW w:w="1276" w:type="dxa"/>
            <w:vMerge w:val="restart"/>
            <w:shd w:val="clear" w:color="auto" w:fill="auto"/>
            <w:noWrap w:val="0"/>
            <w:vAlign w:val="center"/>
          </w:tcPr>
          <w:p>
            <w:pPr>
              <w:spacing w:line="300" w:lineRule="exact"/>
              <w:jc w:val="left"/>
              <w:rPr>
                <w:rFonts w:ascii="方正书宋_GBK" w:eastAsia="方正书宋_GBK"/>
              </w:rPr>
            </w:pPr>
          </w:p>
        </w:tc>
        <w:tc>
          <w:tcPr>
            <w:tcW w:w="2976" w:type="dxa"/>
            <w:vMerge w:val="restar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统计、汇总、核查、会商灾情，统一发布灾情；组织协调紧急转移安置灾民；承办救灾款物分配和监管，物资调运，组织民房恢复重建及灾民生活救助，指导紧急救灾和灾后生产恢复。</w:t>
            </w:r>
          </w:p>
        </w:tc>
        <w:tc>
          <w:tcPr>
            <w:tcW w:w="2976" w:type="dxa"/>
            <w:vMerge w:val="restart"/>
            <w:shd w:val="clear" w:color="auto" w:fill="auto"/>
            <w:noWrap w:val="0"/>
            <w:vAlign w:val="center"/>
          </w:tcPr>
          <w:p>
            <w:pPr>
              <w:spacing w:line="300" w:lineRule="exact"/>
              <w:jc w:val="left"/>
              <w:rPr>
                <w:rFonts w:hint="eastAsia" w:ascii="方正书宋_GBK" w:eastAsia="方正书宋_GBK"/>
              </w:rPr>
            </w:pP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救灾措施到位率</w:t>
            </w:r>
          </w:p>
        </w:tc>
        <w:tc>
          <w:tcPr>
            <w:tcW w:w="737" w:type="dxa"/>
            <w:shd w:val="clear" w:color="auto" w:fill="auto"/>
            <w:noWrap w:val="0"/>
            <w:vAlign w:val="center"/>
          </w:tcPr>
          <w:p>
            <w:pPr>
              <w:spacing w:line="300" w:lineRule="exact"/>
              <w:jc w:val="center"/>
              <w:rPr>
                <w:rFonts w:hint="eastAsia" w:ascii="方正书宋_GBK" w:eastAsia="方正书宋_GBK"/>
              </w:rPr>
            </w:pPr>
            <w:r>
              <w:rPr>
                <w:rFonts w:ascii="方正书宋_GBK" w:eastAsia="方正书宋_GBK"/>
              </w:rPr>
              <w:t>100%</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noWrap w:val="0"/>
            <w:vAlign w:val="center"/>
          </w:tcPr>
          <w:p>
            <w:pPr>
              <w:spacing w:line="300" w:lineRule="exact"/>
              <w:jc w:val="left"/>
              <w:rPr>
                <w:rFonts w:hint="eastAsia" w:ascii="方正书宋_GBK" w:eastAsia="方正书宋_GBK"/>
                <w:b/>
              </w:rPr>
            </w:pPr>
          </w:p>
        </w:tc>
        <w:tc>
          <w:tcPr>
            <w:tcW w:w="12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突发灾害报灾时效性和准确性</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12</w:t>
            </w:r>
            <w:r>
              <w:rPr>
                <w:rFonts w:hint="eastAsia" w:ascii="方正书宋_GBK" w:eastAsia="方正书宋_GBK"/>
              </w:rPr>
              <w:t>小时内，准确度</w:t>
            </w:r>
            <w:r>
              <w:rPr>
                <w:rFonts w:ascii="方正书宋_GBK" w:eastAsia="方正书宋_GBK"/>
              </w:rPr>
              <w:t>98%</w:t>
            </w:r>
            <w:r>
              <w:rPr>
                <w:rFonts w:hint="eastAsia" w:ascii="方正书宋_GBK" w:eastAsia="方正书宋_GBK"/>
              </w:rPr>
              <w:t>及以上</w:t>
            </w:r>
          </w:p>
        </w:tc>
        <w:tc>
          <w:tcPr>
            <w:tcW w:w="737" w:type="dxa"/>
            <w:shd w:val="clear" w:color="auto" w:fill="auto"/>
            <w:noWrap w:val="0"/>
            <w:vAlign w:val="center"/>
          </w:tcPr>
          <w:p>
            <w:pPr>
              <w:spacing w:line="300" w:lineRule="exact"/>
              <w:jc w:val="center"/>
              <w:rPr>
                <w:rFonts w:hint="eastAsia" w:ascii="方正书宋_GBK" w:eastAsia="方正书宋_GBK"/>
              </w:rPr>
            </w:pPr>
            <w:r>
              <w:rPr>
                <w:rFonts w:ascii="方正书宋_GBK" w:eastAsia="方正书宋_GBK"/>
              </w:rPr>
              <w:t>24</w:t>
            </w:r>
            <w:r>
              <w:rPr>
                <w:rFonts w:hint="eastAsia" w:ascii="方正书宋_GBK" w:eastAsia="方正书宋_GBK"/>
              </w:rPr>
              <w:t>小内，准确度</w:t>
            </w:r>
            <w:r>
              <w:rPr>
                <w:rFonts w:ascii="方正书宋_GBK" w:eastAsia="方正书宋_GBK"/>
              </w:rPr>
              <w:t>95%</w:t>
            </w:r>
            <w:r>
              <w:rPr>
                <w:rFonts w:hint="eastAsia" w:ascii="方正书宋_GBK" w:eastAsia="方正书宋_GBK"/>
              </w:rPr>
              <w:t>及以上</w:t>
            </w:r>
          </w:p>
        </w:tc>
        <w:tc>
          <w:tcPr>
            <w:tcW w:w="737" w:type="dxa"/>
            <w:shd w:val="clear" w:color="auto" w:fill="auto"/>
            <w:noWrap w:val="0"/>
            <w:vAlign w:val="center"/>
          </w:tcPr>
          <w:p>
            <w:pPr>
              <w:spacing w:line="300" w:lineRule="exact"/>
              <w:jc w:val="center"/>
              <w:rPr>
                <w:rFonts w:hint="eastAsia" w:ascii="方正书宋_GBK" w:eastAsia="方正书宋_GBK"/>
              </w:rPr>
            </w:pPr>
            <w:r>
              <w:rPr>
                <w:rFonts w:ascii="方正书宋_GBK" w:eastAsia="方正书宋_GBK"/>
              </w:rPr>
              <w:t>24</w:t>
            </w:r>
            <w:r>
              <w:rPr>
                <w:rFonts w:hint="eastAsia" w:ascii="方正书宋_GBK" w:eastAsia="方正书宋_GBK"/>
              </w:rPr>
              <w:t>小计内，准确度</w:t>
            </w:r>
            <w:r>
              <w:rPr>
                <w:rFonts w:ascii="方正书宋_GBK" w:eastAsia="方正书宋_GBK"/>
              </w:rPr>
              <w:t>90%</w:t>
            </w:r>
            <w:r>
              <w:rPr>
                <w:rFonts w:hint="eastAsia" w:ascii="方正书宋_GBK" w:eastAsia="方正书宋_GBK"/>
              </w:rPr>
              <w:t>及以上</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超出</w:t>
            </w:r>
            <w:r>
              <w:rPr>
                <w:rFonts w:ascii="方正书宋_GBK" w:eastAsia="方正书宋_GBK"/>
              </w:rPr>
              <w:t>24</w:t>
            </w:r>
            <w:r>
              <w:rPr>
                <w:rFonts w:hint="eastAsia" w:ascii="方正书宋_GBK" w:eastAsia="方正书宋_GBK"/>
              </w:rPr>
              <w:t>小时，准确度低于</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二十三、扶持农产品生产</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对生产者采取直接补贴的办法，支持推广优良品种、先进适用种养技术，实施科学管理，提高农产品质量、产量，提高生产经营效益。</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提高农产品产量和质量，优化农业产业结构，提高经济效益，增加农业收入。</w:t>
            </w:r>
          </w:p>
        </w:tc>
        <w:tc>
          <w:tcPr>
            <w:tcW w:w="1417" w:type="dxa"/>
            <w:shd w:val="clear" w:color="auto" w:fill="auto"/>
            <w:noWrap w:val="0"/>
            <w:vAlign w:val="center"/>
          </w:tcPr>
          <w:p>
            <w:pPr>
              <w:spacing w:line="300" w:lineRule="exact"/>
              <w:jc w:val="left"/>
              <w:rPr>
                <w:rFonts w:hint="eastAsia"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、实施良种补贴</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按照国家、省部署，对全乡主要粮食作物和猪、牛、羊、鸡等畜产品生产实施良种补贴。</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小麦、玉米、水稻、棉花良种补贴全覆盖。畜牧、水产品种优良化率持续提高</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良种补贴覆盖率</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、实施菜篮子工程</w:t>
            </w:r>
          </w:p>
        </w:tc>
        <w:tc>
          <w:tcPr>
            <w:tcW w:w="1276" w:type="dxa"/>
            <w:vMerge w:val="restart"/>
            <w:shd w:val="clear" w:color="auto" w:fill="auto"/>
            <w:noWrap w:val="0"/>
            <w:vAlign w:val="center"/>
          </w:tcPr>
          <w:p>
            <w:pPr>
              <w:spacing w:line="300" w:lineRule="exact"/>
              <w:jc w:val="left"/>
              <w:rPr>
                <w:rFonts w:ascii="方正书宋_GBK" w:eastAsia="方正书宋_GBK"/>
              </w:rPr>
            </w:pPr>
          </w:p>
        </w:tc>
        <w:tc>
          <w:tcPr>
            <w:tcW w:w="2976" w:type="dxa"/>
            <w:vMerge w:val="restar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重点扶持一批有规模、生产技术基础好、区域优势突出、在增加产量和提高质量上有示范带动作用的农产品生产基地。通过改善生产条件，加强产品质量管理，强化品牌建设，大力推进标准化、集约化、现代化生产。</w:t>
            </w:r>
          </w:p>
        </w:tc>
        <w:tc>
          <w:tcPr>
            <w:tcW w:w="2976" w:type="dxa"/>
            <w:vMerge w:val="restart"/>
            <w:shd w:val="clear" w:color="auto" w:fill="auto"/>
            <w:noWrap w:val="0"/>
            <w:vAlign w:val="center"/>
          </w:tcPr>
          <w:p>
            <w:pPr>
              <w:spacing w:line="300" w:lineRule="exact"/>
              <w:jc w:val="left"/>
              <w:rPr>
                <w:rFonts w:hint="eastAsia" w:ascii="方正书宋_GBK" w:eastAsia="方正书宋_GBK"/>
              </w:rPr>
            </w:pP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按要求完成畜禽标准化健康养殖规模场改造计划</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noWrap w:val="0"/>
            <w:vAlign w:val="center"/>
          </w:tcPr>
          <w:p>
            <w:pPr>
              <w:spacing w:line="300" w:lineRule="exact"/>
              <w:jc w:val="left"/>
              <w:rPr>
                <w:rFonts w:hint="eastAsia" w:ascii="方正书宋_GBK" w:eastAsia="方正书宋_GBK"/>
                <w:b/>
              </w:rPr>
            </w:pPr>
          </w:p>
        </w:tc>
        <w:tc>
          <w:tcPr>
            <w:tcW w:w="12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蔬菜标准园创建完成率</w:t>
            </w:r>
          </w:p>
        </w:tc>
        <w:tc>
          <w:tcPr>
            <w:tcW w:w="737" w:type="dxa"/>
            <w:shd w:val="clear" w:color="auto" w:fill="auto"/>
            <w:noWrap w:val="0"/>
            <w:vAlign w:val="center"/>
          </w:tcPr>
          <w:p>
            <w:pPr>
              <w:spacing w:line="300" w:lineRule="exact"/>
              <w:jc w:val="center"/>
              <w:rPr>
                <w:rFonts w:hint="eastAsia" w:ascii="方正书宋_GBK" w:eastAsia="方正书宋_GBK"/>
              </w:rPr>
            </w:pPr>
            <w:r>
              <w:rPr>
                <w:rFonts w:ascii="方正书宋_GBK" w:eastAsia="方正书宋_GBK"/>
              </w:rPr>
              <w:t>100%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二十四、完善农村经营管理体制</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推进农村集体产权制度改革，完善农村土地承包制度，引导农村土地合理流转。创新农业经营主体。</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规范流转行为，优化资源配置，促进农民专业合作经济组织健康发展，加快新农村建设和城镇化进程。</w:t>
            </w:r>
          </w:p>
        </w:tc>
        <w:tc>
          <w:tcPr>
            <w:tcW w:w="1417" w:type="dxa"/>
            <w:shd w:val="clear" w:color="auto" w:fill="auto"/>
            <w:noWrap w:val="0"/>
            <w:vAlign w:val="center"/>
          </w:tcPr>
          <w:p>
            <w:pPr>
              <w:spacing w:line="300" w:lineRule="exact"/>
              <w:jc w:val="left"/>
              <w:rPr>
                <w:rFonts w:hint="eastAsia"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、促进土地流转</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建设土地流转有形市场</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指导全乡建立运转顺畅、便捷高效的农村土地承包经营权流转服务平台，带动土地流转依法、有序开展</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土地流转提高率</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1.5%</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1.3%</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1.1%</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、土地确权登记</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根据国家要求开展农村土地承包经营确权登记试点，并逐步向全乡全面推开。</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完成全乡耕地面积</w:t>
            </w:r>
            <w:r>
              <w:rPr>
                <w:rFonts w:ascii="方正书宋_GBK" w:eastAsia="方正书宋_GBK"/>
              </w:rPr>
              <w:t>50%</w:t>
            </w:r>
            <w:r>
              <w:rPr>
                <w:rFonts w:hint="eastAsia" w:ascii="方正书宋_GBK" w:eastAsia="方正书宋_GBK"/>
              </w:rPr>
              <w:t>的确权登记颁证目标</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农村土地承包土地确权登记颁证率</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50%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45%</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40%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、农村经营管理</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支持农民专业合作组织规范、健康发展。建立健全农村集体</w:t>
            </w:r>
            <w:r>
              <w:rPr>
                <w:rFonts w:hint="cs" w:ascii="方正书宋_GBK" w:eastAsia="方正书宋_GBK"/>
              </w:rPr>
              <w:t>“</w:t>
            </w:r>
            <w:r>
              <w:rPr>
                <w:rFonts w:hint="eastAsia" w:ascii="方正书宋_GBK" w:eastAsia="方正书宋_GBK"/>
              </w:rPr>
              <w:t>三资</w:t>
            </w:r>
            <w:r>
              <w:rPr>
                <w:rFonts w:hint="cs" w:ascii="方正书宋_GBK" w:eastAsia="方正书宋_GBK"/>
              </w:rPr>
              <w:t>”</w:t>
            </w:r>
            <w:r>
              <w:rPr>
                <w:rFonts w:hint="eastAsia" w:ascii="方正书宋_GBK" w:eastAsia="方正书宋_GBK"/>
              </w:rPr>
              <w:t>管理制度，盘活集体存量资产资源，拓宽集体增收渠道，促进农村集体资产保值增值。</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健全农村集体</w:t>
            </w:r>
            <w:r>
              <w:rPr>
                <w:rFonts w:hint="cs" w:ascii="方正书宋_GBK" w:eastAsia="方正书宋_GBK"/>
              </w:rPr>
              <w:t>“</w:t>
            </w:r>
            <w:r>
              <w:rPr>
                <w:rFonts w:hint="eastAsia" w:ascii="方正书宋_GBK" w:eastAsia="方正书宋_GBK"/>
              </w:rPr>
              <w:t>三资</w:t>
            </w:r>
            <w:r>
              <w:rPr>
                <w:rFonts w:hint="cs" w:ascii="方正书宋_GBK" w:eastAsia="方正书宋_GBK"/>
              </w:rPr>
              <w:t>”</w:t>
            </w:r>
            <w:r>
              <w:rPr>
                <w:rFonts w:hint="eastAsia" w:ascii="方正书宋_GBK" w:eastAsia="方正书宋_GBK"/>
              </w:rPr>
              <w:t>管理制度，指导农村经济组织健康、规范发展。</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村集体经济业务规范率</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二十五、林业生态建设</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贯彻执行国家、省、关于林业及其生态建设的方针、政策和法律法规；组织落实林业及其生态环境建设、森林资源保护、国土绿化、荒漠化防治和林业产业发展的政策，并组织实施监督和检查，组织开展森林资源、承担林业生态文明建设的有关工作</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完成国家下达和省委省政府制定的造林任务及全区森林覆盖率考核目标。有效改善生态环境。</w:t>
            </w:r>
          </w:p>
        </w:tc>
        <w:tc>
          <w:tcPr>
            <w:tcW w:w="1417" w:type="dxa"/>
            <w:shd w:val="clear" w:color="auto" w:fill="auto"/>
            <w:noWrap w:val="0"/>
            <w:vAlign w:val="center"/>
          </w:tcPr>
          <w:p>
            <w:pPr>
              <w:spacing w:line="300" w:lineRule="exact"/>
              <w:jc w:val="left"/>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、造林绿化</w:t>
            </w:r>
          </w:p>
        </w:tc>
        <w:tc>
          <w:tcPr>
            <w:tcW w:w="1276" w:type="dxa"/>
            <w:vMerge w:val="restart"/>
            <w:shd w:val="clear" w:color="auto" w:fill="auto"/>
            <w:noWrap w:val="0"/>
            <w:vAlign w:val="center"/>
          </w:tcPr>
          <w:p>
            <w:pPr>
              <w:spacing w:line="300" w:lineRule="exact"/>
              <w:jc w:val="left"/>
              <w:rPr>
                <w:rFonts w:ascii="方正书宋_GBK" w:eastAsia="方正书宋_GBK"/>
              </w:rPr>
            </w:pPr>
          </w:p>
        </w:tc>
        <w:tc>
          <w:tcPr>
            <w:tcW w:w="2976" w:type="dxa"/>
            <w:vMerge w:val="restar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贯彻落实国家、省有关标准和规程，指导公益林和商品林的培育，指导植树和造林绿化工作。承担乡镇绿化的日常工作</w:t>
            </w:r>
          </w:p>
        </w:tc>
        <w:tc>
          <w:tcPr>
            <w:tcW w:w="2976" w:type="dxa"/>
            <w:vMerge w:val="restart"/>
            <w:shd w:val="clear" w:color="auto" w:fill="auto"/>
            <w:noWrap w:val="0"/>
            <w:vAlign w:val="center"/>
          </w:tcPr>
          <w:p>
            <w:pPr>
              <w:spacing w:line="300" w:lineRule="exact"/>
              <w:jc w:val="left"/>
              <w:rPr>
                <w:rFonts w:hint="eastAsia" w:ascii="方正书宋_GBK" w:eastAsia="方正书宋_GBK"/>
              </w:rPr>
            </w:pP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森林覆盖率提高</w:t>
            </w:r>
            <w:r>
              <w:rPr>
                <w:rFonts w:ascii="方正书宋_GBK" w:eastAsia="方正书宋_GBK"/>
              </w:rPr>
              <w:t>1</w:t>
            </w:r>
            <w:r>
              <w:rPr>
                <w:rFonts w:hint="eastAsia" w:ascii="方正书宋_GBK" w:eastAsia="方正书宋_GBK"/>
              </w:rPr>
              <w:t>个百分点</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0.8%</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0.6%</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noWrap w:val="0"/>
            <w:vAlign w:val="center"/>
          </w:tcPr>
          <w:p>
            <w:pPr>
              <w:spacing w:line="300" w:lineRule="exact"/>
              <w:jc w:val="left"/>
              <w:rPr>
                <w:rFonts w:hint="eastAsia" w:ascii="方正书宋_GBK" w:eastAsia="方正书宋_GBK"/>
                <w:b/>
              </w:rPr>
            </w:pPr>
          </w:p>
        </w:tc>
        <w:tc>
          <w:tcPr>
            <w:tcW w:w="12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全乡镇完成年初造林绿化任务</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二十六、推进新农村建设</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通过实施农村面貌改造提升行动，加快建设社会主义新农村。</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通过实施农村面貌改造提升行动和开展新民居中心村示范点建设，加快建设社会主义新农村。改善农村环境面貌，提升农民生产生活条件。</w:t>
            </w:r>
          </w:p>
        </w:tc>
        <w:tc>
          <w:tcPr>
            <w:tcW w:w="1417" w:type="dxa"/>
            <w:shd w:val="clear" w:color="auto" w:fill="auto"/>
            <w:noWrap w:val="0"/>
            <w:vAlign w:val="center"/>
          </w:tcPr>
          <w:p>
            <w:pPr>
              <w:spacing w:line="300" w:lineRule="exact"/>
              <w:jc w:val="left"/>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、农村面貌改造提升</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按照统筹城乡发展要求，以</w:t>
            </w:r>
            <w:r>
              <w:rPr>
                <w:rFonts w:hint="cs" w:ascii="方正书宋_GBK" w:eastAsia="方正书宋_GBK"/>
              </w:rPr>
              <w:t>“</w:t>
            </w:r>
            <w:r>
              <w:rPr>
                <w:rFonts w:hint="eastAsia" w:ascii="方正书宋_GBK" w:eastAsia="方正书宋_GBK"/>
              </w:rPr>
              <w:t>保持田园风光、增加现代设施、绿化村落庭院、传承优秀文化</w:t>
            </w:r>
            <w:r>
              <w:rPr>
                <w:rFonts w:hint="cs" w:ascii="方正书宋_GBK" w:eastAsia="方正书宋_GBK"/>
              </w:rPr>
              <w:t>”</w:t>
            </w:r>
            <w:r>
              <w:rPr>
                <w:rFonts w:hint="eastAsia" w:ascii="方正书宋_GBK" w:eastAsia="方正书宋_GBK"/>
              </w:rPr>
              <w:t>为重点，组织实施农村面貌改造提升行动。</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围绕农村改造</w:t>
            </w:r>
            <w:r>
              <w:rPr>
                <w:rFonts w:ascii="方正书宋_GBK" w:eastAsia="方正书宋_GBK"/>
              </w:rPr>
              <w:t>15</w:t>
            </w:r>
            <w:r>
              <w:rPr>
                <w:rFonts w:hint="eastAsia" w:ascii="方正书宋_GBK" w:eastAsia="方正书宋_GBK"/>
              </w:rPr>
              <w:t>件实事，突出重点，因地制宜，开展农村面貌改造提升。按照分期分批推进的要求，每年选定一批重点村实施改造提升。</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重点村改造提升完成率</w:t>
            </w:r>
          </w:p>
        </w:tc>
        <w:tc>
          <w:tcPr>
            <w:tcW w:w="737" w:type="dxa"/>
            <w:shd w:val="clear" w:color="auto" w:fill="auto"/>
            <w:noWrap w:val="0"/>
            <w:vAlign w:val="center"/>
          </w:tcPr>
          <w:p>
            <w:pPr>
              <w:spacing w:line="300" w:lineRule="exact"/>
              <w:jc w:val="center"/>
              <w:rPr>
                <w:rFonts w:hint="eastAsia" w:ascii="方正书宋_GBK" w:eastAsia="方正书宋_GBK"/>
              </w:rPr>
            </w:pPr>
            <w:r>
              <w:rPr>
                <w:rFonts w:ascii="方正书宋_GBK" w:eastAsia="方正书宋_GBK"/>
              </w:rPr>
              <w:t>100%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、美丽乡村建设</w:t>
            </w:r>
          </w:p>
        </w:tc>
        <w:tc>
          <w:tcPr>
            <w:tcW w:w="1276" w:type="dxa"/>
            <w:vMerge w:val="restart"/>
            <w:shd w:val="clear" w:color="auto" w:fill="auto"/>
            <w:noWrap w:val="0"/>
            <w:vAlign w:val="center"/>
          </w:tcPr>
          <w:p>
            <w:pPr>
              <w:spacing w:line="300" w:lineRule="exact"/>
              <w:jc w:val="left"/>
              <w:rPr>
                <w:rFonts w:ascii="方正书宋_GBK" w:eastAsia="方正书宋_GBK"/>
              </w:rPr>
            </w:pPr>
          </w:p>
        </w:tc>
        <w:tc>
          <w:tcPr>
            <w:tcW w:w="2976" w:type="dxa"/>
            <w:vMerge w:val="restar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按照市、县统筹城乡发展的要求，以</w:t>
            </w:r>
            <w:r>
              <w:rPr>
                <w:rFonts w:hint="cs" w:ascii="方正书宋_GBK" w:eastAsia="方正书宋_GBK"/>
              </w:rPr>
              <w:t>“</w:t>
            </w:r>
            <w:r>
              <w:rPr>
                <w:rFonts w:hint="eastAsia" w:ascii="方正书宋_GBK" w:eastAsia="方正书宋_GBK"/>
              </w:rPr>
              <w:t>环境美、产业美、精神美、生态美</w:t>
            </w:r>
            <w:r>
              <w:rPr>
                <w:rFonts w:hint="cs" w:ascii="方正书宋_GBK" w:eastAsia="方正书宋_GBK"/>
              </w:rPr>
              <w:t>”</w:t>
            </w:r>
            <w:r>
              <w:rPr>
                <w:rFonts w:hint="eastAsia" w:ascii="方正书宋_GBK" w:eastAsia="方正书宋_GBK"/>
              </w:rPr>
              <w:t>为重点，大力推进美丽乡村建设。</w:t>
            </w:r>
          </w:p>
        </w:tc>
        <w:tc>
          <w:tcPr>
            <w:tcW w:w="2976" w:type="dxa"/>
            <w:vMerge w:val="restart"/>
            <w:shd w:val="clear" w:color="auto" w:fill="auto"/>
            <w:noWrap w:val="0"/>
            <w:vAlign w:val="center"/>
          </w:tcPr>
          <w:p>
            <w:pPr>
              <w:spacing w:line="300" w:lineRule="exact"/>
              <w:jc w:val="left"/>
              <w:rPr>
                <w:rFonts w:hint="eastAsia" w:ascii="方正书宋_GBK" w:eastAsia="方正书宋_GBK"/>
              </w:rPr>
            </w:pP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美丽乡村建设重点村任务完成率</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noWrap w:val="0"/>
            <w:vAlign w:val="center"/>
          </w:tcPr>
          <w:p>
            <w:pPr>
              <w:spacing w:line="300" w:lineRule="exact"/>
              <w:jc w:val="left"/>
              <w:rPr>
                <w:rFonts w:hint="eastAsia" w:ascii="方正书宋_GBK" w:eastAsia="方正书宋_GBK"/>
                <w:b/>
              </w:rPr>
            </w:pPr>
          </w:p>
        </w:tc>
        <w:tc>
          <w:tcPr>
            <w:tcW w:w="12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村民满意度</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60%</w:t>
            </w:r>
          </w:p>
        </w:tc>
      </w:tr>
    </w:tbl>
    <w:p>
      <w:pPr>
        <w:spacing w:line="300" w:lineRule="exact"/>
        <w:jc w:val="left"/>
        <w:outlineLvl w:val="0"/>
        <w:sectPr>
          <w:pgSz w:w="16839" w:h="11907" w:orient="landscape"/>
          <w:pgMar w:top="1020" w:right="1361" w:bottom="1020" w:left="1361" w:header="851" w:footer="992" w:gutter="0"/>
          <w:cols w:space="425" w:num="1"/>
          <w:docGrid w:type="lines" w:linePitch="312" w:charSpace="0"/>
        </w:sectPr>
      </w:pPr>
    </w:p>
    <w:p>
      <w:pPr>
        <w:spacing w:line="300" w:lineRule="exact"/>
        <w:jc w:val="left"/>
        <w:outlineLvl w:val="0"/>
        <w:rPr>
          <w:rFonts w:ascii="楷体" w:hAnsi="楷体" w:eastAsia="楷体"/>
        </w:rPr>
        <w:sectPr>
          <w:pgSz w:w="16839" w:h="11907" w:orient="landscape"/>
          <w:pgMar w:top="1020" w:right="1361" w:bottom="1020" w:left="1361" w:header="851" w:footer="992" w:gutter="0"/>
          <w:cols w:space="720" w:num="1"/>
          <w:docGrid w:type="lines" w:linePitch="312" w:charSpace="0"/>
        </w:sectPr>
      </w:pPr>
    </w:p>
    <w:p>
      <w:pPr>
        <w:ind w:firstLine="1751" w:firstLineChars="545"/>
        <w:outlineLvl w:val="0"/>
        <w:rPr>
          <w:rFonts w:hint="eastAsia" w:ascii="楷体" w:hAnsi="楷体" w:eastAsia="楷体" w:cs="楷体"/>
          <w:b/>
          <w:bCs/>
          <w:sz w:val="32"/>
          <w:szCs w:val="32"/>
        </w:rPr>
      </w:pPr>
      <w:bookmarkStart w:id="2" w:name="_Toc3295340"/>
      <w:r>
        <w:rPr>
          <w:rFonts w:hint="eastAsia" w:ascii="楷体" w:hAnsi="楷体" w:eastAsia="楷体" w:cs="楷体"/>
          <w:b/>
          <w:bCs/>
          <w:sz w:val="32"/>
          <w:szCs w:val="32"/>
        </w:rPr>
        <w:t>第六部分：政府采购预算情况</w:t>
      </w:r>
    </w:p>
    <w:p>
      <w:pPr>
        <w:ind w:firstLine="480" w:firstLineChars="150"/>
        <w:jc w:val="left"/>
        <w:outlineLvl w:val="0"/>
        <w:rPr>
          <w:rFonts w:ascii="楷体" w:hAnsi="楷体" w:eastAsia="楷体" w:cs="楷体"/>
          <w:sz w:val="32"/>
          <w:szCs w:val="32"/>
        </w:rPr>
      </w:pPr>
      <w:r>
        <w:rPr>
          <w:rFonts w:hint="eastAsia" w:ascii="楷体" w:hAnsi="楷体" w:eastAsia="楷体" w:cs="楷体"/>
          <w:sz w:val="32"/>
          <w:szCs w:val="32"/>
        </w:rPr>
        <w:t>2019年，本部门无政府采购预算，空表列示</w:t>
      </w:r>
    </w:p>
    <w:p>
      <w:pPr>
        <w:spacing w:line="360" w:lineRule="auto"/>
        <w:jc w:val="center"/>
        <w:rPr>
          <w:rFonts w:ascii="宋体" w:hAnsi="宋体" w:cs="方正小标宋_GBK"/>
          <w:sz w:val="32"/>
          <w:szCs w:val="22"/>
        </w:rPr>
      </w:pPr>
      <w:r>
        <w:rPr>
          <w:rFonts w:hint="eastAsia" w:ascii="宋体" w:hAnsi="宋体" w:cs="宋体"/>
          <w:sz w:val="32"/>
          <w:szCs w:val="22"/>
        </w:rPr>
        <w:t>部门政府采购预算</w:t>
      </w:r>
    </w:p>
    <w:tbl>
      <w:tblPr>
        <w:tblStyle w:val="9"/>
        <w:tblW w:w="9495" w:type="dxa"/>
        <w:jc w:val="center"/>
        <w:tblLayout w:type="fixed"/>
        <w:tblCellMar>
          <w:top w:w="0" w:type="dxa"/>
          <w:left w:w="10" w:type="dxa"/>
          <w:bottom w:w="0" w:type="dxa"/>
          <w:right w:w="10" w:type="dxa"/>
        </w:tblCellMar>
      </w:tblPr>
      <w:tblGrid>
        <w:gridCol w:w="744"/>
        <w:gridCol w:w="1243"/>
        <w:gridCol w:w="877"/>
        <w:gridCol w:w="637"/>
        <w:gridCol w:w="424"/>
        <w:gridCol w:w="572"/>
        <w:gridCol w:w="578"/>
        <w:gridCol w:w="572"/>
        <w:gridCol w:w="572"/>
        <w:gridCol w:w="672"/>
        <w:gridCol w:w="472"/>
        <w:gridCol w:w="572"/>
        <w:gridCol w:w="572"/>
        <w:gridCol w:w="988"/>
      </w:tblGrid>
      <w:tr>
        <w:tblPrEx>
          <w:tblCellMar>
            <w:top w:w="0" w:type="dxa"/>
            <w:left w:w="10" w:type="dxa"/>
            <w:bottom w:w="0" w:type="dxa"/>
            <w:right w:w="10" w:type="dxa"/>
          </w:tblCellMar>
        </w:tblPrEx>
        <w:trPr>
          <w:trHeight w:val="373" w:hRule="atLeast"/>
          <w:jc w:val="center"/>
        </w:trPr>
        <w:tc>
          <w:tcPr>
            <w:tcW w:w="5079" w:type="dxa"/>
            <w:gridSpan w:val="7"/>
            <w:tcBorders>
              <w:top w:val="single" w:color="FFFFFF" w:sz="6" w:space="0"/>
              <w:left w:val="single" w:color="FFFFFF" w:sz="6" w:space="0"/>
              <w:bottom w:val="single" w:color="000000" w:sz="6" w:space="0"/>
              <w:right w:val="single" w:color="FFFFFF" w:sz="6" w:space="0"/>
            </w:tcBorders>
            <w:shd w:val="clear" w:color="auto" w:fill="FFFFFF"/>
            <w:noWrap w:val="0"/>
            <w:tcMar>
              <w:top w:w="0" w:type="dxa"/>
              <w:left w:w="108" w:type="dxa"/>
              <w:bottom w:w="0" w:type="dxa"/>
              <w:right w:w="108" w:type="dxa"/>
            </w:tcMar>
            <w:vAlign w:val="center"/>
          </w:tcPr>
          <w:p>
            <w:pPr>
              <w:rPr>
                <w:rFonts w:hint="eastAsia" w:ascii="宋体" w:hAnsi="宋体" w:cs="方正小标宋_GBK"/>
                <w:sz w:val="32"/>
                <w:szCs w:val="22"/>
              </w:rPr>
            </w:pPr>
          </w:p>
        </w:tc>
        <w:tc>
          <w:tcPr>
            <w:tcW w:w="4420" w:type="dxa"/>
            <w:gridSpan w:val="7"/>
            <w:tcBorders>
              <w:top w:val="single" w:color="FFFFFF" w:sz="6" w:space="0"/>
              <w:left w:val="single" w:color="FFFFFF" w:sz="6" w:space="0"/>
              <w:bottom w:val="single" w:color="000000" w:sz="6" w:space="0"/>
              <w:right w:val="single" w:color="FFFFFF" w:sz="6" w:space="0"/>
            </w:tcBorders>
            <w:shd w:val="clear" w:color="auto" w:fill="FFFFFF"/>
            <w:noWrap w:val="0"/>
            <w:tcMar>
              <w:top w:w="0" w:type="dxa"/>
              <w:left w:w="108" w:type="dxa"/>
              <w:bottom w:w="0" w:type="dxa"/>
              <w:right w:w="108" w:type="dxa"/>
            </w:tcMar>
            <w:vAlign w:val="center"/>
          </w:tcPr>
          <w:p>
            <w:pPr>
              <w:spacing w:line="360" w:lineRule="auto"/>
              <w:jc w:val="right"/>
              <w:rPr>
                <w:rFonts w:ascii="宋体" w:hAnsi="宋体" w:cs="宋体"/>
              </w:rPr>
            </w:pPr>
            <w:r>
              <w:rPr>
                <w:rFonts w:hint="eastAsia" w:ascii="宋体" w:hAnsi="宋体" w:cs="宋体"/>
                <w:sz w:val="24"/>
                <w:szCs w:val="22"/>
              </w:rPr>
              <w:t>单位：万元</w:t>
            </w:r>
          </w:p>
        </w:tc>
      </w:tr>
      <w:tr>
        <w:tblPrEx>
          <w:tblCellMar>
            <w:top w:w="0" w:type="dxa"/>
            <w:left w:w="10" w:type="dxa"/>
            <w:bottom w:w="0" w:type="dxa"/>
            <w:right w:w="10" w:type="dxa"/>
          </w:tblCellMar>
        </w:tblPrEx>
        <w:trPr>
          <w:trHeight w:val="373" w:hRule="atLeast"/>
          <w:jc w:val="center"/>
        </w:trPr>
        <w:tc>
          <w:tcPr>
            <w:tcW w:w="1990" w:type="dxa"/>
            <w:gridSpan w:val="2"/>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szCs w:val="22"/>
              </w:rPr>
            </w:pPr>
            <w:r>
              <w:rPr>
                <w:rFonts w:hint="eastAsia" w:ascii="宋体" w:hAnsi="宋体" w:cs="宋体"/>
                <w:b/>
                <w:szCs w:val="22"/>
              </w:rPr>
              <w:t>政府采购项目来源</w:t>
            </w:r>
          </w:p>
        </w:tc>
        <w:tc>
          <w:tcPr>
            <w:tcW w:w="878"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szCs w:val="22"/>
              </w:rPr>
            </w:pPr>
            <w:r>
              <w:rPr>
                <w:rFonts w:hint="eastAsia" w:ascii="宋体" w:hAnsi="宋体" w:cs="宋体"/>
                <w:b/>
                <w:szCs w:val="22"/>
              </w:rPr>
              <w:t>采购物品名称</w:t>
            </w:r>
          </w:p>
        </w:tc>
        <w:tc>
          <w:tcPr>
            <w:tcW w:w="637"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szCs w:val="22"/>
              </w:rPr>
            </w:pPr>
            <w:r>
              <w:rPr>
                <w:rFonts w:hint="eastAsia" w:ascii="宋体" w:hAnsi="宋体" w:cs="宋体"/>
                <w:b/>
                <w:szCs w:val="22"/>
              </w:rPr>
              <w:t>政府采购目录序号</w:t>
            </w:r>
          </w:p>
        </w:tc>
        <w:tc>
          <w:tcPr>
            <w:tcW w:w="424"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szCs w:val="22"/>
              </w:rPr>
            </w:pPr>
            <w:r>
              <w:rPr>
                <w:rFonts w:hint="eastAsia" w:ascii="宋体" w:hAnsi="宋体" w:cs="宋体"/>
                <w:b/>
                <w:szCs w:val="22"/>
              </w:rPr>
              <w:t>数量</w:t>
            </w:r>
            <w:r>
              <w:rPr>
                <w:rFonts w:hint="eastAsia" w:ascii="宋体" w:hAnsi="宋体" w:cs="方正书宋_GBK"/>
                <w:b/>
                <w:szCs w:val="22"/>
              </w:rPr>
              <w:t xml:space="preserve">  </w:t>
            </w:r>
            <w:r>
              <w:rPr>
                <w:rFonts w:hint="eastAsia" w:ascii="宋体" w:hAnsi="宋体" w:cs="宋体"/>
                <w:b/>
                <w:szCs w:val="22"/>
              </w:rPr>
              <w:t>单位</w:t>
            </w:r>
          </w:p>
        </w:tc>
        <w:tc>
          <w:tcPr>
            <w:tcW w:w="572"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szCs w:val="22"/>
              </w:rPr>
            </w:pPr>
            <w:r>
              <w:rPr>
                <w:rFonts w:hint="eastAsia" w:ascii="宋体" w:hAnsi="宋体" w:cs="宋体"/>
                <w:b/>
                <w:szCs w:val="22"/>
              </w:rPr>
              <w:t>数量</w:t>
            </w:r>
          </w:p>
        </w:tc>
        <w:tc>
          <w:tcPr>
            <w:tcW w:w="578"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szCs w:val="22"/>
              </w:rPr>
            </w:pPr>
            <w:r>
              <w:rPr>
                <w:rFonts w:hint="eastAsia" w:ascii="宋体" w:hAnsi="宋体" w:cs="宋体"/>
                <w:b/>
                <w:szCs w:val="22"/>
              </w:rPr>
              <w:t>单价</w:t>
            </w:r>
          </w:p>
        </w:tc>
        <w:tc>
          <w:tcPr>
            <w:tcW w:w="4420" w:type="dxa"/>
            <w:gridSpan w:val="7"/>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szCs w:val="22"/>
              </w:rPr>
            </w:pPr>
            <w:r>
              <w:rPr>
                <w:rFonts w:hint="eastAsia" w:ascii="宋体" w:hAnsi="宋体" w:cs="宋体"/>
                <w:b/>
                <w:szCs w:val="22"/>
              </w:rPr>
              <w:t>政府采购金额</w:t>
            </w:r>
          </w:p>
        </w:tc>
      </w:tr>
      <w:tr>
        <w:tblPrEx>
          <w:tblCellMar>
            <w:top w:w="0" w:type="dxa"/>
            <w:left w:w="10" w:type="dxa"/>
            <w:bottom w:w="0" w:type="dxa"/>
            <w:right w:w="10" w:type="dxa"/>
          </w:tblCellMar>
        </w:tblPrEx>
        <w:trPr>
          <w:trHeight w:val="373" w:hRule="atLeast"/>
          <w:jc w:val="center"/>
        </w:trPr>
        <w:tc>
          <w:tcPr>
            <w:tcW w:w="745"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szCs w:val="22"/>
              </w:rPr>
            </w:pPr>
            <w:r>
              <w:rPr>
                <w:rFonts w:hint="eastAsia" w:ascii="宋体" w:hAnsi="宋体" w:cs="宋体"/>
                <w:b/>
                <w:szCs w:val="22"/>
              </w:rPr>
              <w:t>项目名称</w:t>
            </w:r>
          </w:p>
        </w:tc>
        <w:tc>
          <w:tcPr>
            <w:tcW w:w="1245"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szCs w:val="22"/>
              </w:rPr>
            </w:pPr>
            <w:r>
              <w:rPr>
                <w:rFonts w:hint="eastAsia" w:ascii="宋体" w:hAnsi="宋体" w:cs="宋体"/>
                <w:b/>
                <w:szCs w:val="22"/>
              </w:rPr>
              <w:t>预算资金</w:t>
            </w:r>
          </w:p>
        </w:tc>
        <w:tc>
          <w:tcPr>
            <w:tcW w:w="878"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szCs w:val="22"/>
              </w:rPr>
            </w:pPr>
          </w:p>
        </w:tc>
        <w:tc>
          <w:tcPr>
            <w:tcW w:w="637"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szCs w:val="22"/>
              </w:rPr>
            </w:pPr>
          </w:p>
        </w:tc>
        <w:tc>
          <w:tcPr>
            <w:tcW w:w="424"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szCs w:val="22"/>
              </w:rPr>
            </w:pPr>
          </w:p>
        </w:tc>
        <w:tc>
          <w:tcPr>
            <w:tcW w:w="572"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szCs w:val="22"/>
              </w:rPr>
            </w:pPr>
          </w:p>
        </w:tc>
        <w:tc>
          <w:tcPr>
            <w:tcW w:w="578"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szCs w:val="22"/>
              </w:rPr>
            </w:pPr>
          </w:p>
        </w:tc>
        <w:tc>
          <w:tcPr>
            <w:tcW w:w="572"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szCs w:val="22"/>
              </w:rPr>
            </w:pPr>
            <w:r>
              <w:rPr>
                <w:rFonts w:hint="eastAsia" w:ascii="宋体" w:hAnsi="宋体" w:cs="宋体"/>
                <w:b/>
                <w:szCs w:val="22"/>
              </w:rPr>
              <w:t>总计</w:t>
            </w:r>
          </w:p>
        </w:tc>
        <w:tc>
          <w:tcPr>
            <w:tcW w:w="2860" w:type="dxa"/>
            <w:gridSpan w:val="5"/>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szCs w:val="22"/>
              </w:rPr>
            </w:pPr>
            <w:r>
              <w:rPr>
                <w:rFonts w:hint="eastAsia" w:ascii="宋体" w:hAnsi="宋体" w:cs="宋体"/>
                <w:b/>
                <w:szCs w:val="22"/>
              </w:rPr>
              <w:t>当年部门预算安排资金</w:t>
            </w:r>
          </w:p>
        </w:tc>
        <w:tc>
          <w:tcPr>
            <w:tcW w:w="988"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szCs w:val="22"/>
              </w:rPr>
            </w:pPr>
            <w:r>
              <w:rPr>
                <w:rFonts w:hint="eastAsia" w:ascii="宋体" w:hAnsi="宋体" w:cs="宋体"/>
                <w:b/>
                <w:szCs w:val="22"/>
              </w:rPr>
              <w:t>其他渠道资金</w:t>
            </w:r>
          </w:p>
        </w:tc>
      </w:tr>
      <w:tr>
        <w:tblPrEx>
          <w:tblCellMar>
            <w:top w:w="0" w:type="dxa"/>
            <w:left w:w="10" w:type="dxa"/>
            <w:bottom w:w="0" w:type="dxa"/>
            <w:right w:w="10" w:type="dxa"/>
          </w:tblCellMar>
        </w:tblPrEx>
        <w:trPr>
          <w:trHeight w:val="2548" w:hRule="atLeast"/>
          <w:jc w:val="center"/>
        </w:trPr>
        <w:tc>
          <w:tcPr>
            <w:tcW w:w="5079"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szCs w:val="22"/>
              </w:rPr>
            </w:pPr>
          </w:p>
        </w:tc>
        <w:tc>
          <w:tcPr>
            <w:tcW w:w="1245"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szCs w:val="22"/>
              </w:rPr>
            </w:pPr>
          </w:p>
        </w:tc>
        <w:tc>
          <w:tcPr>
            <w:tcW w:w="878"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szCs w:val="22"/>
              </w:rPr>
            </w:pPr>
          </w:p>
        </w:tc>
        <w:tc>
          <w:tcPr>
            <w:tcW w:w="637"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szCs w:val="22"/>
              </w:rPr>
            </w:pPr>
          </w:p>
        </w:tc>
        <w:tc>
          <w:tcPr>
            <w:tcW w:w="424"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szCs w:val="22"/>
              </w:rPr>
            </w:pPr>
          </w:p>
        </w:tc>
        <w:tc>
          <w:tcPr>
            <w:tcW w:w="572"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szCs w:val="22"/>
              </w:rPr>
            </w:pPr>
          </w:p>
        </w:tc>
        <w:tc>
          <w:tcPr>
            <w:tcW w:w="578"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szCs w:val="22"/>
              </w:rPr>
            </w:pPr>
          </w:p>
        </w:tc>
        <w:tc>
          <w:tcPr>
            <w:tcW w:w="4420"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szCs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szCs w:val="22"/>
              </w:rPr>
            </w:pPr>
            <w:r>
              <w:rPr>
                <w:rFonts w:hint="eastAsia" w:ascii="宋体" w:hAnsi="宋体" w:cs="宋体"/>
                <w:b/>
                <w:szCs w:val="22"/>
              </w:rPr>
              <w:t>合计</w:t>
            </w:r>
          </w:p>
        </w:tc>
        <w:tc>
          <w:tcPr>
            <w:tcW w:w="6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szCs w:val="22"/>
              </w:rPr>
            </w:pPr>
            <w:r>
              <w:rPr>
                <w:rFonts w:hint="eastAsia" w:ascii="宋体" w:hAnsi="宋体" w:cs="宋体"/>
                <w:b/>
                <w:szCs w:val="22"/>
              </w:rPr>
              <w:t>一般公共预算拨款</w:t>
            </w:r>
          </w:p>
        </w:tc>
        <w:tc>
          <w:tcPr>
            <w:tcW w:w="4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szCs w:val="22"/>
              </w:rPr>
            </w:pPr>
            <w:r>
              <w:rPr>
                <w:rFonts w:hint="eastAsia" w:ascii="宋体" w:hAnsi="宋体" w:cs="宋体"/>
                <w:b/>
                <w:szCs w:val="22"/>
              </w:rPr>
              <w:t>基金预算拨款</w:t>
            </w: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szCs w:val="22"/>
              </w:rPr>
            </w:pPr>
            <w:r>
              <w:rPr>
                <w:rFonts w:hint="eastAsia" w:ascii="宋体" w:hAnsi="宋体" w:cs="宋体"/>
                <w:b/>
                <w:szCs w:val="22"/>
              </w:rPr>
              <w:t>财政专户核拨</w:t>
            </w: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szCs w:val="22"/>
              </w:rPr>
            </w:pPr>
            <w:r>
              <w:rPr>
                <w:rFonts w:hint="eastAsia" w:ascii="宋体" w:hAnsi="宋体" w:cs="宋体"/>
                <w:b/>
                <w:szCs w:val="22"/>
              </w:rPr>
              <w:t>其他来源收入</w:t>
            </w:r>
          </w:p>
        </w:tc>
        <w:tc>
          <w:tcPr>
            <w:tcW w:w="988" w:type="dxa"/>
            <w:vMerge w:val="continue"/>
            <w:tcBorders>
              <w:top w:val="single" w:color="000000" w:sz="6" w:space="0"/>
              <w:left w:val="single" w:color="000000" w:sz="6" w:space="0"/>
              <w:bottom w:val="single" w:color="000000" w:sz="6" w:space="0"/>
              <w:right w:val="single" w:color="000000" w:sz="6" w:space="0"/>
            </w:tcBorders>
            <w:noWrap w:val="0"/>
            <w:vAlign w:val="center"/>
          </w:tcPr>
          <w:p>
            <w:pPr>
              <w:widowControl/>
              <w:jc w:val="left"/>
              <w:rPr>
                <w:rFonts w:ascii="宋体" w:hAnsi="宋体" w:cs="宋体"/>
                <w:szCs w:val="22"/>
              </w:rPr>
            </w:pPr>
          </w:p>
        </w:tc>
      </w:tr>
      <w:tr>
        <w:tblPrEx>
          <w:tblCellMar>
            <w:top w:w="0" w:type="dxa"/>
            <w:left w:w="10" w:type="dxa"/>
            <w:bottom w:w="0" w:type="dxa"/>
            <w:right w:w="10" w:type="dxa"/>
          </w:tblCellMar>
        </w:tblPrEx>
        <w:trPr>
          <w:trHeight w:val="550" w:hRule="atLeast"/>
          <w:jc w:val="center"/>
        </w:trPr>
        <w:tc>
          <w:tcPr>
            <w:tcW w:w="745"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sz w:val="22"/>
                <w:szCs w:val="22"/>
              </w:rPr>
            </w:pPr>
            <w:r>
              <w:rPr>
                <w:rFonts w:hint="eastAsia" w:ascii="宋体" w:hAnsi="宋体" w:cs="宋体"/>
                <w:b/>
                <w:szCs w:val="22"/>
              </w:rPr>
              <w:t>合计</w:t>
            </w:r>
          </w:p>
        </w:tc>
        <w:tc>
          <w:tcPr>
            <w:tcW w:w="1245"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szCs w:val="22"/>
              </w:rPr>
            </w:pPr>
          </w:p>
        </w:tc>
        <w:tc>
          <w:tcPr>
            <w:tcW w:w="878"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left"/>
              <w:rPr>
                <w:rFonts w:hint="eastAsia" w:ascii="宋体" w:hAnsi="宋体" w:cs="宋体"/>
                <w:sz w:val="22"/>
                <w:szCs w:val="22"/>
              </w:rPr>
            </w:pPr>
          </w:p>
        </w:tc>
        <w:tc>
          <w:tcPr>
            <w:tcW w:w="637"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left"/>
              <w:rPr>
                <w:rFonts w:hint="eastAsia" w:ascii="宋体" w:hAnsi="宋体" w:cs="宋体"/>
                <w:sz w:val="22"/>
                <w:szCs w:val="22"/>
              </w:rPr>
            </w:pPr>
          </w:p>
        </w:tc>
        <w:tc>
          <w:tcPr>
            <w:tcW w:w="424"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left"/>
              <w:rPr>
                <w:rFonts w:hint="eastAsia" w:ascii="宋体" w:hAnsi="宋体" w:cs="宋体"/>
                <w:sz w:val="22"/>
                <w:szCs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szCs w:val="22"/>
              </w:rPr>
            </w:pPr>
          </w:p>
        </w:tc>
        <w:tc>
          <w:tcPr>
            <w:tcW w:w="578"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szCs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szCs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szCs w:val="22"/>
              </w:rPr>
            </w:pPr>
          </w:p>
        </w:tc>
        <w:tc>
          <w:tcPr>
            <w:tcW w:w="6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szCs w:val="22"/>
              </w:rPr>
            </w:pPr>
          </w:p>
        </w:tc>
        <w:tc>
          <w:tcPr>
            <w:tcW w:w="4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szCs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szCs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szCs w:val="22"/>
              </w:rPr>
            </w:pPr>
          </w:p>
        </w:tc>
        <w:tc>
          <w:tcPr>
            <w:tcW w:w="988"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szCs w:val="22"/>
              </w:rPr>
            </w:pPr>
          </w:p>
        </w:tc>
      </w:tr>
    </w:tbl>
    <w:p>
      <w:pPr>
        <w:spacing w:line="520" w:lineRule="exact"/>
        <w:ind w:firstLine="640" w:firstLineChars="200"/>
        <w:rPr>
          <w:rFonts w:hint="eastAsia" w:ascii="仿宋_GB2312" w:hAnsi="仿宋" w:eastAsia="仿宋_GB2312"/>
          <w:sz w:val="32"/>
          <w:szCs w:val="32"/>
        </w:rPr>
      </w:pPr>
    </w:p>
    <w:p>
      <w:pPr>
        <w:ind w:firstLine="480" w:firstLineChars="150"/>
        <w:jc w:val="left"/>
        <w:outlineLvl w:val="0"/>
        <w:rPr>
          <w:rFonts w:hint="eastAsia" w:ascii="楷体" w:hAnsi="楷体" w:eastAsia="楷体" w:cs="楷体"/>
          <w:sz w:val="32"/>
          <w:szCs w:val="32"/>
        </w:rPr>
      </w:pPr>
    </w:p>
    <w:p>
      <w:pPr>
        <w:jc w:val="center"/>
        <w:rPr>
          <w:rFonts w:hint="eastAsia" w:ascii="楷体" w:hAnsi="楷体" w:eastAsia="楷体" w:cs="楷体"/>
          <w:b/>
          <w:bCs/>
          <w:sz w:val="32"/>
          <w:szCs w:val="32"/>
        </w:rPr>
      </w:pPr>
      <w:r>
        <w:rPr>
          <w:rFonts w:hint="eastAsia" w:ascii="楷体" w:hAnsi="楷体" w:eastAsia="楷体" w:cs="楷体"/>
          <w:b/>
          <w:bCs/>
          <w:sz w:val="32"/>
          <w:szCs w:val="32"/>
        </w:rPr>
        <w:t>第七部分：国有资产信息情况说明</w:t>
      </w:r>
    </w:p>
    <w:p>
      <w:pPr>
        <w:spacing w:line="300" w:lineRule="exact"/>
        <w:jc w:val="left"/>
        <w:outlineLvl w:val="0"/>
        <w:rPr>
          <w:rFonts w:hint="eastAsia" w:ascii="楷体" w:hAnsi="楷体" w:eastAsia="楷体" w:cs="楷体"/>
        </w:rPr>
      </w:pPr>
    </w:p>
    <w:p>
      <w:pPr>
        <w:spacing w:line="52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满城区刘家台乡</w:t>
      </w:r>
      <w:r>
        <w:rPr>
          <w:rFonts w:hint="eastAsia" w:ascii="楷体" w:hAnsi="楷体" w:eastAsia="楷体" w:cs="楷体"/>
          <w:sz w:val="32"/>
          <w:szCs w:val="32"/>
          <w:lang w:eastAsia="zh-CN"/>
        </w:rPr>
        <w:t>人</w:t>
      </w:r>
      <w:r>
        <w:rPr>
          <w:rFonts w:hint="eastAsia" w:ascii="楷体" w:hAnsi="楷体" w:eastAsia="楷体" w:cs="楷体"/>
          <w:sz w:val="32"/>
          <w:szCs w:val="32"/>
        </w:rPr>
        <w:t>民政府2018年末固定资产总金额153.4719万元（详见下表）。 2019年无拟购置固定资产计划。</w:t>
      </w:r>
    </w:p>
    <w:tbl>
      <w:tblPr>
        <w:tblStyle w:val="9"/>
        <w:tblW w:w="0" w:type="auto"/>
        <w:tblInd w:w="93" w:type="dxa"/>
        <w:tblLayout w:type="fixed"/>
        <w:tblCellMar>
          <w:top w:w="0" w:type="dxa"/>
          <w:left w:w="108" w:type="dxa"/>
          <w:bottom w:w="0" w:type="dxa"/>
          <w:right w:w="108" w:type="dxa"/>
        </w:tblCellMar>
      </w:tblPr>
      <w:tblGrid>
        <w:gridCol w:w="3811"/>
        <w:gridCol w:w="1591"/>
        <w:gridCol w:w="3402"/>
      </w:tblGrid>
      <w:tr>
        <w:tblPrEx>
          <w:tblCellMar>
            <w:top w:w="0" w:type="dxa"/>
            <w:left w:w="108" w:type="dxa"/>
            <w:bottom w:w="0" w:type="dxa"/>
            <w:right w:w="108" w:type="dxa"/>
          </w:tblCellMar>
        </w:tblPrEx>
        <w:trPr>
          <w:trHeight w:val="675" w:hRule="atLeast"/>
        </w:trPr>
        <w:tc>
          <w:tcPr>
            <w:tcW w:w="8804" w:type="dxa"/>
            <w:gridSpan w:val="3"/>
            <w:tcBorders>
              <w:top w:val="nil"/>
              <w:left w:val="nil"/>
              <w:bottom w:val="nil"/>
              <w:right w:val="nil"/>
            </w:tcBorders>
            <w:noWrap w:val="0"/>
            <w:vAlign w:val="center"/>
          </w:tcPr>
          <w:p>
            <w:pPr>
              <w:widowControl/>
              <w:jc w:val="center"/>
              <w:rPr>
                <w:rFonts w:hint="eastAsia" w:ascii="楷体" w:hAnsi="楷体" w:eastAsia="楷体" w:cs="楷体"/>
                <w:color w:val="000000"/>
                <w:kern w:val="0"/>
                <w:sz w:val="28"/>
                <w:szCs w:val="28"/>
              </w:rPr>
            </w:pPr>
            <w:r>
              <w:rPr>
                <w:rFonts w:hint="eastAsia" w:ascii="楷体" w:hAnsi="楷体" w:eastAsia="楷体" w:cs="楷体"/>
                <w:sz w:val="32"/>
                <w:szCs w:val="32"/>
              </w:rPr>
              <w:t>满城区刘家台乡人民政府固定资产占用情况表</w:t>
            </w:r>
          </w:p>
        </w:tc>
      </w:tr>
      <w:tr>
        <w:tblPrEx>
          <w:tblCellMar>
            <w:top w:w="0" w:type="dxa"/>
            <w:left w:w="108" w:type="dxa"/>
            <w:bottom w:w="0" w:type="dxa"/>
            <w:right w:w="108" w:type="dxa"/>
          </w:tblCellMar>
        </w:tblPrEx>
        <w:trPr>
          <w:trHeight w:val="465" w:hRule="atLeast"/>
        </w:trPr>
        <w:tc>
          <w:tcPr>
            <w:tcW w:w="8804" w:type="dxa"/>
            <w:gridSpan w:val="3"/>
            <w:tcBorders>
              <w:top w:val="nil"/>
              <w:left w:val="nil"/>
              <w:bottom w:val="single" w:color="auto" w:sz="4" w:space="0"/>
              <w:right w:val="nil"/>
            </w:tcBorders>
            <w:noWrap w:val="0"/>
            <w:vAlign w:val="center"/>
          </w:tcPr>
          <w:p>
            <w:pPr>
              <w:widowControl/>
              <w:jc w:val="center"/>
              <w:rPr>
                <w:rFonts w:hint="eastAsia" w:ascii="楷体" w:hAnsi="楷体" w:eastAsia="楷体" w:cs="楷体"/>
                <w:color w:val="000000"/>
                <w:kern w:val="0"/>
                <w:sz w:val="32"/>
                <w:szCs w:val="32"/>
              </w:rPr>
            </w:pPr>
            <w:r>
              <w:rPr>
                <w:rFonts w:hint="eastAsia" w:ascii="楷体" w:hAnsi="楷体" w:eastAsia="楷体" w:cs="楷体"/>
                <w:bCs/>
                <w:color w:val="000000"/>
                <w:kern w:val="0"/>
                <w:sz w:val="32"/>
                <w:szCs w:val="32"/>
              </w:rPr>
              <w:t xml:space="preserve">                           截止时间：2018年12月31日</w:t>
            </w:r>
          </w:p>
        </w:tc>
      </w:tr>
      <w:tr>
        <w:tblPrEx>
          <w:tblCellMar>
            <w:top w:w="0" w:type="dxa"/>
            <w:left w:w="108" w:type="dxa"/>
            <w:bottom w:w="0" w:type="dxa"/>
            <w:right w:w="108" w:type="dxa"/>
          </w:tblCellMar>
        </w:tblPrEx>
        <w:trPr>
          <w:trHeight w:val="750" w:hRule="atLeast"/>
        </w:trPr>
        <w:tc>
          <w:tcPr>
            <w:tcW w:w="381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楷体" w:hAnsi="楷体" w:eastAsia="楷体" w:cs="楷体"/>
                <w:b/>
                <w:bCs/>
                <w:color w:val="000000"/>
                <w:kern w:val="0"/>
                <w:sz w:val="24"/>
              </w:rPr>
            </w:pPr>
            <w:r>
              <w:rPr>
                <w:rFonts w:hint="eastAsia" w:ascii="楷体" w:hAnsi="楷体" w:eastAsia="楷体" w:cs="楷体"/>
                <w:b/>
                <w:bCs/>
                <w:color w:val="000000"/>
                <w:kern w:val="0"/>
                <w:sz w:val="24"/>
              </w:rPr>
              <w:t>项　　目</w:t>
            </w:r>
          </w:p>
        </w:tc>
        <w:tc>
          <w:tcPr>
            <w:tcW w:w="1591" w:type="dxa"/>
            <w:tcBorders>
              <w:top w:val="nil"/>
              <w:left w:val="nil"/>
              <w:bottom w:val="single" w:color="auto" w:sz="4" w:space="0"/>
              <w:right w:val="single" w:color="auto" w:sz="4" w:space="0"/>
            </w:tcBorders>
            <w:noWrap w:val="0"/>
            <w:vAlign w:val="center"/>
          </w:tcPr>
          <w:p>
            <w:pPr>
              <w:widowControl/>
              <w:jc w:val="center"/>
              <w:rPr>
                <w:rFonts w:hint="eastAsia" w:ascii="楷体" w:hAnsi="楷体" w:eastAsia="楷体" w:cs="楷体"/>
                <w:b/>
                <w:bCs/>
                <w:color w:val="000000"/>
                <w:kern w:val="0"/>
                <w:sz w:val="24"/>
              </w:rPr>
            </w:pPr>
            <w:r>
              <w:rPr>
                <w:rFonts w:hint="eastAsia" w:ascii="楷体" w:hAnsi="楷体" w:eastAsia="楷体" w:cs="楷体"/>
                <w:b/>
                <w:bCs/>
                <w:color w:val="000000"/>
                <w:kern w:val="0"/>
                <w:sz w:val="24"/>
              </w:rPr>
              <w:t>数量</w:t>
            </w:r>
          </w:p>
        </w:tc>
        <w:tc>
          <w:tcPr>
            <w:tcW w:w="3402" w:type="dxa"/>
            <w:tcBorders>
              <w:top w:val="nil"/>
              <w:left w:val="nil"/>
              <w:bottom w:val="single" w:color="auto" w:sz="4" w:space="0"/>
              <w:right w:val="single" w:color="auto" w:sz="4" w:space="0"/>
            </w:tcBorders>
            <w:noWrap w:val="0"/>
            <w:vAlign w:val="center"/>
          </w:tcPr>
          <w:p>
            <w:pPr>
              <w:widowControl/>
              <w:jc w:val="center"/>
              <w:rPr>
                <w:rFonts w:hint="eastAsia" w:ascii="楷体" w:hAnsi="楷体" w:eastAsia="楷体" w:cs="楷体"/>
                <w:b/>
                <w:bCs/>
                <w:color w:val="000000"/>
                <w:kern w:val="0"/>
                <w:sz w:val="24"/>
              </w:rPr>
            </w:pPr>
            <w:r>
              <w:rPr>
                <w:rFonts w:hint="eastAsia" w:ascii="楷体" w:hAnsi="楷体" w:eastAsia="楷体" w:cs="楷体"/>
                <w:b/>
                <w:bCs/>
                <w:color w:val="000000"/>
                <w:kern w:val="0"/>
                <w:sz w:val="24"/>
              </w:rPr>
              <w:t>价值（单位：万元）</w:t>
            </w:r>
          </w:p>
        </w:tc>
      </w:tr>
      <w:tr>
        <w:tblPrEx>
          <w:tblCellMar>
            <w:top w:w="0" w:type="dxa"/>
            <w:left w:w="108" w:type="dxa"/>
            <w:bottom w:w="0" w:type="dxa"/>
            <w:right w:w="108" w:type="dxa"/>
          </w:tblCellMar>
        </w:tblPrEx>
        <w:trPr>
          <w:trHeight w:val="495" w:hRule="atLeast"/>
        </w:trPr>
        <w:tc>
          <w:tcPr>
            <w:tcW w:w="381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楷体" w:hAnsi="楷体" w:eastAsia="楷体" w:cs="楷体"/>
                <w:b/>
                <w:bCs/>
                <w:color w:val="000000"/>
                <w:kern w:val="0"/>
                <w:sz w:val="24"/>
              </w:rPr>
            </w:pPr>
            <w:r>
              <w:rPr>
                <w:rFonts w:hint="eastAsia" w:ascii="楷体" w:hAnsi="楷体" w:eastAsia="楷体" w:cs="楷体"/>
                <w:b/>
                <w:bCs/>
                <w:color w:val="000000"/>
                <w:kern w:val="0"/>
                <w:sz w:val="24"/>
              </w:rPr>
              <w:t>固定资产总额</w:t>
            </w:r>
          </w:p>
        </w:tc>
        <w:tc>
          <w:tcPr>
            <w:tcW w:w="1591" w:type="dxa"/>
            <w:tcBorders>
              <w:top w:val="nil"/>
              <w:left w:val="nil"/>
              <w:bottom w:val="single" w:color="auto" w:sz="4" w:space="0"/>
              <w:right w:val="single" w:color="auto" w:sz="4" w:space="0"/>
            </w:tcBorders>
            <w:noWrap w:val="0"/>
            <w:vAlign w:val="center"/>
          </w:tcPr>
          <w:p>
            <w:pPr>
              <w:widowControl/>
              <w:jc w:val="center"/>
              <w:rPr>
                <w:rFonts w:hint="eastAsia" w:ascii="楷体" w:hAnsi="楷体" w:eastAsia="楷体" w:cs="楷体"/>
                <w:color w:val="000000"/>
                <w:kern w:val="0"/>
                <w:sz w:val="24"/>
              </w:rPr>
            </w:pPr>
            <w:r>
              <w:rPr>
                <w:rFonts w:hint="eastAsia" w:ascii="楷体" w:hAnsi="楷体" w:eastAsia="楷体" w:cs="楷体"/>
                <w:color w:val="000000"/>
                <w:kern w:val="0"/>
                <w:sz w:val="24"/>
              </w:rPr>
              <w:t>—</w:t>
            </w:r>
          </w:p>
        </w:tc>
        <w:tc>
          <w:tcPr>
            <w:tcW w:w="3402" w:type="dxa"/>
            <w:tcBorders>
              <w:top w:val="nil"/>
              <w:left w:val="nil"/>
              <w:bottom w:val="single" w:color="auto" w:sz="4" w:space="0"/>
              <w:right w:val="single" w:color="auto" w:sz="4" w:space="0"/>
            </w:tcBorders>
            <w:noWrap w:val="0"/>
            <w:vAlign w:val="center"/>
          </w:tcPr>
          <w:p>
            <w:pPr>
              <w:widowControl/>
              <w:jc w:val="center"/>
              <w:rPr>
                <w:rFonts w:hint="eastAsia" w:ascii="楷体" w:hAnsi="楷体" w:eastAsia="楷体" w:cs="楷体"/>
                <w:b/>
                <w:color w:val="000000"/>
                <w:kern w:val="0"/>
                <w:sz w:val="24"/>
              </w:rPr>
            </w:pPr>
            <w:r>
              <w:rPr>
                <w:rFonts w:hint="eastAsia" w:ascii="楷体" w:hAnsi="楷体" w:eastAsia="楷体" w:cs="楷体"/>
                <w:b/>
                <w:color w:val="000000"/>
                <w:kern w:val="0"/>
                <w:sz w:val="24"/>
              </w:rPr>
              <w:t>153.4719</w:t>
            </w:r>
          </w:p>
        </w:tc>
      </w:tr>
      <w:tr>
        <w:tblPrEx>
          <w:tblCellMar>
            <w:top w:w="0" w:type="dxa"/>
            <w:left w:w="108" w:type="dxa"/>
            <w:bottom w:w="0" w:type="dxa"/>
            <w:right w:w="108" w:type="dxa"/>
          </w:tblCellMar>
        </w:tblPrEx>
        <w:trPr>
          <w:trHeight w:val="483" w:hRule="atLeast"/>
        </w:trPr>
        <w:tc>
          <w:tcPr>
            <w:tcW w:w="3811" w:type="dxa"/>
            <w:tcBorders>
              <w:top w:val="nil"/>
              <w:left w:val="single" w:color="auto" w:sz="4" w:space="0"/>
              <w:bottom w:val="single" w:color="auto" w:sz="4" w:space="0"/>
              <w:right w:val="single" w:color="auto" w:sz="4" w:space="0"/>
            </w:tcBorders>
            <w:noWrap w:val="0"/>
            <w:vAlign w:val="center"/>
          </w:tcPr>
          <w:p>
            <w:pPr>
              <w:widowControl/>
              <w:jc w:val="left"/>
              <w:rPr>
                <w:rFonts w:hint="eastAsia" w:ascii="楷体" w:hAnsi="楷体" w:eastAsia="楷体" w:cs="楷体"/>
                <w:color w:val="000000"/>
                <w:kern w:val="0"/>
                <w:sz w:val="24"/>
              </w:rPr>
            </w:pPr>
            <w:r>
              <w:rPr>
                <w:rFonts w:hint="eastAsia" w:ascii="楷体" w:hAnsi="楷体" w:eastAsia="楷体" w:cs="楷体"/>
                <w:color w:val="000000"/>
                <w:kern w:val="0"/>
                <w:sz w:val="24"/>
              </w:rPr>
              <w:t xml:space="preserve">  1、房屋（平方米）</w:t>
            </w:r>
          </w:p>
        </w:tc>
        <w:tc>
          <w:tcPr>
            <w:tcW w:w="1591" w:type="dxa"/>
            <w:tcBorders>
              <w:top w:val="nil"/>
              <w:left w:val="nil"/>
              <w:bottom w:val="single" w:color="auto" w:sz="4" w:space="0"/>
              <w:right w:val="single" w:color="auto" w:sz="4" w:space="0"/>
            </w:tcBorders>
            <w:noWrap w:val="0"/>
            <w:vAlign w:val="center"/>
          </w:tcPr>
          <w:p>
            <w:pPr>
              <w:widowControl/>
              <w:jc w:val="center"/>
              <w:rPr>
                <w:rFonts w:hint="eastAsia" w:ascii="楷体" w:hAnsi="楷体" w:eastAsia="楷体" w:cs="楷体"/>
                <w:color w:val="000000"/>
                <w:kern w:val="0"/>
                <w:sz w:val="24"/>
              </w:rPr>
            </w:pPr>
            <w:r>
              <w:rPr>
                <w:rFonts w:hint="eastAsia" w:ascii="楷体" w:hAnsi="楷体" w:eastAsia="楷体" w:cs="楷体"/>
                <w:color w:val="000000"/>
                <w:kern w:val="0"/>
                <w:sz w:val="24"/>
              </w:rPr>
              <w:t>1210</w:t>
            </w:r>
          </w:p>
        </w:tc>
        <w:tc>
          <w:tcPr>
            <w:tcW w:w="3402" w:type="dxa"/>
            <w:tcBorders>
              <w:top w:val="nil"/>
              <w:left w:val="nil"/>
              <w:bottom w:val="single" w:color="auto" w:sz="4" w:space="0"/>
              <w:right w:val="single" w:color="auto" w:sz="4" w:space="0"/>
            </w:tcBorders>
            <w:noWrap w:val="0"/>
            <w:vAlign w:val="center"/>
          </w:tcPr>
          <w:p>
            <w:pPr>
              <w:widowControl/>
              <w:jc w:val="center"/>
              <w:rPr>
                <w:rFonts w:hint="eastAsia" w:ascii="楷体" w:hAnsi="楷体" w:eastAsia="楷体" w:cs="楷体"/>
                <w:color w:val="000000"/>
                <w:kern w:val="0"/>
                <w:sz w:val="24"/>
              </w:rPr>
            </w:pPr>
            <w:r>
              <w:rPr>
                <w:rFonts w:hint="eastAsia" w:ascii="楷体" w:hAnsi="楷体" w:eastAsia="楷体" w:cs="楷体"/>
                <w:color w:val="000000"/>
                <w:kern w:val="0"/>
                <w:sz w:val="24"/>
              </w:rPr>
              <w:t>88.0698</w:t>
            </w:r>
          </w:p>
        </w:tc>
      </w:tr>
      <w:tr>
        <w:tblPrEx>
          <w:tblCellMar>
            <w:top w:w="0" w:type="dxa"/>
            <w:left w:w="108" w:type="dxa"/>
            <w:bottom w:w="0" w:type="dxa"/>
            <w:right w:w="108" w:type="dxa"/>
          </w:tblCellMar>
        </w:tblPrEx>
        <w:trPr>
          <w:trHeight w:val="419" w:hRule="atLeast"/>
        </w:trPr>
        <w:tc>
          <w:tcPr>
            <w:tcW w:w="3811"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楷体" w:hAnsi="楷体" w:eastAsia="楷体" w:cs="楷体"/>
                <w:color w:val="000000"/>
                <w:kern w:val="0"/>
                <w:sz w:val="24"/>
              </w:rPr>
            </w:pPr>
            <w:r>
              <w:rPr>
                <w:rFonts w:hint="eastAsia" w:ascii="楷体" w:hAnsi="楷体" w:eastAsia="楷体" w:cs="楷体"/>
                <w:color w:val="000000"/>
                <w:kern w:val="0"/>
                <w:sz w:val="24"/>
              </w:rPr>
              <w:t xml:space="preserve">   其中：办公用房（平方米）</w:t>
            </w:r>
          </w:p>
        </w:tc>
        <w:tc>
          <w:tcPr>
            <w:tcW w:w="1591" w:type="dxa"/>
            <w:tcBorders>
              <w:top w:val="single" w:color="auto" w:sz="4" w:space="0"/>
              <w:left w:val="nil"/>
              <w:bottom w:val="single" w:color="auto" w:sz="4" w:space="0"/>
              <w:right w:val="single" w:color="auto" w:sz="4" w:space="0"/>
            </w:tcBorders>
            <w:noWrap w:val="0"/>
            <w:vAlign w:val="center"/>
          </w:tcPr>
          <w:p>
            <w:pPr>
              <w:jc w:val="center"/>
              <w:rPr>
                <w:rFonts w:hint="eastAsia" w:ascii="楷体" w:hAnsi="楷体" w:eastAsia="楷体" w:cs="楷体"/>
                <w:color w:val="000000"/>
                <w:kern w:val="0"/>
                <w:sz w:val="24"/>
              </w:rPr>
            </w:pPr>
            <w:r>
              <w:rPr>
                <w:rFonts w:hint="eastAsia" w:ascii="楷体" w:hAnsi="楷体" w:eastAsia="楷体" w:cs="楷体"/>
                <w:color w:val="000000"/>
                <w:kern w:val="0"/>
                <w:sz w:val="24"/>
              </w:rPr>
              <w:t>1210</w:t>
            </w:r>
          </w:p>
        </w:tc>
        <w:tc>
          <w:tcPr>
            <w:tcW w:w="3402" w:type="dxa"/>
            <w:tcBorders>
              <w:top w:val="single" w:color="auto" w:sz="4" w:space="0"/>
              <w:left w:val="nil"/>
              <w:bottom w:val="single" w:color="auto" w:sz="4" w:space="0"/>
              <w:right w:val="single" w:color="auto" w:sz="4" w:space="0"/>
            </w:tcBorders>
            <w:noWrap w:val="0"/>
            <w:vAlign w:val="center"/>
          </w:tcPr>
          <w:p>
            <w:pPr>
              <w:jc w:val="center"/>
              <w:rPr>
                <w:rFonts w:hint="eastAsia" w:ascii="楷体" w:hAnsi="楷体" w:eastAsia="楷体" w:cs="楷体"/>
                <w:color w:val="000000"/>
                <w:kern w:val="0"/>
                <w:sz w:val="24"/>
              </w:rPr>
            </w:pPr>
            <w:r>
              <w:rPr>
                <w:rFonts w:hint="eastAsia" w:ascii="楷体" w:hAnsi="楷体" w:eastAsia="楷体" w:cs="楷体"/>
                <w:color w:val="000000"/>
                <w:kern w:val="0"/>
                <w:sz w:val="24"/>
              </w:rPr>
              <w:t>88.0698</w:t>
            </w:r>
          </w:p>
        </w:tc>
      </w:tr>
      <w:tr>
        <w:tblPrEx>
          <w:tblCellMar>
            <w:top w:w="0" w:type="dxa"/>
            <w:left w:w="108" w:type="dxa"/>
            <w:bottom w:w="0" w:type="dxa"/>
            <w:right w:w="108" w:type="dxa"/>
          </w:tblCellMar>
        </w:tblPrEx>
        <w:trPr>
          <w:trHeight w:val="495" w:hRule="atLeast"/>
        </w:trPr>
        <w:tc>
          <w:tcPr>
            <w:tcW w:w="3811" w:type="dxa"/>
            <w:tcBorders>
              <w:top w:val="nil"/>
              <w:left w:val="single" w:color="auto" w:sz="4" w:space="0"/>
              <w:bottom w:val="single" w:color="auto" w:sz="4" w:space="0"/>
              <w:right w:val="single" w:color="auto" w:sz="4" w:space="0"/>
            </w:tcBorders>
            <w:noWrap w:val="0"/>
            <w:vAlign w:val="center"/>
          </w:tcPr>
          <w:p>
            <w:pPr>
              <w:widowControl/>
              <w:jc w:val="left"/>
              <w:rPr>
                <w:rFonts w:hint="eastAsia" w:ascii="楷体" w:hAnsi="楷体" w:eastAsia="楷体" w:cs="楷体"/>
                <w:color w:val="000000"/>
                <w:kern w:val="0"/>
                <w:sz w:val="24"/>
              </w:rPr>
            </w:pPr>
            <w:r>
              <w:rPr>
                <w:rFonts w:hint="eastAsia" w:ascii="楷体" w:hAnsi="楷体" w:eastAsia="楷体" w:cs="楷体"/>
                <w:color w:val="000000"/>
                <w:kern w:val="0"/>
                <w:sz w:val="24"/>
              </w:rPr>
              <w:t xml:space="preserve">  2、车辆（台、辆）</w:t>
            </w:r>
          </w:p>
        </w:tc>
        <w:tc>
          <w:tcPr>
            <w:tcW w:w="1591" w:type="dxa"/>
            <w:tcBorders>
              <w:top w:val="nil"/>
              <w:left w:val="nil"/>
              <w:bottom w:val="single" w:color="auto" w:sz="4" w:space="0"/>
              <w:right w:val="single" w:color="auto" w:sz="4" w:space="0"/>
            </w:tcBorders>
            <w:noWrap w:val="0"/>
            <w:vAlign w:val="center"/>
          </w:tcPr>
          <w:p>
            <w:pPr>
              <w:widowControl/>
              <w:jc w:val="center"/>
              <w:rPr>
                <w:rFonts w:hint="eastAsia" w:ascii="楷体" w:hAnsi="楷体" w:eastAsia="楷体" w:cs="楷体"/>
                <w:color w:val="000000"/>
                <w:kern w:val="0"/>
                <w:sz w:val="24"/>
              </w:rPr>
            </w:pPr>
            <w:r>
              <w:rPr>
                <w:rFonts w:hint="eastAsia" w:ascii="楷体" w:hAnsi="楷体" w:eastAsia="楷体" w:cs="楷体"/>
                <w:color w:val="000000"/>
                <w:kern w:val="0"/>
                <w:sz w:val="24"/>
              </w:rPr>
              <w:t>2</w:t>
            </w:r>
          </w:p>
        </w:tc>
        <w:tc>
          <w:tcPr>
            <w:tcW w:w="3402" w:type="dxa"/>
            <w:tcBorders>
              <w:top w:val="nil"/>
              <w:left w:val="nil"/>
              <w:bottom w:val="single" w:color="auto" w:sz="4" w:space="0"/>
              <w:right w:val="single" w:color="auto" w:sz="4" w:space="0"/>
            </w:tcBorders>
            <w:noWrap w:val="0"/>
            <w:vAlign w:val="center"/>
          </w:tcPr>
          <w:p>
            <w:pPr>
              <w:widowControl/>
              <w:jc w:val="center"/>
              <w:rPr>
                <w:rFonts w:hint="eastAsia" w:ascii="楷体" w:hAnsi="楷体" w:eastAsia="楷体" w:cs="楷体"/>
                <w:color w:val="000000"/>
                <w:kern w:val="0"/>
                <w:sz w:val="24"/>
              </w:rPr>
            </w:pPr>
            <w:r>
              <w:rPr>
                <w:rFonts w:hint="eastAsia" w:ascii="楷体" w:hAnsi="楷体" w:eastAsia="楷体" w:cs="楷体"/>
                <w:color w:val="000000"/>
                <w:kern w:val="0"/>
                <w:sz w:val="24"/>
              </w:rPr>
              <w:t>40.0735</w:t>
            </w:r>
          </w:p>
        </w:tc>
      </w:tr>
      <w:tr>
        <w:tblPrEx>
          <w:tblCellMar>
            <w:top w:w="0" w:type="dxa"/>
            <w:left w:w="108" w:type="dxa"/>
            <w:bottom w:w="0" w:type="dxa"/>
            <w:right w:w="108" w:type="dxa"/>
          </w:tblCellMar>
        </w:tblPrEx>
        <w:trPr>
          <w:trHeight w:val="611" w:hRule="atLeast"/>
        </w:trPr>
        <w:tc>
          <w:tcPr>
            <w:tcW w:w="3811" w:type="dxa"/>
            <w:tcBorders>
              <w:top w:val="nil"/>
              <w:left w:val="single" w:color="auto" w:sz="4" w:space="0"/>
              <w:bottom w:val="single" w:color="auto" w:sz="4" w:space="0"/>
              <w:right w:val="single" w:color="auto" w:sz="4" w:space="0"/>
            </w:tcBorders>
            <w:noWrap w:val="0"/>
            <w:vAlign w:val="center"/>
          </w:tcPr>
          <w:p>
            <w:pPr>
              <w:widowControl/>
              <w:jc w:val="left"/>
              <w:rPr>
                <w:rFonts w:hint="eastAsia" w:ascii="楷体" w:hAnsi="楷体" w:eastAsia="楷体" w:cs="楷体"/>
                <w:color w:val="000000"/>
                <w:kern w:val="0"/>
                <w:sz w:val="24"/>
              </w:rPr>
            </w:pPr>
            <w:r>
              <w:rPr>
                <w:rFonts w:hint="eastAsia" w:ascii="楷体" w:hAnsi="楷体" w:eastAsia="楷体" w:cs="楷体"/>
                <w:color w:val="000000"/>
                <w:kern w:val="0"/>
                <w:sz w:val="24"/>
              </w:rPr>
              <w:t xml:space="preserve">  3、单价在20万元以上的设备</w:t>
            </w:r>
          </w:p>
        </w:tc>
        <w:tc>
          <w:tcPr>
            <w:tcW w:w="1591" w:type="dxa"/>
            <w:tcBorders>
              <w:top w:val="nil"/>
              <w:left w:val="nil"/>
              <w:bottom w:val="single" w:color="auto" w:sz="4" w:space="0"/>
              <w:right w:val="single" w:color="auto" w:sz="4" w:space="0"/>
            </w:tcBorders>
            <w:noWrap w:val="0"/>
            <w:vAlign w:val="center"/>
          </w:tcPr>
          <w:p>
            <w:pPr>
              <w:widowControl/>
              <w:jc w:val="center"/>
              <w:rPr>
                <w:rFonts w:hint="eastAsia" w:ascii="楷体" w:hAnsi="楷体" w:eastAsia="楷体" w:cs="楷体"/>
                <w:color w:val="000000"/>
                <w:kern w:val="0"/>
                <w:sz w:val="24"/>
              </w:rPr>
            </w:pPr>
            <w:r>
              <w:rPr>
                <w:rFonts w:hint="eastAsia" w:ascii="楷体" w:hAnsi="楷体" w:eastAsia="楷体" w:cs="楷体"/>
                <w:color w:val="000000"/>
                <w:kern w:val="0"/>
                <w:sz w:val="24"/>
              </w:rPr>
              <w:t>—</w:t>
            </w:r>
          </w:p>
        </w:tc>
        <w:tc>
          <w:tcPr>
            <w:tcW w:w="3402" w:type="dxa"/>
            <w:tcBorders>
              <w:top w:val="nil"/>
              <w:left w:val="nil"/>
              <w:bottom w:val="single" w:color="auto" w:sz="4" w:space="0"/>
              <w:right w:val="single" w:color="auto" w:sz="4" w:space="0"/>
            </w:tcBorders>
            <w:noWrap w:val="0"/>
            <w:vAlign w:val="center"/>
          </w:tcPr>
          <w:p>
            <w:pPr>
              <w:widowControl/>
              <w:jc w:val="center"/>
              <w:rPr>
                <w:rFonts w:hint="eastAsia" w:ascii="楷体" w:hAnsi="楷体" w:eastAsia="楷体" w:cs="楷体"/>
                <w:color w:val="000000"/>
                <w:kern w:val="0"/>
                <w:sz w:val="24"/>
              </w:rPr>
            </w:pPr>
            <w:r>
              <w:rPr>
                <w:rFonts w:hint="eastAsia" w:ascii="楷体" w:hAnsi="楷体" w:eastAsia="楷体" w:cs="楷体"/>
                <w:color w:val="000000"/>
                <w:kern w:val="0"/>
                <w:sz w:val="24"/>
              </w:rPr>
              <w:t>0.00</w:t>
            </w:r>
          </w:p>
        </w:tc>
      </w:tr>
      <w:tr>
        <w:tblPrEx>
          <w:tblCellMar>
            <w:top w:w="0" w:type="dxa"/>
            <w:left w:w="108" w:type="dxa"/>
            <w:bottom w:w="0" w:type="dxa"/>
            <w:right w:w="108" w:type="dxa"/>
          </w:tblCellMar>
        </w:tblPrEx>
        <w:trPr>
          <w:trHeight w:val="432" w:hRule="atLeast"/>
        </w:trPr>
        <w:tc>
          <w:tcPr>
            <w:tcW w:w="3811"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楷体" w:hAnsi="楷体" w:eastAsia="楷体" w:cs="楷体"/>
                <w:color w:val="000000"/>
                <w:kern w:val="0"/>
                <w:sz w:val="24"/>
              </w:rPr>
            </w:pPr>
            <w:r>
              <w:rPr>
                <w:rFonts w:hint="eastAsia" w:ascii="楷体" w:hAnsi="楷体" w:eastAsia="楷体" w:cs="楷体"/>
                <w:color w:val="000000"/>
                <w:kern w:val="0"/>
                <w:sz w:val="24"/>
              </w:rPr>
              <w:t xml:space="preserve">  4、其他固定资产</w:t>
            </w:r>
          </w:p>
        </w:tc>
        <w:tc>
          <w:tcPr>
            <w:tcW w:w="1591" w:type="dxa"/>
            <w:tcBorders>
              <w:top w:val="single" w:color="auto" w:sz="4" w:space="0"/>
              <w:left w:val="nil"/>
              <w:bottom w:val="single" w:color="auto" w:sz="4" w:space="0"/>
              <w:right w:val="single" w:color="auto" w:sz="4" w:space="0"/>
            </w:tcBorders>
            <w:noWrap w:val="0"/>
            <w:vAlign w:val="center"/>
          </w:tcPr>
          <w:p>
            <w:pPr>
              <w:jc w:val="center"/>
              <w:rPr>
                <w:rFonts w:hint="eastAsia" w:ascii="楷体" w:hAnsi="楷体" w:eastAsia="楷体" w:cs="楷体"/>
                <w:color w:val="000000"/>
                <w:kern w:val="0"/>
                <w:sz w:val="24"/>
              </w:rPr>
            </w:pPr>
            <w:r>
              <w:rPr>
                <w:rFonts w:hint="eastAsia" w:ascii="楷体" w:hAnsi="楷体" w:eastAsia="楷体" w:cs="楷体"/>
                <w:color w:val="000000"/>
                <w:kern w:val="0"/>
                <w:sz w:val="24"/>
              </w:rPr>
              <w:t>—</w:t>
            </w:r>
          </w:p>
        </w:tc>
        <w:tc>
          <w:tcPr>
            <w:tcW w:w="3402" w:type="dxa"/>
            <w:tcBorders>
              <w:top w:val="single" w:color="auto" w:sz="4" w:space="0"/>
              <w:left w:val="nil"/>
              <w:bottom w:val="single" w:color="auto" w:sz="4" w:space="0"/>
              <w:right w:val="single" w:color="auto" w:sz="4" w:space="0"/>
            </w:tcBorders>
            <w:noWrap w:val="0"/>
            <w:vAlign w:val="center"/>
          </w:tcPr>
          <w:p>
            <w:pPr>
              <w:jc w:val="center"/>
              <w:rPr>
                <w:rFonts w:hint="eastAsia" w:ascii="楷体" w:hAnsi="楷体" w:eastAsia="楷体" w:cs="楷体"/>
                <w:color w:val="000000"/>
                <w:kern w:val="0"/>
                <w:sz w:val="24"/>
              </w:rPr>
            </w:pPr>
            <w:r>
              <w:rPr>
                <w:rFonts w:hint="eastAsia" w:ascii="楷体" w:hAnsi="楷体" w:eastAsia="楷体" w:cs="楷体"/>
                <w:color w:val="000000"/>
                <w:kern w:val="0"/>
                <w:sz w:val="24"/>
              </w:rPr>
              <w:t>25.3286</w:t>
            </w:r>
          </w:p>
        </w:tc>
      </w:tr>
    </w:tbl>
    <w:p>
      <w:pPr>
        <w:spacing w:line="520" w:lineRule="exact"/>
        <w:ind w:firstLine="640" w:firstLineChars="200"/>
        <w:jc w:val="left"/>
        <w:outlineLvl w:val="0"/>
        <w:rPr>
          <w:rFonts w:hint="eastAsia" w:ascii="楷体" w:hAnsi="楷体" w:eastAsia="楷体" w:cs="楷体"/>
          <w:sz w:val="32"/>
          <w:szCs w:val="32"/>
        </w:rPr>
      </w:pPr>
    </w:p>
    <w:p>
      <w:pPr>
        <w:spacing w:line="500" w:lineRule="exact"/>
        <w:jc w:val="center"/>
        <w:outlineLvl w:val="0"/>
        <w:rPr>
          <w:rFonts w:hint="eastAsia" w:ascii="楷体" w:hAnsi="楷体" w:eastAsia="楷体" w:cs="楷体"/>
          <w:sz w:val="32"/>
          <w:szCs w:val="32"/>
        </w:rPr>
      </w:pPr>
      <w:r>
        <w:rPr>
          <w:rFonts w:hint="eastAsia" w:ascii="楷体" w:hAnsi="楷体" w:eastAsia="楷体" w:cs="楷体"/>
          <w:sz w:val="32"/>
          <w:szCs w:val="32"/>
        </w:rPr>
        <w:t>第八部分：名词解释</w:t>
      </w:r>
    </w:p>
    <w:p>
      <w:pPr>
        <w:spacing w:line="500" w:lineRule="exact"/>
        <w:jc w:val="center"/>
        <w:outlineLvl w:val="0"/>
        <w:rPr>
          <w:rFonts w:hint="eastAsia" w:ascii="楷体" w:hAnsi="楷体" w:eastAsia="楷体" w:cs="楷体"/>
          <w:b/>
          <w:sz w:val="32"/>
          <w:szCs w:val="32"/>
        </w:rPr>
      </w:pPr>
    </w:p>
    <w:p>
      <w:pPr>
        <w:spacing w:line="500" w:lineRule="exact"/>
        <w:ind w:firstLine="643" w:firstLineChars="200"/>
        <w:jc w:val="left"/>
        <w:outlineLvl w:val="0"/>
        <w:rPr>
          <w:rFonts w:hint="eastAsia" w:ascii="楷体" w:hAnsi="楷体" w:eastAsia="楷体" w:cs="楷体"/>
          <w:sz w:val="32"/>
          <w:szCs w:val="32"/>
        </w:rPr>
      </w:pPr>
      <w:r>
        <w:rPr>
          <w:rFonts w:hint="eastAsia" w:ascii="楷体" w:hAnsi="楷体" w:eastAsia="楷体" w:cs="楷体"/>
          <w:b/>
          <w:sz w:val="32"/>
          <w:szCs w:val="32"/>
        </w:rPr>
        <w:t>1、财政拨款收入：</w:t>
      </w:r>
      <w:r>
        <w:rPr>
          <w:rFonts w:hint="eastAsia" w:ascii="楷体" w:hAnsi="楷体" w:eastAsia="楷体" w:cs="楷体"/>
          <w:sz w:val="32"/>
          <w:szCs w:val="32"/>
        </w:rPr>
        <w:t>指区级财政当年拨付的资金。</w:t>
      </w:r>
    </w:p>
    <w:p>
      <w:pPr>
        <w:spacing w:line="500" w:lineRule="exact"/>
        <w:ind w:firstLine="643" w:firstLineChars="200"/>
        <w:jc w:val="left"/>
        <w:outlineLvl w:val="0"/>
        <w:rPr>
          <w:rFonts w:hint="eastAsia" w:ascii="楷体" w:hAnsi="楷体" w:eastAsia="楷体" w:cs="楷体"/>
          <w:sz w:val="32"/>
          <w:szCs w:val="32"/>
        </w:rPr>
      </w:pPr>
      <w:r>
        <w:rPr>
          <w:rFonts w:hint="eastAsia" w:ascii="楷体" w:hAnsi="楷体" w:eastAsia="楷体" w:cs="楷体"/>
          <w:b/>
          <w:sz w:val="32"/>
          <w:szCs w:val="32"/>
        </w:rPr>
        <w:t>2、基本支出：</w:t>
      </w:r>
      <w:r>
        <w:rPr>
          <w:rFonts w:hint="eastAsia" w:ascii="楷体" w:hAnsi="楷体" w:eastAsia="楷体" w:cs="楷体"/>
          <w:sz w:val="32"/>
          <w:szCs w:val="32"/>
        </w:rPr>
        <w:t>指为保障机构正常运转、完成日常工作任务而发生的人员支出和公用支出。</w:t>
      </w:r>
    </w:p>
    <w:p>
      <w:pPr>
        <w:spacing w:line="500" w:lineRule="exact"/>
        <w:ind w:firstLine="643" w:firstLineChars="200"/>
        <w:jc w:val="left"/>
        <w:outlineLvl w:val="0"/>
        <w:rPr>
          <w:rFonts w:hint="eastAsia" w:ascii="楷体" w:hAnsi="楷体" w:eastAsia="楷体" w:cs="楷体"/>
          <w:sz w:val="32"/>
          <w:szCs w:val="32"/>
        </w:rPr>
      </w:pPr>
      <w:r>
        <w:rPr>
          <w:rFonts w:hint="eastAsia" w:ascii="楷体" w:hAnsi="楷体" w:eastAsia="楷体" w:cs="楷体"/>
          <w:b/>
          <w:sz w:val="32"/>
          <w:szCs w:val="32"/>
        </w:rPr>
        <w:t>3、项目支出：</w:t>
      </w:r>
      <w:r>
        <w:rPr>
          <w:rFonts w:hint="eastAsia" w:ascii="楷体" w:hAnsi="楷体" w:eastAsia="楷体" w:cs="楷体"/>
          <w:sz w:val="32"/>
          <w:szCs w:val="32"/>
        </w:rPr>
        <w:t>指在基本支出之外为完成特定行政任务和事业发展目标所发生的支出。</w:t>
      </w:r>
    </w:p>
    <w:p>
      <w:pPr>
        <w:spacing w:line="500" w:lineRule="exact"/>
        <w:ind w:firstLine="643" w:firstLineChars="200"/>
        <w:jc w:val="left"/>
        <w:outlineLvl w:val="0"/>
        <w:rPr>
          <w:rFonts w:hint="eastAsia" w:ascii="楷体" w:hAnsi="楷体" w:eastAsia="楷体" w:cs="楷体"/>
          <w:sz w:val="32"/>
          <w:szCs w:val="32"/>
        </w:rPr>
      </w:pPr>
      <w:r>
        <w:rPr>
          <w:rFonts w:hint="eastAsia" w:ascii="楷体" w:hAnsi="楷体" w:eastAsia="楷体" w:cs="楷体"/>
          <w:b/>
          <w:sz w:val="32"/>
          <w:szCs w:val="32"/>
        </w:rPr>
        <w:t>4、“三公”经费：</w:t>
      </w:r>
      <w:r>
        <w:rPr>
          <w:rFonts w:hint="eastAsia" w:ascii="楷体" w:hAnsi="楷体" w:eastAsia="楷体" w:cs="楷体"/>
          <w:sz w:val="32"/>
          <w:szCs w:val="32"/>
        </w:rPr>
        <w:t>纳入区级财政预算管理的“三公”经费，是指区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奖励费用等支出；公务接待费反映单位按规定开支的各类公务接待（含外宾接待）支出。</w:t>
      </w:r>
    </w:p>
    <w:p>
      <w:pPr>
        <w:ind w:firstLine="803" w:firstLineChars="250"/>
        <w:rPr>
          <w:rFonts w:hint="eastAsia" w:ascii="楷体" w:hAnsi="楷体" w:eastAsia="楷体" w:cs="楷体"/>
          <w:sz w:val="32"/>
          <w:szCs w:val="32"/>
        </w:rPr>
      </w:pPr>
      <w:r>
        <w:rPr>
          <w:rFonts w:hint="eastAsia" w:ascii="楷体" w:hAnsi="楷体" w:eastAsia="楷体" w:cs="楷体"/>
          <w:b/>
          <w:sz w:val="32"/>
          <w:szCs w:val="32"/>
        </w:rPr>
        <w:t>5、公务费：</w:t>
      </w:r>
      <w:r>
        <w:rPr>
          <w:rFonts w:hint="eastAsia" w:ascii="楷体" w:hAnsi="楷体" w:eastAsia="楷体" w:cs="楷体"/>
          <w:sz w:val="32"/>
          <w:szCs w:val="32"/>
        </w:rPr>
        <w:t>包括办公费、水电费、邮电费、取暖费、交通费、一般会议费和物业管理费之和。</w:t>
      </w:r>
    </w:p>
    <w:p>
      <w:pPr>
        <w:ind w:firstLine="803" w:firstLineChars="250"/>
        <w:rPr>
          <w:rFonts w:hint="eastAsia" w:ascii="楷体" w:hAnsi="楷体" w:eastAsia="楷体" w:cs="楷体"/>
          <w:sz w:val="32"/>
          <w:szCs w:val="32"/>
        </w:rPr>
      </w:pPr>
      <w:r>
        <w:rPr>
          <w:rFonts w:hint="eastAsia" w:ascii="楷体" w:hAnsi="楷体" w:eastAsia="楷体" w:cs="楷体"/>
          <w:b/>
          <w:sz w:val="32"/>
          <w:szCs w:val="32"/>
        </w:rPr>
        <w:t>6、机关运行费：</w:t>
      </w:r>
      <w:r>
        <w:rPr>
          <w:rFonts w:hint="eastAsia" w:ascii="楷体" w:hAnsi="楷体" w:eastAsia="楷体" w:cs="楷体"/>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627" w:firstLineChars="196"/>
        <w:jc w:val="center"/>
        <w:outlineLvl w:val="0"/>
        <w:rPr>
          <w:rFonts w:hint="eastAsia" w:ascii="楷体" w:hAnsi="楷体" w:eastAsia="楷体" w:cs="楷体"/>
          <w:sz w:val="32"/>
          <w:szCs w:val="32"/>
        </w:rPr>
      </w:pPr>
    </w:p>
    <w:p>
      <w:pPr>
        <w:spacing w:line="500" w:lineRule="exact"/>
        <w:jc w:val="center"/>
        <w:outlineLvl w:val="0"/>
        <w:rPr>
          <w:rFonts w:hint="eastAsia" w:ascii="楷体" w:hAnsi="楷体" w:eastAsia="楷体" w:cs="楷体"/>
          <w:sz w:val="32"/>
          <w:szCs w:val="32"/>
        </w:rPr>
      </w:pPr>
      <w:r>
        <w:rPr>
          <w:rFonts w:hint="eastAsia" w:ascii="楷体" w:hAnsi="楷体" w:eastAsia="楷体" w:cs="楷体"/>
          <w:sz w:val="32"/>
          <w:szCs w:val="32"/>
        </w:rPr>
        <w:t>第九部分：其他需说明的事项</w:t>
      </w:r>
    </w:p>
    <w:p>
      <w:pPr>
        <w:spacing w:line="500" w:lineRule="exact"/>
        <w:ind w:firstLine="1264" w:firstLineChars="395"/>
        <w:jc w:val="left"/>
        <w:outlineLvl w:val="0"/>
        <w:rPr>
          <w:rFonts w:hint="eastAsia" w:ascii="楷体" w:hAnsi="楷体" w:eastAsia="楷体" w:cs="楷体"/>
          <w:sz w:val="32"/>
          <w:szCs w:val="32"/>
        </w:rPr>
      </w:pPr>
    </w:p>
    <w:p>
      <w:pPr>
        <w:spacing w:line="500" w:lineRule="exact"/>
        <w:ind w:firstLine="640" w:firstLineChars="200"/>
        <w:jc w:val="left"/>
        <w:outlineLvl w:val="0"/>
        <w:rPr>
          <w:rFonts w:hint="eastAsia" w:ascii="楷体" w:hAnsi="楷体" w:eastAsia="楷体" w:cs="楷体"/>
          <w:sz w:val="32"/>
          <w:szCs w:val="32"/>
        </w:rPr>
      </w:pPr>
      <w:r>
        <w:rPr>
          <w:rFonts w:hint="eastAsia" w:ascii="楷体" w:hAnsi="楷体" w:eastAsia="楷体" w:cs="楷体"/>
          <w:sz w:val="32"/>
          <w:szCs w:val="32"/>
        </w:rPr>
        <w:t>无其他需说明的事项。</w:t>
      </w:r>
    </w:p>
    <w:p>
      <w:pPr>
        <w:ind w:firstLine="800" w:firstLineChars="250"/>
        <w:rPr>
          <w:rFonts w:hint="eastAsia" w:ascii="楷体" w:hAnsi="楷体" w:eastAsia="楷体" w:cs="楷体"/>
          <w:sz w:val="32"/>
          <w:szCs w:val="32"/>
        </w:rPr>
      </w:pPr>
    </w:p>
    <w:p>
      <w:pPr>
        <w:rPr>
          <w:rFonts w:hint="eastAsia" w:ascii="楷体" w:hAnsi="楷体" w:eastAsia="楷体" w:cs="楷体"/>
          <w:sz w:val="32"/>
          <w:szCs w:val="32"/>
        </w:rPr>
      </w:pPr>
      <w:r>
        <w:rPr>
          <w:rFonts w:hint="eastAsia" w:ascii="楷体" w:hAnsi="楷体" w:eastAsia="楷体" w:cs="楷体"/>
          <w:sz w:val="32"/>
          <w:szCs w:val="32"/>
        </w:rPr>
        <w:t xml:space="preserve">                                     </w:t>
      </w:r>
    </w:p>
    <w:p>
      <w:pPr>
        <w:rPr>
          <w:rFonts w:hint="eastAsia" w:ascii="楷体" w:hAnsi="楷体" w:eastAsia="楷体" w:cs="楷体"/>
          <w:sz w:val="32"/>
          <w:szCs w:val="32"/>
        </w:rPr>
      </w:pPr>
    </w:p>
    <w:p>
      <w:pPr>
        <w:widowControl/>
        <w:spacing w:line="540" w:lineRule="exact"/>
        <w:ind w:firstLine="640" w:firstLineChars="200"/>
        <w:rPr>
          <w:rFonts w:hint="eastAsia" w:ascii="楷体" w:hAnsi="楷体" w:eastAsia="楷体" w:cs="楷体"/>
          <w:sz w:val="32"/>
          <w:szCs w:val="32"/>
        </w:rPr>
      </w:pPr>
    </w:p>
    <w:p>
      <w:pPr>
        <w:widowControl/>
        <w:spacing w:line="540" w:lineRule="exact"/>
        <w:ind w:firstLine="640" w:firstLineChars="200"/>
        <w:rPr>
          <w:rFonts w:hint="eastAsia" w:ascii="楷体" w:hAnsi="楷体" w:eastAsia="楷体" w:cs="楷体"/>
          <w:sz w:val="32"/>
          <w:szCs w:val="32"/>
        </w:rPr>
      </w:pPr>
    </w:p>
    <w:p>
      <w:pPr>
        <w:widowControl/>
        <w:spacing w:line="540" w:lineRule="exact"/>
        <w:ind w:firstLine="640" w:firstLineChars="200"/>
        <w:rPr>
          <w:rFonts w:hint="eastAsia" w:ascii="楷体" w:hAnsi="楷体" w:eastAsia="楷体" w:cs="楷体"/>
          <w:sz w:val="32"/>
          <w:szCs w:val="32"/>
        </w:rPr>
      </w:pPr>
    </w:p>
    <w:p>
      <w:pPr>
        <w:widowControl/>
        <w:spacing w:line="540" w:lineRule="exact"/>
        <w:ind w:firstLine="640" w:firstLineChars="200"/>
        <w:rPr>
          <w:rFonts w:hint="eastAsia" w:ascii="楷体" w:hAnsi="楷体" w:eastAsia="楷体" w:cs="楷体"/>
          <w:sz w:val="32"/>
          <w:szCs w:val="32"/>
        </w:rPr>
      </w:pPr>
    </w:p>
    <w:p>
      <w:pPr>
        <w:widowControl/>
        <w:spacing w:line="540" w:lineRule="exact"/>
        <w:ind w:firstLine="640" w:firstLineChars="200"/>
        <w:rPr>
          <w:rFonts w:hint="eastAsia" w:ascii="楷体" w:hAnsi="楷体" w:eastAsia="楷体" w:cs="楷体"/>
          <w:sz w:val="32"/>
          <w:szCs w:val="32"/>
        </w:rPr>
      </w:pPr>
    </w:p>
    <w:p>
      <w:pPr>
        <w:widowControl/>
        <w:spacing w:line="540" w:lineRule="exact"/>
        <w:ind w:firstLine="640" w:firstLineChars="200"/>
        <w:rPr>
          <w:rFonts w:hint="eastAsia" w:ascii="楷体" w:hAnsi="楷体" w:eastAsia="楷体" w:cs="楷体"/>
          <w:sz w:val="32"/>
          <w:szCs w:val="32"/>
        </w:rPr>
      </w:pPr>
    </w:p>
    <w:bookmarkEnd w:id="2"/>
    <w:p>
      <w:pPr>
        <w:widowControl/>
        <w:spacing w:line="540" w:lineRule="exact"/>
        <w:ind w:firstLine="640" w:firstLineChars="200"/>
        <w:rPr>
          <w:rFonts w:hint="eastAsia" w:ascii="楷体" w:hAnsi="楷体" w:eastAsia="楷体" w:cs="楷体"/>
          <w:sz w:val="32"/>
          <w:szCs w:val="32"/>
        </w:rPr>
      </w:pPr>
    </w:p>
    <w:sectPr>
      <w:pgSz w:w="11907" w:h="16839"/>
      <w:pgMar w:top="1361" w:right="1020" w:bottom="1361" w:left="102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_GBK">
    <w:altName w:val="宋体"/>
    <w:panose1 w:val="00000000000000000000"/>
    <w:charset w:val="86"/>
    <w:family w:val="roma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仿宋_GBK">
    <w:altName w:val="微软雅黑"/>
    <w:panose1 w:val="00000000000000000000"/>
    <w:charset w:val="86"/>
    <w:family w:val="script"/>
    <w:pitch w:val="default"/>
    <w:sig w:usb0="00000000" w:usb1="00000000" w:usb2="00000010" w:usb3="00000000" w:csb0="00040000" w:csb1="00000000"/>
  </w:font>
  <w:font w:name="方正楷体_GBK">
    <w:altName w:val="宋体"/>
    <w:panose1 w:val="00000000000000000000"/>
    <w:charset w:val="86"/>
    <w:family w:val="roman"/>
    <w:pitch w:val="default"/>
    <w:sig w:usb0="00000000" w:usb1="00000000" w:usb2="00000000" w:usb3="00000000" w:csb0="00040001" w:csb1="00000000"/>
  </w:font>
  <w:font w:name="方正书宋_GBK">
    <w:altName w:val="宋体"/>
    <w:panose1 w:val="00000000000000000000"/>
    <w:charset w:val="86"/>
    <w:family w:val="roma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11"/>
      </w:rPr>
    </w:pPr>
    <w:r>
      <w:fldChar w:fldCharType="begin"/>
    </w:r>
    <w:r>
      <w:rPr>
        <w:rStyle w:val="11"/>
      </w:rPr>
      <w:instrText xml:space="preserve">PAGE  </w:instrText>
    </w:r>
    <w:r>
      <w:fldChar w:fldCharType="separate"/>
    </w:r>
    <w:r>
      <w:rPr>
        <w:rStyle w:val="11"/>
      </w:rPr>
      <w:t>6</w:t>
    </w:r>
    <w:r>
      <w:fldChar w:fldCharType="end"/>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footnote>
  <w:footnote w:type="continuationSeparator" w:id="3">
    <w:p/>
  </w:footnote>
  <w:footnote w:id="0">
    <w:p>
      <w:pPr>
        <w:pStyle w:val="6"/>
        <w:rPr>
          <w:rFonts w:hint="eastAsia"/>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C4702D"/>
    <w:multiLevelType w:val="singleLevel"/>
    <w:tmpl w:val="5AC4702D"/>
    <w:lvl w:ilvl="0" w:tentative="0">
      <w:start w:val="12"/>
      <w:numFmt w:val="decimal"/>
      <w:suff w:val="nothing"/>
      <w:lvlText w:val="%1、"/>
      <w:lvlJc w:val="left"/>
    </w:lvl>
  </w:abstractNum>
  <w:abstractNum w:abstractNumId="1">
    <w:nsid w:val="5AC47184"/>
    <w:multiLevelType w:val="singleLevel"/>
    <w:tmpl w:val="5AC47184"/>
    <w:lvl w:ilvl="0" w:tentative="0">
      <w:start w:val="2"/>
      <w:numFmt w:val="chineseCounting"/>
      <w:suff w:val="nothing"/>
      <w:lvlText w:val="第%1部"/>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footnotePr>
    <w:footnote w:id="2"/>
    <w:footnote w:id="3"/>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IxNzMwZjUxNjg5OTM3YTRhMDk3ZDQxMjk0Mjk2MjgifQ=="/>
  </w:docVars>
  <w:rsids>
    <w:rsidRoot w:val="00727B2E"/>
    <w:rsid w:val="000A0E9C"/>
    <w:rsid w:val="000F1AF8"/>
    <w:rsid w:val="000F5458"/>
    <w:rsid w:val="00104B61"/>
    <w:rsid w:val="00146A7B"/>
    <w:rsid w:val="00153538"/>
    <w:rsid w:val="0026207B"/>
    <w:rsid w:val="002B4192"/>
    <w:rsid w:val="002C366C"/>
    <w:rsid w:val="002D5472"/>
    <w:rsid w:val="003E60B3"/>
    <w:rsid w:val="0040705C"/>
    <w:rsid w:val="004B2CE0"/>
    <w:rsid w:val="00543A5E"/>
    <w:rsid w:val="005A4721"/>
    <w:rsid w:val="00610C01"/>
    <w:rsid w:val="006C6706"/>
    <w:rsid w:val="00712C89"/>
    <w:rsid w:val="00727B2E"/>
    <w:rsid w:val="00751BCA"/>
    <w:rsid w:val="007A6C28"/>
    <w:rsid w:val="007A719C"/>
    <w:rsid w:val="007F21FE"/>
    <w:rsid w:val="008527C6"/>
    <w:rsid w:val="00963156"/>
    <w:rsid w:val="00997180"/>
    <w:rsid w:val="009C097A"/>
    <w:rsid w:val="009E0712"/>
    <w:rsid w:val="00B65BA5"/>
    <w:rsid w:val="00C863FB"/>
    <w:rsid w:val="00D52070"/>
    <w:rsid w:val="00FF6F4E"/>
    <w:rsid w:val="045E6B7F"/>
    <w:rsid w:val="128C7073"/>
    <w:rsid w:val="13F06A30"/>
    <w:rsid w:val="2ABC02B3"/>
    <w:rsid w:val="325356E2"/>
    <w:rsid w:val="34C53AE3"/>
    <w:rsid w:val="376F451A"/>
    <w:rsid w:val="4ACD28C3"/>
    <w:rsid w:val="4C26537C"/>
    <w:rsid w:val="5011668B"/>
    <w:rsid w:val="54EC1CA0"/>
    <w:rsid w:val="55177153"/>
    <w:rsid w:val="5CA076B8"/>
    <w:rsid w:val="71AA3CCF"/>
    <w:rsid w:val="79224AA7"/>
    <w:rsid w:val="7C5F1B5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alloon Text"/>
    <w:basedOn w:val="1"/>
    <w:semiHidden/>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5">
    <w:name w:val="toc 1"/>
    <w:basedOn w:val="1"/>
    <w:next w:val="1"/>
    <w:uiPriority w:val="39"/>
  </w:style>
  <w:style w:type="paragraph" w:styleId="6">
    <w:name w:val="footnote text"/>
    <w:basedOn w:val="1"/>
    <w:semiHidden/>
    <w:uiPriority w:val="0"/>
    <w:pPr>
      <w:snapToGrid w:val="0"/>
      <w:jc w:val="left"/>
    </w:pPr>
    <w:rPr>
      <w:sz w:val="18"/>
      <w:szCs w:val="18"/>
    </w:rPr>
  </w:style>
  <w:style w:type="paragraph" w:styleId="7">
    <w:name w:val="toc 2"/>
    <w:basedOn w:val="1"/>
    <w:next w:val="1"/>
    <w:qFormat/>
    <w:uiPriority w:val="39"/>
    <w:pPr>
      <w:ind w:left="420" w:leftChars="200"/>
    </w:pPr>
  </w:style>
  <w:style w:type="paragraph" w:styleId="8">
    <w:name w:val="Normal (Web)"/>
    <w:basedOn w:val="1"/>
    <w:uiPriority w:val="0"/>
    <w:pPr>
      <w:spacing w:before="100" w:beforeAutospacing="1" w:after="100" w:afterAutospacing="1"/>
      <w:jc w:val="left"/>
    </w:pPr>
    <w:rPr>
      <w:kern w:val="0"/>
      <w:sz w:val="24"/>
    </w:rPr>
  </w:style>
  <w:style w:type="character" w:styleId="11">
    <w:name w:val="page number"/>
    <w:basedOn w:val="10"/>
    <w:qFormat/>
    <w:uiPriority w:val="0"/>
  </w:style>
  <w:style w:type="character" w:styleId="12">
    <w:name w:val="Hyperlink"/>
    <w:qFormat/>
    <w:uiPriority w:val="99"/>
    <w:rPr>
      <w:color w:val="0000FF"/>
      <w:u w:val="single"/>
    </w:rPr>
  </w:style>
  <w:style w:type="character" w:styleId="13">
    <w:name w:val="footnote reference"/>
    <w:semiHidden/>
    <w:qFormat/>
    <w:uiPriority w:val="0"/>
    <w:rPr>
      <w:vertAlign w:val="superscript"/>
    </w:rPr>
  </w:style>
  <w:style w:type="paragraph" w:styleId="14">
    <w:name w:val="List Paragraph"/>
    <w:basedOn w:val="1"/>
    <w:qFormat/>
    <w:uiPriority w:val="0"/>
    <w:pPr>
      <w:widowControl/>
      <w:adjustRightInd w:val="0"/>
      <w:snapToGrid w:val="0"/>
      <w:spacing w:after="200"/>
      <w:ind w:firstLine="420" w:firstLineChars="200"/>
      <w:jc w:val="left"/>
    </w:pPr>
    <w:rPr>
      <w:rFonts w:ascii="Tahoma" w:hAnsi="Tahoma" w:eastAsia="微软雅黑"/>
      <w:kern w:val="0"/>
      <w:sz w:val="22"/>
    </w:rPr>
  </w:style>
  <w:style w:type="paragraph" w:customStyle="1" w:styleId="15">
    <w:name w:val="[Normal]"/>
    <w:uiPriority w:val="0"/>
    <w:pPr>
      <w:widowControl w:val="0"/>
      <w:autoSpaceDE w:val="0"/>
      <w:autoSpaceDN w:val="0"/>
      <w:adjustRightInd w:val="0"/>
    </w:pPr>
    <w:rPr>
      <w:rFonts w:ascii="宋体" w:hAnsi="Times New Roman" w:eastAsia="宋体" w:cs="宋体"/>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 China</Company>
  <Pages>30</Pages>
  <Words>2545</Words>
  <Characters>14511</Characters>
  <Lines>120</Lines>
  <Paragraphs>34</Paragraphs>
  <TotalTime>9</TotalTime>
  <ScaleCrop>false</ScaleCrop>
  <LinksUpToDate>false</LinksUpToDate>
  <CharactersWithSpaces>17022</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2021-05-31T12:45:00Z</dcterms:created>
  <dc:creator>郭维曦</dc:creator>
  <cp:lastModifiedBy>Administrator</cp:lastModifiedBy>
  <cp:lastPrinted>2019-03-13T10:54:00Z</cp:lastPrinted>
  <dcterms:modified xsi:type="dcterms:W3CDTF">2024-01-11T07:01:48Z</dcterms:modified>
  <dc:title> </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6B49A7218F084180B0D230CC1BD78E31</vt:lpwstr>
  </property>
</Properties>
</file>