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保定市满城区人民检察院</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hint="eastAsia" w:ascii="仿宋_GB2312" w:hAnsi="仿宋" w:eastAsia="仿宋_GB2312" w:cs="仿宋_GB2312"/>
          <w:sz w:val="32"/>
          <w:szCs w:val="32"/>
        </w:rPr>
      </w:pP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bookmarkStart w:id="1" w:name="_GoBack"/>
      <w:bookmarkEnd w:id="1"/>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规定，现将保定市满城区人民检察院2019年部门预算公开如下：</w:t>
      </w:r>
    </w:p>
    <w:p>
      <w:pP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保定市满城区人民检察院由行政编制组成,部门职责是检察监督、控告和刑事申诉检察和检察事务管理。</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1、检察监督，对侦查机关的侦查活动、人民法院的审判活动、监狱看守所等机关执行刑罚的活动，依法实行法律监督，维护司法公正。侦查监督：侦查监督职能的行使贯穿刑事立案到侦查终结全过程。主要包括审查逮捕、立案监督和侦查活动监督等职能。公诉和审判监督：审查起诉；对上诉、抗诉案件及再审案件进行审查；出庭支持公诉。民事行政诉讼监督：依法对民事诉讼和行政诉讼实行法律监督，维护司法公正和司法权威，保障国家法律的统一正确实施。刑事执行监督：依法对刑罚执行和监管活动实行监督，维护刑罚执行和监管活动的公平公正，维护监管秩序稳定，维护被监管人合法权益，保障国家法律统一正确实施。未成年人刑事检察：办理并指导全区检察机关未成年人犯罪案件的审查逮捕、审查起诉工作，依法履行立案监督、侦查活动监督、审判监督、执行监督职能；开展预防未成年人犯罪综合治理工作；依法保护刑事案件未成年被害人的合法权益。司法辅助：保障办案安全、负责全区检察机关司法警察的授衔和管理工作；开展、规划和指导全区检察机关技术工作和物证检验、鉴定、审核等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控告和刑事申诉检察，组织和指导全区控申部门受理来信来访、举报、刑事申诉、国家赔偿、司法救助工作，受理民事监督案件，办理区院管辖的信访、举报案件、刑事申诉案件、国家赔偿、司法救助案件以及上级机关交办、转办、督办案件。涉检信访办理：统一受理报案、控告、举报、申诉和犯罪嫌疑人投案自首，办理对公检法三机关及工作人员阻碍辩护人、诉讼代理人依法行使诉讼权利的控告或申诉，办理对本院办案中违法行为的控告或申诉，受理民事监督案件。举报管理、刑事申诉及涉检国家赔偿和司法救助：受理初核对国家工作人员职务犯罪的举报；受理、审查和复查当事人不服的刑事申诉案件；统一办理人民检察院作为赔偿义务机关的刑事赔偿、复议案件，对人民法院赔偿委员会判决、裁定进行监督，开展司法救助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3、检察事务管理，承担系统综合业务管理和综合事务管理工作。综合业务管理：确定全区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综合事务管理：组织指导全区检察人员的教育培训工作和涉外交流工作，规划和指导全区检察系统培训基地及师资队伍建设等工作；进行检察装备建设及维护；配备制式检察服装及法警服装；进行基础设施建设和维护。</w:t>
      </w:r>
    </w:p>
    <w:p>
      <w:pPr>
        <w:jc w:val="left"/>
        <w:rPr>
          <w:rFonts w:hint="eastAsia" w:ascii="方正楷体_GBK" w:eastAsia="方正楷体_GBK"/>
          <w:b/>
          <w:sz w:val="28"/>
        </w:rPr>
        <w:sectPr>
          <w:pgSz w:w="11907" w:h="16839"/>
          <w:pgMar w:top="1531" w:right="1134" w:bottom="1474" w:left="1134" w:header="851" w:footer="992" w:gutter="0"/>
          <w:cols w:space="720" w:num="1"/>
          <w:docGrid w:linePitch="312" w:charSpace="0"/>
        </w:sectPr>
      </w:pPr>
    </w:p>
    <w:p>
      <w:pPr>
        <w:jc w:val="center"/>
        <w:outlineLvl w:val="0"/>
        <w:rPr>
          <w:rFonts w:hint="eastAsia" w:ascii="方正小标宋_GBK" w:eastAsia="方正小标宋_GBK"/>
          <w:sz w:val="32"/>
        </w:rPr>
      </w:pPr>
      <w:bookmarkStart w:id="0" w:name="_Toc477963878"/>
    </w:p>
    <w:bookmarkEnd w:id="0"/>
    <w:p>
      <w:pPr>
        <w:spacing w:line="620" w:lineRule="exact"/>
        <w:ind w:firstLine="643" w:firstLineChars="200"/>
        <w:rPr>
          <w:rFonts w:hint="eastAsia" w:ascii="宋体" w:hAnsi="宋体"/>
          <w:b/>
          <w:bCs/>
          <w:sz w:val="32"/>
          <w:szCs w:val="32"/>
        </w:rPr>
      </w:pPr>
      <w:r>
        <w:rPr>
          <w:rFonts w:hint="eastAsia" w:ascii="宋体" w:hAnsi="宋体"/>
          <w:b/>
          <w:bCs/>
          <w:sz w:val="32"/>
          <w:szCs w:val="32"/>
        </w:rPr>
        <w:t>二、内设机构</w:t>
      </w:r>
    </w:p>
    <w:tbl>
      <w:tblPr>
        <w:tblStyle w:val="7"/>
        <w:tblW w:w="9796" w:type="dxa"/>
        <w:tblInd w:w="93" w:type="dxa"/>
        <w:tblLayout w:type="autofit"/>
        <w:tblCellMar>
          <w:top w:w="0" w:type="dxa"/>
          <w:left w:w="108" w:type="dxa"/>
          <w:bottom w:w="0" w:type="dxa"/>
          <w:right w:w="108" w:type="dxa"/>
        </w:tblCellMar>
      </w:tblPr>
      <w:tblGrid>
        <w:gridCol w:w="9796"/>
      </w:tblGrid>
      <w:tr>
        <w:tblPrEx>
          <w:tblCellMar>
            <w:top w:w="0" w:type="dxa"/>
            <w:left w:w="108" w:type="dxa"/>
            <w:bottom w:w="0" w:type="dxa"/>
            <w:right w:w="108" w:type="dxa"/>
          </w:tblCellMar>
        </w:tblPrEx>
        <w:trPr>
          <w:wBefore w:w="0" w:type="dxa"/>
          <w:wAfter w:w="0" w:type="dxa"/>
          <w:trHeight w:val="810" w:hRule="atLeast"/>
        </w:trPr>
        <w:tc>
          <w:tcPr>
            <w:tcW w:w="9796" w:type="dxa"/>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部门机构设置情况</w:t>
            </w:r>
          </w:p>
          <w:p>
            <w:pPr>
              <w:widowControl/>
              <w:jc w:val="center"/>
              <w:rPr>
                <w:rFonts w:hint="eastAsia" w:ascii="宋体" w:hAnsi="宋体" w:cs="宋体"/>
                <w:color w:val="000000"/>
                <w:kern w:val="0"/>
                <w:sz w:val="28"/>
                <w:szCs w:val="28"/>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2266"/>
              <w:gridCol w:w="2071"/>
              <w:gridCol w:w="1857"/>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1184"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1082"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970"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单位规格</w:t>
                  </w:r>
                </w:p>
              </w:tc>
              <w:tc>
                <w:tcPr>
                  <w:tcW w:w="1213"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 w:hRule="atLeast"/>
              </w:trPr>
              <w:tc>
                <w:tcPr>
                  <w:tcW w:w="551" w:type="pct"/>
                  <w:vMerge w:val="continue"/>
                  <w:noWrap w:val="0"/>
                  <w:vAlign w:val="center"/>
                </w:tcPr>
                <w:p>
                  <w:pPr>
                    <w:widowControl/>
                    <w:jc w:val="center"/>
                    <w:rPr>
                      <w:rFonts w:hint="eastAsia" w:ascii="宋体" w:hAnsi="宋体" w:cs="宋体"/>
                      <w:color w:val="000000"/>
                      <w:kern w:val="0"/>
                      <w:sz w:val="24"/>
                      <w:szCs w:val="24"/>
                    </w:rPr>
                  </w:pPr>
                </w:p>
              </w:tc>
              <w:tc>
                <w:tcPr>
                  <w:tcW w:w="1184" w:type="pct"/>
                  <w:vMerge w:val="continue"/>
                  <w:noWrap w:val="0"/>
                  <w:vAlign w:val="center"/>
                </w:tcPr>
                <w:p>
                  <w:pPr>
                    <w:widowControl/>
                    <w:jc w:val="center"/>
                    <w:rPr>
                      <w:rFonts w:hint="eastAsia" w:ascii="宋体" w:hAnsi="宋体" w:cs="宋体"/>
                      <w:color w:val="000000"/>
                      <w:kern w:val="0"/>
                      <w:sz w:val="24"/>
                      <w:szCs w:val="24"/>
                    </w:rPr>
                  </w:pPr>
                </w:p>
              </w:tc>
              <w:tc>
                <w:tcPr>
                  <w:tcW w:w="1082" w:type="pct"/>
                  <w:vMerge w:val="continue"/>
                  <w:noWrap w:val="0"/>
                  <w:vAlign w:val="center"/>
                </w:tcPr>
                <w:p>
                  <w:pPr>
                    <w:widowControl/>
                    <w:jc w:val="center"/>
                    <w:rPr>
                      <w:rFonts w:hint="eastAsia" w:ascii="宋体" w:hAnsi="宋体" w:cs="宋体"/>
                      <w:color w:val="000000"/>
                      <w:kern w:val="0"/>
                      <w:sz w:val="24"/>
                      <w:szCs w:val="24"/>
                    </w:rPr>
                  </w:pPr>
                </w:p>
              </w:tc>
              <w:tc>
                <w:tcPr>
                  <w:tcW w:w="970" w:type="pct"/>
                  <w:vMerge w:val="continue"/>
                  <w:noWrap w:val="0"/>
                  <w:vAlign w:val="center"/>
                </w:tcPr>
                <w:p>
                  <w:pPr>
                    <w:widowControl/>
                    <w:jc w:val="center"/>
                    <w:rPr>
                      <w:rFonts w:hint="eastAsia" w:ascii="宋体" w:hAnsi="宋体" w:cs="宋体"/>
                      <w:color w:val="000000"/>
                      <w:kern w:val="0"/>
                      <w:sz w:val="24"/>
                      <w:szCs w:val="24"/>
                    </w:rPr>
                  </w:pPr>
                </w:p>
              </w:tc>
              <w:tc>
                <w:tcPr>
                  <w:tcW w:w="1213" w:type="pct"/>
                  <w:vMerge w:val="continue"/>
                  <w:noWrap w:val="0"/>
                  <w:vAlign w:val="center"/>
                </w:tcPr>
                <w:p>
                  <w:pPr>
                    <w:widowControl/>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办公室（加挂“计划财务装备科”）</w:t>
                  </w:r>
                </w:p>
              </w:tc>
              <w:tc>
                <w:tcPr>
                  <w:tcW w:w="1082"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政治处</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副科级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侦查监督科</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公诉科</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刑事执行检察局</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民事行政检察科</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控告申诉检察科（与举报中心、刑事赔偿工作办公室一个机构三块牌子）</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法律政策研究室</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法警队</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未成年人刑事检察科</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1"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11</w:t>
                  </w:r>
                </w:p>
              </w:tc>
              <w:tc>
                <w:tcPr>
                  <w:tcW w:w="1184"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检察技术科</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bl>
          <w:p>
            <w:pPr>
              <w:widowControl/>
              <w:jc w:val="center"/>
              <w:rPr>
                <w:rFonts w:hint="eastAsia" w:ascii="宋体" w:hAnsi="宋体" w:cs="宋体"/>
                <w:color w:val="000000"/>
                <w:kern w:val="0"/>
                <w:sz w:val="28"/>
                <w:szCs w:val="28"/>
              </w:rPr>
            </w:pPr>
          </w:p>
        </w:tc>
      </w:tr>
    </w:tbl>
    <w:p>
      <w:pPr>
        <w:jc w:val="left"/>
        <w:rPr>
          <w:rFonts w:hint="eastAsia" w:ascii="方正楷体_GBK" w:eastAsia="方正楷体_GBK"/>
          <w:b/>
          <w:sz w:val="28"/>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第二部分：部门预算安排的总体情况</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一、收入说明</w:t>
      </w:r>
    </w:p>
    <w:p>
      <w:pPr>
        <w:ind w:firstLine="630" w:firstLineChars="196"/>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2019年检察院年初部门收入预算总额为1270.61万元。其中：一般公共预算收入1270.61万元。</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二、支出说明</w:t>
      </w:r>
    </w:p>
    <w:p>
      <w:pPr>
        <w:ind w:firstLine="643" w:firstLineChars="200"/>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2019年部门支出安排预算总额：1270.61万元</w:t>
      </w:r>
    </w:p>
    <w:p>
      <w:pPr>
        <w:ind w:firstLine="960" w:firstLineChars="300"/>
        <w:rPr>
          <w:rFonts w:hint="eastAsia" w:ascii="宋体" w:hAnsi="宋体"/>
          <w:sz w:val="32"/>
          <w:szCs w:val="32"/>
        </w:rPr>
      </w:pPr>
      <w:r>
        <w:rPr>
          <w:rFonts w:hint="eastAsia" w:ascii="宋体" w:hAnsi="宋体"/>
          <w:sz w:val="32"/>
          <w:szCs w:val="32"/>
        </w:rPr>
        <w:t>1、基本支出1097.61万元</w:t>
      </w:r>
    </w:p>
    <w:p>
      <w:pPr>
        <w:rPr>
          <w:rFonts w:hint="eastAsia" w:ascii="宋体" w:hAnsi="宋体"/>
          <w:sz w:val="32"/>
          <w:szCs w:val="32"/>
        </w:rPr>
      </w:pPr>
      <w:r>
        <w:rPr>
          <w:rFonts w:hint="eastAsia" w:ascii="宋体" w:hAnsi="宋体"/>
          <w:sz w:val="32"/>
          <w:szCs w:val="32"/>
        </w:rPr>
        <w:t xml:space="preserve">       其中： 人员经费1011.69万元</w:t>
      </w:r>
    </w:p>
    <w:p>
      <w:pPr>
        <w:rPr>
          <w:rFonts w:hint="eastAsia" w:ascii="宋体" w:hAnsi="宋体"/>
          <w:sz w:val="32"/>
          <w:szCs w:val="32"/>
        </w:rPr>
      </w:pPr>
      <w:r>
        <w:rPr>
          <w:rFonts w:hint="eastAsia" w:ascii="宋体" w:hAnsi="宋体"/>
          <w:sz w:val="32"/>
          <w:szCs w:val="32"/>
        </w:rPr>
        <w:t xml:space="preserve">              日常公用经费85.91万元</w:t>
      </w:r>
    </w:p>
    <w:p>
      <w:pPr>
        <w:ind w:firstLine="960" w:firstLineChars="300"/>
        <w:rPr>
          <w:rFonts w:hint="eastAsia" w:ascii="宋体" w:hAnsi="宋体"/>
          <w:sz w:val="32"/>
          <w:szCs w:val="32"/>
        </w:rPr>
      </w:pPr>
      <w:r>
        <w:rPr>
          <w:rFonts w:hint="eastAsia" w:ascii="宋体" w:hAnsi="宋体"/>
          <w:sz w:val="32"/>
          <w:szCs w:val="32"/>
        </w:rPr>
        <w:t>2、项目支出173万元</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三、比上年增减情况</w:t>
      </w:r>
    </w:p>
    <w:p>
      <w:pPr>
        <w:ind w:firstLine="800" w:firstLineChars="250"/>
        <w:rPr>
          <w:rFonts w:hint="eastAsia" w:ascii="宋体" w:hAnsi="宋体"/>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2019年度部门预算收支安排1270.61万元，较2019年度预算增加了196.47万元。其中：基本支出</w:t>
      </w:r>
      <w:r>
        <w:rPr>
          <w:rFonts w:hint="eastAsia" w:ascii="宋体" w:hAnsi="宋体"/>
          <w:sz w:val="32"/>
          <w:szCs w:val="32"/>
        </w:rPr>
        <w:t>1097.61</w:t>
      </w:r>
      <w:r>
        <w:rPr>
          <w:rFonts w:hint="eastAsia" w:ascii="宋体" w:hAnsi="宋体" w:cs="宋体"/>
          <w:kern w:val="0"/>
          <w:sz w:val="32"/>
          <w:szCs w:val="32"/>
        </w:rPr>
        <w:t>万元，比2018年增加211.46万元,主要原因为人员经费增加，扫黑除恶、公益诉讼经费增加；项目支出173万元，比2018年预算减少15万元,主要原因是</w:t>
      </w:r>
      <w:r>
        <w:rPr>
          <w:rFonts w:hint="eastAsia" w:ascii="仿宋" w:hAnsi="仿宋" w:eastAsia="仿宋" w:cs="仿宋_GB2312"/>
          <w:spacing w:val="-8"/>
          <w:sz w:val="32"/>
          <w:szCs w:val="32"/>
        </w:rPr>
        <w:t>2</w:t>
      </w:r>
      <w:r>
        <w:rPr>
          <w:rFonts w:hint="eastAsia" w:ascii="宋体" w:hAnsi="宋体" w:cs="宋体"/>
          <w:kern w:val="0"/>
          <w:sz w:val="32"/>
          <w:szCs w:val="32"/>
        </w:rPr>
        <w:t>017年部分采购项目为跨年度支付，于2018年度完成项目款项发放。</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2019年我院的各项支出以将全面贯彻党和国家的有关政策、认真遵守财经纪律为准则，严格按预算规定的标准、用途执行，做到经费按进度，专款要专用，力争全面提高检察业务资金的使用效率。</w:t>
      </w:r>
    </w:p>
    <w:p>
      <w:pPr>
        <w:spacing w:line="500" w:lineRule="exact"/>
        <w:ind w:firstLine="630" w:firstLineChars="196"/>
        <w:jc w:val="left"/>
        <w:outlineLvl w:val="0"/>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hint="eastAsia"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2019年机关运行经费安排85.91万元，其中办公费3.44万元，邮电费22.14万元，公务用车运行维护费34.20万元，公务接待费1.68万元，其他交通费23.58万元，其他商品服务支出0.87万元。</w:t>
      </w:r>
    </w:p>
    <w:p>
      <w:pPr>
        <w:widowControl/>
        <w:spacing w:before="100" w:beforeAutospacing="1" w:after="100" w:afterAutospacing="1" w:line="420" w:lineRule="atLeast"/>
        <w:rPr>
          <w:rFonts w:hint="eastAsia"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5000" w:type="pct"/>
        <w:tblInd w:w="0" w:type="dxa"/>
        <w:tblLayout w:type="autofit"/>
        <w:tblCellMar>
          <w:top w:w="0" w:type="dxa"/>
          <w:left w:w="108" w:type="dxa"/>
          <w:bottom w:w="0" w:type="dxa"/>
          <w:right w:w="108" w:type="dxa"/>
        </w:tblCellMar>
      </w:tblPr>
      <w:tblGrid>
        <w:gridCol w:w="3046"/>
        <w:gridCol w:w="1818"/>
        <w:gridCol w:w="430"/>
        <w:gridCol w:w="1388"/>
        <w:gridCol w:w="860"/>
        <w:gridCol w:w="958"/>
        <w:gridCol w:w="5550"/>
      </w:tblGrid>
      <w:tr>
        <w:tblPrEx>
          <w:tblCellMar>
            <w:top w:w="0" w:type="dxa"/>
            <w:left w:w="108" w:type="dxa"/>
            <w:bottom w:w="0" w:type="dxa"/>
            <w:right w:w="108" w:type="dxa"/>
          </w:tblCellMar>
        </w:tblPrEx>
        <w:trPr>
          <w:wBefore w:w="0" w:type="dxa"/>
          <w:wAfter w:w="0" w:type="dxa"/>
          <w:trHeight w:val="405" w:hRule="atLeast"/>
        </w:trPr>
        <w:tc>
          <w:tcPr>
            <w:tcW w:w="5000" w:type="pct"/>
            <w:gridSpan w:val="7"/>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wBefore w:w="0" w:type="dxa"/>
          <w:wAfter w:w="0" w:type="dxa"/>
          <w:trHeight w:val="285" w:hRule="atLeast"/>
        </w:trPr>
        <w:tc>
          <w:tcPr>
            <w:tcW w:w="1084" w:type="pct"/>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00" w:type="pct"/>
            <w:gridSpan w:val="2"/>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00" w:type="pct"/>
            <w:gridSpan w:val="2"/>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41" w:type="pct"/>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975" w:type="pct"/>
            <w:noWrap/>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wBefore w:w="0" w:type="dxa"/>
          <w:wAfter w:w="0" w:type="dxa"/>
          <w:trHeight w:val="688" w:hRule="atLeast"/>
        </w:trPr>
        <w:tc>
          <w:tcPr>
            <w:tcW w:w="1084" w:type="pct"/>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647" w:type="pct"/>
            <w:tcBorders>
              <w:top w:val="single" w:color="auto" w:sz="8" w:space="0"/>
              <w:left w:val="nil"/>
              <w:bottom w:val="single" w:color="auto" w:sz="8" w:space="0"/>
              <w:right w:val="single" w:color="auto" w:sz="8" w:space="0"/>
            </w:tcBorders>
            <w:noWrap/>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2018年度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647" w:type="pct"/>
            <w:gridSpan w:val="2"/>
            <w:tcBorders>
              <w:top w:val="single" w:color="auto" w:sz="8" w:space="0"/>
              <w:left w:val="nil"/>
              <w:bottom w:val="single" w:color="auto" w:sz="8" w:space="0"/>
              <w:right w:val="single" w:color="auto" w:sz="8" w:space="0"/>
            </w:tcBorders>
            <w:noWrap/>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2019年度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647" w:type="pct"/>
            <w:gridSpan w:val="2"/>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1975" w:type="pct"/>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wBefore w:w="0" w:type="dxa"/>
          <w:wAfter w:w="0" w:type="dxa"/>
          <w:trHeight w:val="398"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没有上级要求参加的外出任务。</w:t>
            </w:r>
          </w:p>
        </w:tc>
      </w:tr>
      <w:tr>
        <w:tblPrEx>
          <w:tblCellMar>
            <w:top w:w="0" w:type="dxa"/>
            <w:left w:w="108" w:type="dxa"/>
            <w:bottom w:w="0" w:type="dxa"/>
            <w:right w:w="108" w:type="dxa"/>
          </w:tblCellMar>
        </w:tblPrEx>
        <w:trPr>
          <w:wBefore w:w="0" w:type="dxa"/>
          <w:wAfter w:w="0" w:type="dxa"/>
          <w:trHeight w:val="398"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没有上级要求</w:t>
            </w:r>
            <w:r>
              <w:rPr>
                <w:rFonts w:hint="eastAsia" w:ascii="宋体" w:hAnsi="宋体" w:cs="宋体"/>
                <w:color w:val="000000"/>
                <w:kern w:val="0"/>
                <w:sz w:val="24"/>
                <w:szCs w:val="24"/>
              </w:rPr>
              <w:t>公务用车购置</w:t>
            </w:r>
            <w:r>
              <w:rPr>
                <w:rFonts w:hint="eastAsia" w:ascii="宋体" w:hAnsi="宋体" w:cs="宋体"/>
                <w:color w:val="000000"/>
                <w:kern w:val="0"/>
                <w:szCs w:val="21"/>
              </w:rPr>
              <w:t>。</w:t>
            </w:r>
          </w:p>
        </w:tc>
      </w:tr>
      <w:tr>
        <w:tblPrEx>
          <w:tblCellMar>
            <w:top w:w="0" w:type="dxa"/>
            <w:left w:w="108" w:type="dxa"/>
            <w:bottom w:w="0" w:type="dxa"/>
            <w:right w:w="108" w:type="dxa"/>
          </w:tblCellMar>
        </w:tblPrEx>
        <w:trPr>
          <w:wBefore w:w="0" w:type="dxa"/>
          <w:wAfter w:w="0" w:type="dxa"/>
          <w:trHeight w:val="570"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34.20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34.20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2019年度公车未增加数量。</w:t>
            </w:r>
          </w:p>
        </w:tc>
      </w:tr>
      <w:tr>
        <w:tblPrEx>
          <w:tblCellMar>
            <w:top w:w="0" w:type="dxa"/>
            <w:left w:w="108" w:type="dxa"/>
            <w:bottom w:w="0" w:type="dxa"/>
            <w:right w:w="108" w:type="dxa"/>
          </w:tblCellMar>
        </w:tblPrEx>
        <w:trPr>
          <w:wBefore w:w="0" w:type="dxa"/>
          <w:wAfter w:w="0" w:type="dxa"/>
          <w:trHeight w:val="605"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1.43</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1.68</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+0.25</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财政系统自动核算公务接待费，系统数据增加。</w:t>
            </w:r>
          </w:p>
        </w:tc>
      </w:tr>
      <w:tr>
        <w:tblPrEx>
          <w:tblCellMar>
            <w:top w:w="0" w:type="dxa"/>
            <w:left w:w="108" w:type="dxa"/>
            <w:bottom w:w="0" w:type="dxa"/>
            <w:right w:w="108" w:type="dxa"/>
          </w:tblCellMar>
        </w:tblPrEx>
        <w:trPr>
          <w:wBefore w:w="0" w:type="dxa"/>
          <w:wAfter w:w="0" w:type="dxa"/>
          <w:trHeight w:val="1140"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35.63</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35.88</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+0.25</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财政系统自动核算公务接待费，系统数据增加。。</w:t>
            </w:r>
          </w:p>
        </w:tc>
      </w:tr>
    </w:tbl>
    <w:p>
      <w:pPr>
        <w:spacing w:line="240" w:lineRule="exact"/>
        <w:ind w:firstLine="630" w:firstLineChars="196"/>
        <w:jc w:val="left"/>
        <w:outlineLvl w:val="0"/>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第五部分：绩效预算信息</w:t>
      </w:r>
    </w:p>
    <w:p>
      <w:pPr>
        <w:spacing w:line="240" w:lineRule="exact"/>
        <w:jc w:val="center"/>
        <w:rPr>
          <w:rFonts w:ascii="宋体" w:hAnsi="宋体"/>
          <w:b/>
          <w:sz w:val="32"/>
          <w:szCs w:val="32"/>
        </w:rPr>
      </w:pPr>
    </w:p>
    <w:p>
      <w:pPr>
        <w:numPr>
          <w:ilvl w:val="0"/>
          <w:numId w:val="1"/>
        </w:numPr>
        <w:spacing w:after="120" w:afterLines="50" w:line="500" w:lineRule="exact"/>
        <w:ind w:left="1349"/>
        <w:jc w:val="left"/>
        <w:outlineLvl w:val="0"/>
        <w:rPr>
          <w:rFonts w:hint="eastAsia" w:ascii="宋体" w:hAnsi="宋体"/>
          <w:b/>
          <w:sz w:val="32"/>
          <w:szCs w:val="32"/>
        </w:rPr>
      </w:pPr>
      <w:r>
        <w:rPr>
          <w:rFonts w:hint="eastAsia" w:ascii="宋体" w:hAnsi="宋体"/>
          <w:b/>
          <w:sz w:val="32"/>
          <w:szCs w:val="32"/>
        </w:rPr>
        <w:t>总体绩效目标</w:t>
      </w:r>
    </w:p>
    <w:p>
      <w:pPr>
        <w:widowControl/>
        <w:spacing w:line="540" w:lineRule="exact"/>
        <w:ind w:firstLine="640" w:firstLineChars="200"/>
        <w:rPr>
          <w:rFonts w:ascii="宋体" w:hAnsi="宋体" w:cs="宋体"/>
          <w:kern w:val="0"/>
          <w:sz w:val="32"/>
          <w:szCs w:val="32"/>
        </w:rPr>
      </w:pPr>
      <w:r>
        <w:rPr>
          <w:rFonts w:ascii="宋体" w:hAnsi="宋体" w:cs="宋体"/>
          <w:kern w:val="0"/>
          <w:sz w:val="32"/>
          <w:szCs w:val="32"/>
        </w:rPr>
        <w:t>通过行使检察权，惩罚犯罪活动，保护国家安全，保护公民、法人和其他组织的合法权益，保障国家法律的正确实施。</w:t>
      </w:r>
    </w:p>
    <w:p>
      <w:pPr>
        <w:spacing w:after="120" w:afterLines="50" w:line="500" w:lineRule="exact"/>
        <w:ind w:firstLine="643" w:firstLineChars="200"/>
        <w:jc w:val="left"/>
        <w:outlineLvl w:val="0"/>
        <w:rPr>
          <w:rFonts w:hint="eastAsia" w:ascii="宋体" w:hAnsi="宋体"/>
          <w:b/>
          <w:sz w:val="32"/>
          <w:szCs w:val="32"/>
        </w:rPr>
      </w:pPr>
      <w:r>
        <w:rPr>
          <w:rFonts w:hint="eastAsia" w:ascii="宋体" w:hAnsi="宋体"/>
          <w:b/>
          <w:sz w:val="32"/>
          <w:szCs w:val="32"/>
        </w:rPr>
        <w:t>二、职责分类绩效目标：</w:t>
      </w:r>
    </w:p>
    <w:p>
      <w:pPr>
        <w:widowControl/>
        <w:spacing w:line="540" w:lineRule="exact"/>
        <w:ind w:firstLine="640" w:firstLineChars="200"/>
        <w:rPr>
          <w:rFonts w:hint="eastAsia" w:ascii="宋体" w:hAnsi="宋体" w:cs="宋体"/>
          <w:kern w:val="0"/>
          <w:sz w:val="32"/>
          <w:szCs w:val="32"/>
        </w:rPr>
      </w:pPr>
      <w:r>
        <w:rPr>
          <w:rFonts w:ascii="宋体" w:hAnsi="宋体" w:cs="宋体"/>
          <w:kern w:val="0"/>
          <w:sz w:val="32"/>
          <w:szCs w:val="32"/>
        </w:rPr>
        <w:t>打击犯罪、保障人权、维护司法公正。全面审查案件事实，核实证据，依法提出审查意见，打击犯罪，保障人权，维护司法公正。保障刑罚执行和刑事执行活动的依法有序进行。提高执法水平和办案质量、提升检察机关法律监督能力。</w:t>
      </w:r>
    </w:p>
    <w:p>
      <w:pPr>
        <w:spacing w:after="120" w:afterLines="50" w:line="500" w:lineRule="exact"/>
        <w:ind w:firstLine="643" w:firstLineChars="200"/>
        <w:jc w:val="left"/>
        <w:outlineLvl w:val="0"/>
        <w:rPr>
          <w:rFonts w:hint="eastAsia" w:ascii="宋体" w:hAnsi="宋体"/>
          <w:b/>
          <w:sz w:val="32"/>
          <w:szCs w:val="32"/>
        </w:rPr>
      </w:pPr>
      <w:r>
        <w:rPr>
          <w:rFonts w:hint="eastAsia" w:ascii="宋体" w:hAnsi="宋体"/>
          <w:b/>
          <w:sz w:val="32"/>
          <w:szCs w:val="32"/>
        </w:rPr>
        <w:t>三、实现年度发展规划目标的保障措施</w:t>
      </w:r>
    </w:p>
    <w:p>
      <w:pPr>
        <w:widowControl/>
        <w:spacing w:line="540" w:lineRule="exact"/>
        <w:ind w:firstLine="640" w:firstLineChars="200"/>
        <w:rPr>
          <w:rFonts w:ascii="宋体" w:hAnsi="宋体" w:cs="宋体"/>
          <w:kern w:val="0"/>
          <w:sz w:val="32"/>
          <w:szCs w:val="32"/>
        </w:rPr>
      </w:pPr>
      <w:r>
        <w:rPr>
          <w:rFonts w:ascii="宋体" w:hAnsi="宋体" w:cs="宋体"/>
          <w:kern w:val="0"/>
          <w:sz w:val="32"/>
          <w:szCs w:val="32"/>
        </w:rPr>
        <w:t>侦查监督职能的行使贯穿刑事立案到侦查终结全过程。主要包括审查逮捕、立案监督和侦查活动监督等职能。统一受理报案、控告、举报、申诉和犯罪嫌疑人投案自首，办理对公检法三机关及工作人员阻碍辩护人、诉讼代理人依法行使诉讼权利的控告或申诉，办理对本院办案中违法行为的控告或申诉，受理民事监督案件。确定全区检察阶段性的工作重点和措施，部署检察工作任务；进行案件质量保证体系建设；开展涉农检察工作；参与社会管理综合治理等工作；推进行政执法与刑事司法无缝对接；进行法律政策研究工作；加强人民监督员和人大代表监督。</w:t>
      </w:r>
    </w:p>
    <w:p>
      <w:pPr>
        <w:widowControl/>
        <w:spacing w:line="540" w:lineRule="exact"/>
        <w:ind w:firstLine="640" w:firstLineChars="200"/>
        <w:rPr>
          <w:rFonts w:hint="eastAsia" w:ascii="宋体" w:hAnsi="宋体" w:cs="宋体"/>
          <w:kern w:val="0"/>
          <w:sz w:val="32"/>
          <w:szCs w:val="32"/>
        </w:rPr>
      </w:pPr>
    </w:p>
    <w:p>
      <w:pPr>
        <w:jc w:val="center"/>
        <w:outlineLvl w:val="0"/>
        <w:rPr>
          <w:rFonts w:ascii="方正小标宋_GBK" w:eastAsia="方正小标宋_GBK"/>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p>
    <w:p>
      <w:pPr>
        <w:rPr>
          <w:rFonts w:hint="eastAsia" w:ascii="宋体" w:hAnsi="宋体"/>
          <w:b/>
          <w:sz w:val="32"/>
          <w:szCs w:val="32"/>
        </w:rPr>
      </w:pPr>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151</w:t>
            </w:r>
            <w:r>
              <w:rPr>
                <w:rFonts w:hint="eastAsia" w:ascii="方正小标宋_GBK" w:eastAsia="方正小标宋_GBK"/>
                <w:sz w:val="24"/>
              </w:rPr>
              <w:t>保定市满城区人民检察院</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一、检察监督</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对侦查机关的侦查活动、人民法院的审判活动、看守所等机关执行刑罚的活动，依法实行法律监督，维护司法公正。</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通过行使检察权，惩罚犯罪活动，保护国家安全，保护公民、法人和其他组织的合法权益，保障国家法律的正确实施。</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、侦查监督</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侦查监督职能的行使贯穿刑事立案到侦查终结全过程。主要包括审查逮捕、立案监督和侦查活动监督等职能。</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打击犯罪、保障人权、维护司法公正。</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批延准确率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错捕、捕后撤案、不起诉、判无罪率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&gt;5%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立案和侦查活动监督完成率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、公诉和审判监督</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审查起诉；对上诉、抗诉案件及再审案件进行审查；出庭支持公诉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全面审查案件事实，核实证据，依法提出审查意见，打击犯罪，保障人权，维护司法公正。</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出庭意见采纳数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诉讼期限内审结案件占全部案件比例</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办理案件数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、民事行政诉讼监督</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依法对民事诉讼和行政诉讼实行法律监督，维护司法公正和司法权威，保障国家法律的统一正确实施</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加大办案力度，提高办案质量。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检察建议采纳率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不支持监督申请决定息讼息访率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案件审结率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、刑事执行检察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保障刑罚执行和刑事执行活动的依法有序进行。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纠正意见或建议的采纳率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、未成年人刑事检察</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使我县未检在全市检察机关位于先进行列</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特殊检察制度适用率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附条件不起诉率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不捕、不诉率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未成年人刑事案件办理率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案件办结率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、司法辅助</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保障办案安全；开展全县检察机关技术工作和物证检验、鉴定、审核等工作。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加强各项检察辅助职能，为检察业务提供有力保障。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法警装备购置率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出警及时率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司法鉴定案件办结率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出警次数</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二、控告和刑事申诉检察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受理来信来访、举报、国家赔偿、司法救助工作，受理民事监督案件，办理县院管辖的信访、举报案件、国家赔偿、司法救助案件以及上级机关交办、转办、督办案件。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保护公民、法人和其他单位的合法权益，促进司法公正，维护社会稳定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、涉检信访办理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构建依法有序信访秩序，及时依法解决群众诉求。</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错案率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&gt;15%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法定期限内办结率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有效化解涉检信访矛盾率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、举报管理、涉检国家赔偿和司法救助</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受理初核对国家工作人员职务犯罪的举报；统一办理人民检察院作为赔偿义务机关的刑事赔偿案件，对人民法院赔偿委员会判决、裁定进行监督，开展司法救助工作。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加强和改进举报工作，保护被赔偿人和被救助人合法权益。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举报移送立案率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涉检国家赔偿错案率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&gt;15%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举报线索处置率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涉检国家赔偿率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司法救助率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法定期限内办结率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三、检察事务管理</w:t>
            </w:r>
          </w:p>
        </w:tc>
        <w:tc>
          <w:tcPr>
            <w:tcW w:w="1276" w:type="dxa"/>
            <w:noWrap w:val="0"/>
            <w:vAlign w:val="center"/>
          </w:tcPr>
          <w:p>
            <w:pPr>
              <w:spacing w:line="300" w:lineRule="exact"/>
              <w:jc w:val="center"/>
              <w:rPr>
                <w:rFonts w:ascii="方正书宋_GBK" w:eastAsia="方正书宋_GBK"/>
              </w:rPr>
            </w:pPr>
            <w:r>
              <w:rPr>
                <w:rFonts w:hint="eastAsia" w:ascii="方正书宋_GBK" w:eastAsia="方正书宋_GBK"/>
              </w:rPr>
              <w:t>173</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承担系统综合业务管理和综合事务管理工作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确保全年各项检察工作圆满完成</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center"/>
              <w:rPr>
                <w:rFonts w:ascii="方正书宋_GBK" w:eastAsia="方正书宋_GBK"/>
              </w:rPr>
            </w:pPr>
            <w:r>
              <w:rPr>
                <w:rFonts w:hint="eastAsia" w:ascii="方正书宋_GBK" w:eastAsia="方正书宋_GBK"/>
              </w:rPr>
              <w:t>173</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提高执法水平和办案质量、提升检察机关法律监督能力。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开展全县检察人员的教育培训工作和对外交流工作；进行检察装备建设及维护；配备制式检察服装及法警服装；进行基础设施建设和维护。</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为检察工作顺利开展提供保障。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rPr>
          <w:rFonts w:hint="eastAsia" w:ascii="宋体" w:hAnsi="宋体"/>
          <w:b/>
          <w:sz w:val="32"/>
          <w:szCs w:val="32"/>
        </w:rPr>
        <w:sectPr>
          <w:pgSz w:w="16839" w:h="11907" w:orient="landscape"/>
          <w:pgMar w:top="1134" w:right="1531" w:bottom="1134" w:left="1474" w:header="851" w:footer="992" w:gutter="0"/>
          <w:cols w:space="720" w:num="1"/>
          <w:docGrid w:linePitch="312" w:charSpace="0"/>
        </w:sectPr>
      </w:pPr>
    </w:p>
    <w:p>
      <w:pPr>
        <w:jc w:val="center"/>
        <w:rPr>
          <w:rFonts w:hint="eastAsia" w:ascii="宋体" w:hAnsi="宋体"/>
          <w:b/>
          <w:sz w:val="32"/>
          <w:szCs w:val="32"/>
        </w:rPr>
      </w:pPr>
      <w:r>
        <w:rPr>
          <w:rFonts w:hint="eastAsia" w:ascii="宋体" w:hAnsi="宋体"/>
          <w:b/>
          <w:sz w:val="32"/>
          <w:szCs w:val="32"/>
        </w:rPr>
        <w:t>第六部分 政府采购预算情况</w:t>
      </w:r>
    </w:p>
    <w:p>
      <w:pPr>
        <w:jc w:val="center"/>
        <w:rPr>
          <w:rFonts w:hint="eastAsia" w:ascii="宋体" w:hAnsi="宋体"/>
          <w:b/>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2019年我单位无政府采购预算。空表列式：</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宋体" w:hAnsi="宋体"/>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 xml:space="preserve">  保定市满城区检察院2018年末固定资产总金额2245.77万元（详见下表），2019年无拟购置固定资产。</w:t>
      </w:r>
    </w:p>
    <w:tbl>
      <w:tblPr>
        <w:tblStyle w:val="7"/>
        <w:tblpPr w:leftFromText="180" w:rightFromText="180" w:vertAnchor="text" w:tblpY="1"/>
        <w:tblOverlap w:val="never"/>
        <w:tblW w:w="5000" w:type="pct"/>
        <w:tblInd w:w="0" w:type="dxa"/>
        <w:tblLayout w:type="autofit"/>
        <w:tblCellMar>
          <w:top w:w="0" w:type="dxa"/>
          <w:left w:w="108" w:type="dxa"/>
          <w:bottom w:w="0" w:type="dxa"/>
          <w:right w:w="108" w:type="dxa"/>
        </w:tblCellMar>
      </w:tblPr>
      <w:tblGrid>
        <w:gridCol w:w="4265"/>
        <w:gridCol w:w="1782"/>
        <w:gridCol w:w="3808"/>
      </w:tblGrid>
      <w:tr>
        <w:tblPrEx>
          <w:tblCellMar>
            <w:top w:w="0" w:type="dxa"/>
            <w:left w:w="108" w:type="dxa"/>
            <w:bottom w:w="0" w:type="dxa"/>
            <w:right w:w="108" w:type="dxa"/>
          </w:tblCellMar>
        </w:tblPrEx>
        <w:trPr>
          <w:wBefore w:w="0" w:type="dxa"/>
          <w:wAfter w:w="0" w:type="dxa"/>
          <w:trHeight w:val="675" w:hRule="atLeast"/>
        </w:trPr>
        <w:tc>
          <w:tcPr>
            <w:tcW w:w="5000" w:type="pct"/>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保定市满城区检察院固定资产占用情况表</w:t>
            </w:r>
          </w:p>
        </w:tc>
      </w:tr>
      <w:tr>
        <w:tblPrEx>
          <w:tblCellMar>
            <w:top w:w="0" w:type="dxa"/>
            <w:left w:w="108" w:type="dxa"/>
            <w:bottom w:w="0" w:type="dxa"/>
            <w:right w:w="108" w:type="dxa"/>
          </w:tblCellMar>
        </w:tblPrEx>
        <w:trPr>
          <w:wBefore w:w="0" w:type="dxa"/>
          <w:wAfter w:w="0" w:type="dxa"/>
          <w:trHeight w:val="465" w:hRule="atLeast"/>
        </w:trPr>
        <w:tc>
          <w:tcPr>
            <w:tcW w:w="5000" w:type="pct"/>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截止时间：2018年12月31日</w:t>
            </w:r>
          </w:p>
        </w:tc>
      </w:tr>
      <w:tr>
        <w:tblPrEx>
          <w:tblCellMar>
            <w:top w:w="0" w:type="dxa"/>
            <w:left w:w="108" w:type="dxa"/>
            <w:bottom w:w="0" w:type="dxa"/>
            <w:right w:w="108" w:type="dxa"/>
          </w:tblCellMar>
        </w:tblPrEx>
        <w:trPr>
          <w:wBefore w:w="0" w:type="dxa"/>
          <w:wAfter w:w="0" w:type="dxa"/>
          <w:trHeight w:val="750"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1932" w:type="pct"/>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wAfter w:w="0" w:type="dxa"/>
          <w:trHeight w:val="495"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bCs/>
                <w:color w:val="000000"/>
                <w:kern w:val="0"/>
                <w:sz w:val="24"/>
                <w:szCs w:val="24"/>
              </w:rPr>
              <w:t>2245.77</w:t>
            </w:r>
          </w:p>
        </w:tc>
      </w:tr>
      <w:tr>
        <w:tblPrEx>
          <w:tblCellMar>
            <w:top w:w="0" w:type="dxa"/>
            <w:left w:w="108" w:type="dxa"/>
            <w:bottom w:w="0" w:type="dxa"/>
            <w:right w:w="108" w:type="dxa"/>
          </w:tblCellMar>
        </w:tblPrEx>
        <w:trPr>
          <w:wBefore w:w="0" w:type="dxa"/>
          <w:wAfter w:w="0" w:type="dxa"/>
          <w:trHeight w:val="483"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90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5,798.00</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905</w:t>
            </w: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6</w:t>
            </w:r>
          </w:p>
        </w:tc>
      </w:tr>
      <w:tr>
        <w:tblPrEx>
          <w:tblCellMar>
            <w:top w:w="0" w:type="dxa"/>
            <w:left w:w="108" w:type="dxa"/>
            <w:bottom w:w="0" w:type="dxa"/>
            <w:right w:w="108" w:type="dxa"/>
          </w:tblCellMar>
        </w:tblPrEx>
        <w:trPr>
          <w:wBefore w:w="0" w:type="dxa"/>
          <w:wAfter w:w="0" w:type="dxa"/>
          <w:trHeight w:val="419"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其中：业务用房（平方米）</w:t>
            </w:r>
          </w:p>
        </w:tc>
        <w:tc>
          <w:tcPr>
            <w:tcW w:w="90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5,798.00</w:t>
            </w:r>
          </w:p>
        </w:tc>
        <w:tc>
          <w:tcPr>
            <w:tcW w:w="19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905</w:t>
            </w: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6</w:t>
            </w:r>
          </w:p>
        </w:tc>
      </w:tr>
      <w:tr>
        <w:tblPrEx>
          <w:tblCellMar>
            <w:top w:w="0" w:type="dxa"/>
            <w:left w:w="108" w:type="dxa"/>
            <w:bottom w:w="0" w:type="dxa"/>
            <w:right w:w="108" w:type="dxa"/>
          </w:tblCellMar>
        </w:tblPrEx>
        <w:trPr>
          <w:wBefore w:w="0" w:type="dxa"/>
          <w:wAfter w:w="0" w:type="dxa"/>
          <w:trHeight w:val="495"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90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20</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257</w:t>
            </w:r>
            <w:r>
              <w:rPr>
                <w:rFonts w:hint="eastAsia" w:ascii="宋体" w:hAnsi="宋体" w:cs="宋体"/>
                <w:color w:val="000000"/>
                <w:kern w:val="0"/>
                <w:sz w:val="24"/>
                <w:szCs w:val="24"/>
              </w:rPr>
              <w:t>.</w:t>
            </w:r>
            <w:r>
              <w:rPr>
                <w:rFonts w:ascii="宋体" w:hAnsi="宋体" w:cs="宋体"/>
                <w:color w:val="000000"/>
                <w:kern w:val="0"/>
                <w:sz w:val="24"/>
                <w:szCs w:val="24"/>
              </w:rPr>
              <w:t>45</w:t>
            </w:r>
          </w:p>
        </w:tc>
      </w:tr>
      <w:tr>
        <w:tblPrEx>
          <w:tblCellMar>
            <w:top w:w="0" w:type="dxa"/>
            <w:left w:w="108" w:type="dxa"/>
            <w:bottom w:w="0" w:type="dxa"/>
            <w:right w:w="108" w:type="dxa"/>
          </w:tblCellMar>
        </w:tblPrEx>
        <w:trPr>
          <w:wBefore w:w="0" w:type="dxa"/>
          <w:wAfter w:w="0" w:type="dxa"/>
          <w:trHeight w:val="611" w:hRule="atLeast"/>
        </w:trPr>
        <w:tc>
          <w:tcPr>
            <w:tcW w:w="2164" w:type="pct"/>
            <w:tcBorders>
              <w:top w:val="nil"/>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3、单价50万元（含）以上的通用设备（台、套…）</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wAfter w:w="0" w:type="dxa"/>
          <w:trHeight w:val="611" w:hRule="atLeast"/>
        </w:trPr>
        <w:tc>
          <w:tcPr>
            <w:tcW w:w="2164" w:type="pct"/>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4、单价100万元（含）以上的专用设备（台、套…）</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wAfter w:w="0" w:type="dxa"/>
          <w:trHeight w:val="432"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5、其他固定资产</w:t>
            </w:r>
          </w:p>
        </w:tc>
        <w:tc>
          <w:tcPr>
            <w:tcW w:w="90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1082.46</w:t>
            </w:r>
          </w:p>
        </w:tc>
      </w:tr>
    </w:tbl>
    <w:p>
      <w:pPr>
        <w:rPr>
          <w:rFonts w:hint="eastAsia"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hint="eastAsia" w:ascii="宋体" w:hAnsi="宋体"/>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第九部分：其他需说明的事项</w:t>
      </w:r>
    </w:p>
    <w:p>
      <w:pPr>
        <w:ind w:firstLine="800" w:firstLineChars="250"/>
        <w:rPr>
          <w:rFonts w:hint="eastAsia" w:ascii="宋体" w:hAnsi="宋体"/>
          <w:sz w:val="32"/>
          <w:szCs w:val="32"/>
        </w:rPr>
      </w:pPr>
    </w:p>
    <w:p>
      <w:pPr>
        <w:ind w:firstLine="800" w:firstLineChars="250"/>
        <w:rPr>
          <w:rFonts w:hint="eastAsia"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微软雅黑"/>
    <w:panose1 w:val="00000000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C3F51"/>
    <w:multiLevelType w:val="multilevel"/>
    <w:tmpl w:val="14AC3F51"/>
    <w:lvl w:ilvl="0" w:tentative="0">
      <w:start w:val="1"/>
      <w:numFmt w:val="japaneseCounting"/>
      <w:lvlText w:val="%1、"/>
      <w:lvlJc w:val="left"/>
      <w:pPr>
        <w:ind w:left="1350" w:hanging="720"/>
      </w:pPr>
      <w:rPr>
        <w:rFonts w:hint="default"/>
        <w:lang w:val="en-U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1646E"/>
    <w:rsid w:val="00020C0D"/>
    <w:rsid w:val="0002241E"/>
    <w:rsid w:val="00027501"/>
    <w:rsid w:val="00045C4A"/>
    <w:rsid w:val="00057F1C"/>
    <w:rsid w:val="00096633"/>
    <w:rsid w:val="000A6D4E"/>
    <w:rsid w:val="000B0138"/>
    <w:rsid w:val="000C6570"/>
    <w:rsid w:val="000C6A64"/>
    <w:rsid w:val="000D535F"/>
    <w:rsid w:val="000E0F9A"/>
    <w:rsid w:val="000F373C"/>
    <w:rsid w:val="000F5E7D"/>
    <w:rsid w:val="00120705"/>
    <w:rsid w:val="00120D3A"/>
    <w:rsid w:val="0012577A"/>
    <w:rsid w:val="001631F6"/>
    <w:rsid w:val="00193698"/>
    <w:rsid w:val="001F6A3F"/>
    <w:rsid w:val="00227EB5"/>
    <w:rsid w:val="0024489E"/>
    <w:rsid w:val="00261931"/>
    <w:rsid w:val="00280335"/>
    <w:rsid w:val="002A1208"/>
    <w:rsid w:val="002A2666"/>
    <w:rsid w:val="002D0BF4"/>
    <w:rsid w:val="002D4820"/>
    <w:rsid w:val="002D4851"/>
    <w:rsid w:val="002E6F93"/>
    <w:rsid w:val="002F0279"/>
    <w:rsid w:val="0031096A"/>
    <w:rsid w:val="00337D2A"/>
    <w:rsid w:val="0034678A"/>
    <w:rsid w:val="00347940"/>
    <w:rsid w:val="00357490"/>
    <w:rsid w:val="00370303"/>
    <w:rsid w:val="003B5509"/>
    <w:rsid w:val="00404251"/>
    <w:rsid w:val="00421293"/>
    <w:rsid w:val="004226CB"/>
    <w:rsid w:val="004269F5"/>
    <w:rsid w:val="00435EF2"/>
    <w:rsid w:val="00455FF5"/>
    <w:rsid w:val="0049258C"/>
    <w:rsid w:val="004C7932"/>
    <w:rsid w:val="004D0BF0"/>
    <w:rsid w:val="004D1209"/>
    <w:rsid w:val="004D7BFB"/>
    <w:rsid w:val="004E5EA1"/>
    <w:rsid w:val="00502ECF"/>
    <w:rsid w:val="00504079"/>
    <w:rsid w:val="005229F0"/>
    <w:rsid w:val="00524B25"/>
    <w:rsid w:val="005267DC"/>
    <w:rsid w:val="00531EBB"/>
    <w:rsid w:val="0053244C"/>
    <w:rsid w:val="00542776"/>
    <w:rsid w:val="00584E09"/>
    <w:rsid w:val="00587E61"/>
    <w:rsid w:val="005C5456"/>
    <w:rsid w:val="005F3A08"/>
    <w:rsid w:val="0061150C"/>
    <w:rsid w:val="0062631B"/>
    <w:rsid w:val="0063487B"/>
    <w:rsid w:val="006474D4"/>
    <w:rsid w:val="00655A14"/>
    <w:rsid w:val="00675A45"/>
    <w:rsid w:val="00693789"/>
    <w:rsid w:val="006B410F"/>
    <w:rsid w:val="006E2788"/>
    <w:rsid w:val="00733E67"/>
    <w:rsid w:val="0073487B"/>
    <w:rsid w:val="0073562D"/>
    <w:rsid w:val="007405DF"/>
    <w:rsid w:val="00741245"/>
    <w:rsid w:val="00742AF8"/>
    <w:rsid w:val="00752A9A"/>
    <w:rsid w:val="00757848"/>
    <w:rsid w:val="00761B0E"/>
    <w:rsid w:val="0077741B"/>
    <w:rsid w:val="007C7EEA"/>
    <w:rsid w:val="007E3C6B"/>
    <w:rsid w:val="007E3E18"/>
    <w:rsid w:val="008257EB"/>
    <w:rsid w:val="008312D1"/>
    <w:rsid w:val="00834104"/>
    <w:rsid w:val="008362B4"/>
    <w:rsid w:val="008472F5"/>
    <w:rsid w:val="00847BB8"/>
    <w:rsid w:val="00872EB0"/>
    <w:rsid w:val="008C7D90"/>
    <w:rsid w:val="008D4FF4"/>
    <w:rsid w:val="008E58B2"/>
    <w:rsid w:val="008F5C6B"/>
    <w:rsid w:val="009210D0"/>
    <w:rsid w:val="00966566"/>
    <w:rsid w:val="0097283A"/>
    <w:rsid w:val="00975025"/>
    <w:rsid w:val="0098017F"/>
    <w:rsid w:val="009C0521"/>
    <w:rsid w:val="009C1C6E"/>
    <w:rsid w:val="009D1BDC"/>
    <w:rsid w:val="009D3D40"/>
    <w:rsid w:val="009D7185"/>
    <w:rsid w:val="009E16AC"/>
    <w:rsid w:val="009E5FAA"/>
    <w:rsid w:val="009F4564"/>
    <w:rsid w:val="00A1436D"/>
    <w:rsid w:val="00A14B74"/>
    <w:rsid w:val="00A42CC5"/>
    <w:rsid w:val="00A4591D"/>
    <w:rsid w:val="00A7420E"/>
    <w:rsid w:val="00AA2330"/>
    <w:rsid w:val="00AA32DE"/>
    <w:rsid w:val="00B27D35"/>
    <w:rsid w:val="00B353E4"/>
    <w:rsid w:val="00B64CA7"/>
    <w:rsid w:val="00B84A64"/>
    <w:rsid w:val="00B86E9A"/>
    <w:rsid w:val="00BA079F"/>
    <w:rsid w:val="00BF4FF8"/>
    <w:rsid w:val="00C417EB"/>
    <w:rsid w:val="00C43C5F"/>
    <w:rsid w:val="00C45B98"/>
    <w:rsid w:val="00C67481"/>
    <w:rsid w:val="00C81DE0"/>
    <w:rsid w:val="00CA742F"/>
    <w:rsid w:val="00CB60A0"/>
    <w:rsid w:val="00CF149D"/>
    <w:rsid w:val="00D351F8"/>
    <w:rsid w:val="00D42A2C"/>
    <w:rsid w:val="00D4423B"/>
    <w:rsid w:val="00D50E53"/>
    <w:rsid w:val="00D822D6"/>
    <w:rsid w:val="00D92117"/>
    <w:rsid w:val="00DB68A4"/>
    <w:rsid w:val="00DE533F"/>
    <w:rsid w:val="00E028E5"/>
    <w:rsid w:val="00E37B57"/>
    <w:rsid w:val="00E42877"/>
    <w:rsid w:val="00E527DA"/>
    <w:rsid w:val="00E75B19"/>
    <w:rsid w:val="00EA3466"/>
    <w:rsid w:val="00EC30C7"/>
    <w:rsid w:val="00EF7345"/>
    <w:rsid w:val="00F02138"/>
    <w:rsid w:val="00F06CFF"/>
    <w:rsid w:val="00F12C3E"/>
    <w:rsid w:val="00F56B6E"/>
    <w:rsid w:val="00F817AB"/>
    <w:rsid w:val="00F82021"/>
    <w:rsid w:val="00F84113"/>
    <w:rsid w:val="00F841A4"/>
    <w:rsid w:val="00FA448E"/>
    <w:rsid w:val="016471A8"/>
    <w:rsid w:val="082C3057"/>
    <w:rsid w:val="1ADC342D"/>
    <w:rsid w:val="59BF0311"/>
    <w:rsid w:val="75D42B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Indent"/>
    <w:basedOn w:val="1"/>
    <w:link w:val="9"/>
    <w:uiPriority w:val="0"/>
    <w:pPr>
      <w:spacing w:line="420" w:lineRule="exact"/>
      <w:ind w:firstLine="630"/>
    </w:pPr>
    <w:rPr>
      <w:rFonts w:ascii="Times New Roman" w:hAnsi="Times New Roman" w:eastAsia="仿宋_GB2312"/>
      <w:sz w:val="32"/>
      <w:szCs w:val="24"/>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character" w:customStyle="1" w:styleId="9">
    <w:name w:val="正文文本缩进 Char"/>
    <w:link w:val="2"/>
    <w:uiPriority w:val="0"/>
    <w:rPr>
      <w:rFonts w:ascii="Times New Roman" w:hAnsi="Times New Roman" w:eastAsia="仿宋_GB2312"/>
      <w:kern w:val="2"/>
      <w:sz w:val="32"/>
      <w:szCs w:val="24"/>
    </w:rPr>
  </w:style>
  <w:style w:type="character" w:customStyle="1" w:styleId="10">
    <w:name w:val="页脚 Char"/>
    <w:link w:val="3"/>
    <w:semiHidden/>
    <w:uiPriority w:val="99"/>
    <w:rPr>
      <w:sz w:val="18"/>
      <w:szCs w:val="18"/>
    </w:rPr>
  </w:style>
  <w:style w:type="character" w:customStyle="1" w:styleId="11">
    <w:name w:val="页眉 Char"/>
    <w:link w:val="4"/>
    <w:semiHidden/>
    <w:uiPriority w:val="99"/>
    <w:rPr>
      <w:sz w:val="18"/>
      <w:szCs w:val="18"/>
    </w:rPr>
  </w:style>
  <w:style w:type="paragraph" w:customStyle="1" w:styleId="12">
    <w:name w:val="[Normal]"/>
    <w:uiPriority w:val="99"/>
    <w:pPr>
      <w:widowControl w:val="0"/>
      <w:autoSpaceDE w:val="0"/>
      <w:autoSpaceDN w:val="0"/>
      <w:adjustRightInd w:val="0"/>
    </w:pPr>
    <w:rPr>
      <w:rFonts w:ascii="宋体" w:hAnsi="Times New Roman"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942</Words>
  <Characters>5372</Characters>
  <Lines>44</Lines>
  <Paragraphs>12</Paragraphs>
  <TotalTime>0</TotalTime>
  <ScaleCrop>false</ScaleCrop>
  <LinksUpToDate>false</LinksUpToDate>
  <CharactersWithSpaces>6302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2021-05-28T10:56:00Z</dcterms:created>
  <dc:creator>suix</dc:creator>
  <cp:lastModifiedBy>Administrator</cp:lastModifiedBy>
  <dcterms:modified xsi:type="dcterms:W3CDTF">2024-01-11T08:50:17Z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5E3A3F5838A04C718EE095BEFB55F8BF</vt:lpwstr>
  </property>
</Properties>
</file>