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中共保定市满城区工商业联合会</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hint="eastAsia" w:ascii="Times New Roman" w:hAnsi="Times New Roman" w:eastAsia="方正仿宋_GBK"/>
          <w:sz w:val="32"/>
          <w:szCs w:val="32"/>
        </w:rPr>
      </w:pPr>
    </w:p>
    <w:p>
      <w:pPr>
        <w:spacing w:line="52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按照</w:t>
      </w:r>
      <w:bookmarkStart w:id="1" w:name="_GoBack"/>
      <w:bookmarkEnd w:id="1"/>
      <w:r>
        <w:rPr>
          <w:rFonts w:hint="eastAsia" w:ascii="仿宋_GB2312" w:hAnsi="Times New Roman"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规定，现将保定市满城区工商业联合会2019年部门预算公开如下：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一、部门职责</w:t>
      </w:r>
    </w:p>
    <w:p>
      <w:pPr>
        <w:spacing w:line="480" w:lineRule="exact"/>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按照国家规定和有关政策，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世界各国工商社团及工商经济界人士联系和友谊，促进经济、技术和贸易合作的发展，协助引进资金、技术、项目和人才。（九）办好会办服务事业和会办经济实体。（十）承办政府和有关部门委托事项。</w:t>
      </w:r>
    </w:p>
    <w:p>
      <w:pPr>
        <w:pStyle w:val="15"/>
        <w:spacing w:line="520" w:lineRule="exact"/>
        <w:ind w:firstLine="736" w:firstLineChars="23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8"/>
        <w:tblW w:w="0" w:type="auto"/>
        <w:tblInd w:w="250" w:type="dxa"/>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wBefore w:w="0" w:type="auto"/>
          <w:trHeight w:val="1480" w:hRule="atLeast"/>
        </w:trPr>
        <w:tc>
          <w:tcPr>
            <w:tcW w:w="9639"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6"/>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06" w:hRule="atLeast"/>
              </w:trPr>
              <w:tc>
                <w:tcPr>
                  <w:tcW w:w="2355"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单位名称</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单位性质</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单位规格</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355" w:type="dxa"/>
                  <w:noWrap w:val="0"/>
                  <w:vAlign w:val="top"/>
                </w:tcPr>
                <w:p>
                  <w:pPr>
                    <w:widowControl/>
                    <w:jc w:val="center"/>
                    <w:rPr>
                      <w:rFonts w:hint="eastAsia" w:ascii="仿宋_GB2312" w:hAnsi="宋体" w:eastAsia="仿宋_GB2312" w:cs="宋体"/>
                      <w:color w:val="000000"/>
                      <w:kern w:val="0"/>
                      <w:sz w:val="28"/>
                      <w:szCs w:val="28"/>
                    </w:rPr>
                  </w:pPr>
                  <w:r>
                    <w:rPr>
                      <w:rFonts w:hint="eastAsia" w:eastAsia="仿宋_GB2312" w:cs="宋体"/>
                      <w:color w:val="000000"/>
                      <w:kern w:val="0"/>
                      <w:sz w:val="24"/>
                      <w:szCs w:val="24"/>
                    </w:rPr>
                    <w:t>保定市满城区工商业联合会</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行政</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正科级</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财政拨款</w:t>
                  </w:r>
                </w:p>
              </w:tc>
            </w:tr>
          </w:tbl>
          <w:p>
            <w:pPr>
              <w:widowControl/>
              <w:jc w:val="center"/>
              <w:rPr>
                <w:rFonts w:hint="eastAsia" w:ascii="仿宋_GB2312" w:hAnsi="宋体" w:eastAsia="仿宋_GB2312" w:cs="宋体"/>
                <w:color w:val="000000"/>
                <w:kern w:val="0"/>
                <w:sz w:val="28"/>
                <w:szCs w:val="28"/>
              </w:rPr>
            </w:pPr>
          </w:p>
        </w:tc>
      </w:tr>
    </w:tbl>
    <w:p>
      <w:pPr>
        <w:spacing w:line="520" w:lineRule="exact"/>
        <w:ind w:firstLine="560"/>
        <w:rPr>
          <w:rFonts w:hint="eastAsia" w:ascii="仿宋_GB2312" w:hAnsi="黑体" w:eastAsia="仿宋_GB2312"/>
          <w:kern w:val="0"/>
          <w:sz w:val="32"/>
          <w:szCs w:val="32"/>
        </w:r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rPr>
          <w:rFonts w:hint="eastAsia" w:ascii="黑体" w:hAnsi="黑体" w:eastAsia="黑体"/>
          <w:sz w:val="32"/>
          <w:szCs w:val="32"/>
        </w:rPr>
      </w:pP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2019年保定市满城区工商业联合会年初部门收入预算总额为80.13万元，其中：一般公共预算收入</w:t>
      </w:r>
      <w:r>
        <w:rPr>
          <w:rFonts w:ascii="仿宋_GB2312" w:hAnsi="仿宋" w:eastAsia="仿宋_GB2312"/>
          <w:sz w:val="32"/>
          <w:szCs w:val="32"/>
        </w:rPr>
        <w:t>80</w:t>
      </w:r>
      <w:r>
        <w:rPr>
          <w:rFonts w:hint="eastAsia" w:ascii="仿宋_GB2312" w:hAnsi="仿宋" w:eastAsia="仿宋_GB2312"/>
          <w:sz w:val="32"/>
          <w:szCs w:val="32"/>
        </w:rPr>
        <w:t>.</w:t>
      </w:r>
      <w:r>
        <w:rPr>
          <w:rFonts w:ascii="仿宋_GB2312" w:hAnsi="仿宋" w:eastAsia="仿宋_GB2312"/>
          <w:sz w:val="32"/>
          <w:szCs w:val="32"/>
        </w:rPr>
        <w:t>126032</w:t>
      </w:r>
      <w:r>
        <w:rPr>
          <w:rFonts w:hint="eastAsia" w:ascii="仿宋_GB2312" w:hAnsi="仿宋" w:eastAsia="仿宋_GB2312"/>
          <w:sz w:val="32"/>
          <w:szCs w:val="32"/>
        </w:rPr>
        <w:t>万元。</w:t>
      </w:r>
    </w:p>
    <w:p>
      <w:pPr>
        <w:spacing w:line="52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2019年部门支出安排预算总额</w:t>
      </w:r>
      <w:r>
        <w:rPr>
          <w:rFonts w:ascii="仿宋_GB2312" w:hAnsi="仿宋" w:eastAsia="仿宋_GB2312"/>
          <w:sz w:val="32"/>
          <w:szCs w:val="32"/>
        </w:rPr>
        <w:t>80</w:t>
      </w:r>
      <w:r>
        <w:rPr>
          <w:rFonts w:hint="eastAsia" w:ascii="仿宋_GB2312" w:hAnsi="仿宋" w:eastAsia="仿宋_GB2312"/>
          <w:sz w:val="32"/>
          <w:szCs w:val="32"/>
        </w:rPr>
        <w:t>.</w:t>
      </w:r>
      <w:r>
        <w:rPr>
          <w:rFonts w:ascii="仿宋_GB2312" w:hAnsi="仿宋" w:eastAsia="仿宋_GB2312"/>
          <w:sz w:val="32"/>
          <w:szCs w:val="32"/>
        </w:rPr>
        <w:t>126032</w:t>
      </w:r>
      <w:r>
        <w:rPr>
          <w:rFonts w:hint="eastAsia" w:ascii="仿宋_GB2312" w:hAnsi="仿宋" w:eastAsia="仿宋_GB2312"/>
          <w:sz w:val="32"/>
          <w:szCs w:val="32"/>
        </w:rPr>
        <w:t>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其中：人员经费</w:t>
      </w:r>
      <w:r>
        <w:rPr>
          <w:rFonts w:ascii="仿宋_GB2312" w:hAnsi="仿宋" w:eastAsia="仿宋_GB2312"/>
          <w:sz w:val="32"/>
          <w:szCs w:val="32"/>
        </w:rPr>
        <w:t>71</w:t>
      </w:r>
      <w:r>
        <w:rPr>
          <w:rFonts w:hint="eastAsia" w:ascii="仿宋_GB2312" w:hAnsi="仿宋" w:eastAsia="仿宋_GB2312"/>
          <w:sz w:val="32"/>
          <w:szCs w:val="32"/>
        </w:rPr>
        <w:t>.</w:t>
      </w:r>
      <w:r>
        <w:rPr>
          <w:rFonts w:ascii="仿宋_GB2312" w:hAnsi="仿宋" w:eastAsia="仿宋_GB2312"/>
          <w:sz w:val="32"/>
          <w:szCs w:val="32"/>
        </w:rPr>
        <w:t>324632</w:t>
      </w:r>
      <w:r>
        <w:rPr>
          <w:rFonts w:hint="eastAsia" w:ascii="仿宋_GB2312" w:hAnsi="仿宋" w:eastAsia="仿宋_GB2312"/>
          <w:sz w:val="32"/>
          <w:szCs w:val="32"/>
        </w:rPr>
        <w:t>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日常公用经费</w:t>
      </w:r>
      <w:r>
        <w:rPr>
          <w:rFonts w:ascii="仿宋_GB2312" w:hAnsi="仿宋" w:eastAsia="仿宋_GB2312"/>
          <w:sz w:val="32"/>
          <w:szCs w:val="32"/>
        </w:rPr>
        <w:t>8</w:t>
      </w:r>
      <w:r>
        <w:rPr>
          <w:rFonts w:hint="eastAsia" w:ascii="仿宋_GB2312" w:hAnsi="仿宋" w:eastAsia="仿宋_GB2312"/>
          <w:sz w:val="32"/>
          <w:szCs w:val="32"/>
        </w:rPr>
        <w:t>.</w:t>
      </w:r>
      <w:r>
        <w:rPr>
          <w:rFonts w:ascii="仿宋_GB2312" w:hAnsi="仿宋" w:eastAsia="仿宋_GB2312"/>
          <w:sz w:val="32"/>
          <w:szCs w:val="32"/>
        </w:rPr>
        <w:t>8014</w:t>
      </w:r>
      <w:r>
        <w:rPr>
          <w:rFonts w:hint="eastAsia" w:ascii="仿宋_GB2312" w:hAnsi="仿宋" w:eastAsia="仿宋_GB2312"/>
          <w:sz w:val="32"/>
          <w:szCs w:val="32"/>
        </w:rPr>
        <w:t>万元</w:t>
      </w:r>
    </w:p>
    <w:p>
      <w:pPr>
        <w:tabs>
          <w:tab w:val="left" w:pos="916"/>
        </w:tabs>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本年度预算收支安排</w:t>
      </w:r>
      <w:r>
        <w:rPr>
          <w:rFonts w:ascii="仿宋_GB2312" w:hAnsi="仿宋" w:eastAsia="仿宋_GB2312"/>
          <w:sz w:val="32"/>
          <w:szCs w:val="32"/>
        </w:rPr>
        <w:t>80</w:t>
      </w:r>
      <w:r>
        <w:rPr>
          <w:rFonts w:hint="eastAsia" w:ascii="仿宋_GB2312" w:hAnsi="仿宋" w:eastAsia="仿宋_GB2312"/>
          <w:sz w:val="32"/>
          <w:szCs w:val="32"/>
        </w:rPr>
        <w:t>.</w:t>
      </w:r>
      <w:r>
        <w:rPr>
          <w:rFonts w:ascii="仿宋_GB2312" w:hAnsi="仿宋" w:eastAsia="仿宋_GB2312"/>
          <w:sz w:val="32"/>
          <w:szCs w:val="32"/>
        </w:rPr>
        <w:t>126032</w:t>
      </w:r>
      <w:r>
        <w:rPr>
          <w:rFonts w:hint="eastAsia" w:ascii="仿宋_GB2312" w:hAnsi="仿宋" w:eastAsia="仿宋_GB2312"/>
          <w:sz w:val="32"/>
          <w:szCs w:val="32"/>
        </w:rPr>
        <w:t>万元，较上年增加17.239366万元。其中:人员经费支出增加16.861966（新调入工作人员一名）；日常公用经费增加0.3774万元（新调入人员的公务通讯移动费用补贴、公务交通补贴两项补贴）。</w:t>
      </w: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 xml:space="preserve"> 中共保定市满城区工商联机关运行经费安排</w:t>
      </w:r>
      <w:r>
        <w:rPr>
          <w:rFonts w:ascii="仿宋_GB2312" w:hAnsi="仿宋" w:eastAsia="仿宋_GB2312"/>
          <w:sz w:val="32"/>
          <w:szCs w:val="32"/>
        </w:rPr>
        <w:t>8</w:t>
      </w:r>
      <w:r>
        <w:rPr>
          <w:rFonts w:hint="eastAsia" w:ascii="仿宋_GB2312" w:hAnsi="仿宋" w:eastAsia="仿宋_GB2312"/>
          <w:sz w:val="32"/>
          <w:szCs w:val="32"/>
        </w:rPr>
        <w:t>.</w:t>
      </w:r>
      <w:r>
        <w:rPr>
          <w:rFonts w:ascii="仿宋_GB2312" w:hAnsi="仿宋" w:eastAsia="仿宋_GB2312"/>
          <w:sz w:val="32"/>
          <w:szCs w:val="32"/>
        </w:rPr>
        <w:t>8014</w:t>
      </w:r>
      <w:r>
        <w:rPr>
          <w:rFonts w:hint="eastAsia" w:ascii="仿宋_GB2312" w:hAnsi="仿宋" w:eastAsia="仿宋_GB2312"/>
          <w:sz w:val="32"/>
          <w:szCs w:val="32"/>
        </w:rPr>
        <w:t>万元，其中办公费0.25万元，差旅费0.05万元，邮电费2.46万元，退休干部公用经费0.15万元，公务交通补贴3.24万元，接待费0.1514万元，公务用车运行维护费2.5万元。</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tbl>
      <w:tblPr>
        <w:tblStyle w:val="8"/>
        <w:tblW w:w="0" w:type="auto"/>
        <w:tblInd w:w="-176" w:type="dxa"/>
        <w:tblLayout w:type="fixed"/>
        <w:tblCellMar>
          <w:top w:w="0" w:type="dxa"/>
          <w:left w:w="108" w:type="dxa"/>
          <w:bottom w:w="0" w:type="dxa"/>
          <w:right w:w="108" w:type="dxa"/>
        </w:tblCellMar>
      </w:tblPr>
      <w:tblGrid>
        <w:gridCol w:w="2269"/>
        <w:gridCol w:w="1760"/>
        <w:gridCol w:w="1717"/>
        <w:gridCol w:w="1177"/>
        <w:gridCol w:w="3284"/>
      </w:tblGrid>
      <w:tr>
        <w:tblPrEx>
          <w:tblCellMar>
            <w:top w:w="0" w:type="dxa"/>
            <w:left w:w="108" w:type="dxa"/>
            <w:bottom w:w="0" w:type="dxa"/>
            <w:right w:w="108" w:type="dxa"/>
          </w:tblCellMar>
        </w:tblPrEx>
        <w:trPr>
          <w:wBefore w:w="0" w:type="auto"/>
          <w:trHeight w:val="405" w:hRule="atLeast"/>
        </w:trPr>
        <w:tc>
          <w:tcPr>
            <w:tcW w:w="10207"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auto"/>
          <w:trHeight w:val="221"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auto"/>
          <w:trHeight w:val="285"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2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auto"/>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57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513"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0.05</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由于日常公用经费增加,按比例计算，公务接待费预算有所增加。</w:t>
            </w:r>
          </w:p>
        </w:tc>
      </w:tr>
      <w:tr>
        <w:tblPrEx>
          <w:tblCellMar>
            <w:top w:w="0" w:type="dxa"/>
            <w:left w:w="108" w:type="dxa"/>
            <w:bottom w:w="0" w:type="dxa"/>
            <w:right w:w="108" w:type="dxa"/>
          </w:tblCellMar>
        </w:tblPrEx>
        <w:trPr>
          <w:wBefore w:w="0" w:type="auto"/>
          <w:trHeight w:val="962"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0</w:t>
            </w:r>
            <w:r>
              <w:rPr>
                <w:rFonts w:hint="eastAsia" w:ascii="仿宋_GB2312" w:hAnsi="宋体" w:eastAsia="仿宋_GB2312" w:cs="宋体"/>
                <w:kern w:val="0"/>
                <w:sz w:val="24"/>
                <w:szCs w:val="24"/>
              </w:rPr>
              <w:t>.05</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kern w:val="0"/>
                <w:sz w:val="24"/>
                <w:szCs w:val="24"/>
              </w:rPr>
            </w:pPr>
            <w:r>
              <w:rPr>
                <w:rFonts w:hint="eastAsia" w:ascii="仿宋_GB2312" w:hAnsi="宋体" w:eastAsia="仿宋_GB2312" w:cs="宋体"/>
                <w:kern w:val="0"/>
                <w:sz w:val="24"/>
                <w:szCs w:val="24"/>
              </w:rPr>
              <w:t>由于日常公用经费增加,按比例计算，公务接待费预算有所增加。</w:t>
            </w:r>
          </w:p>
        </w:tc>
      </w:tr>
      <w:tr>
        <w:tblPrEx>
          <w:tblCellMar>
            <w:top w:w="0" w:type="dxa"/>
            <w:left w:w="108" w:type="dxa"/>
            <w:bottom w:w="0" w:type="dxa"/>
            <w:right w:w="108" w:type="dxa"/>
          </w:tblCellMar>
        </w:tblPrEx>
        <w:trPr>
          <w:wBefore w:w="0" w:type="auto"/>
          <w:trHeight w:val="285"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r>
        <w:rPr>
          <w:rFonts w:ascii="宋体" w:hAnsi="宋体"/>
        </w:rPr>
        <w:t xml:space="preserve"> </w:t>
      </w:r>
    </w:p>
    <w:p>
      <w:pPr>
        <w:numPr>
          <w:ilvl w:val="0"/>
          <w:numId w:val="1"/>
        </w:numPr>
        <w:spacing w:line="520" w:lineRule="exact"/>
        <w:jc w:val="left"/>
        <w:rPr>
          <w:rFonts w:hint="eastAsia" w:ascii="黑体" w:hAnsi="黑体" w:eastAsia="黑体"/>
          <w:b/>
          <w:sz w:val="32"/>
          <w:szCs w:val="32"/>
        </w:rPr>
      </w:pPr>
      <w:r>
        <w:rPr>
          <w:rFonts w:hint="eastAsia" w:ascii="黑体" w:hAnsi="黑体" w:eastAsia="黑体"/>
          <w:sz w:val="32"/>
          <w:szCs w:val="32"/>
        </w:rPr>
        <w:t>总体绩效目标</w:t>
      </w:r>
      <w:r>
        <w:rPr>
          <w:rFonts w:hint="eastAsia" w:ascii="黑体" w:hAnsi="黑体" w:eastAsia="黑体"/>
          <w:b/>
          <w:sz w:val="32"/>
          <w:szCs w:val="32"/>
        </w:rPr>
        <w:t>：</w:t>
      </w:r>
    </w:p>
    <w:p>
      <w:pPr>
        <w:spacing w:line="560" w:lineRule="exact"/>
        <w:ind w:firstLine="630" w:firstLineChars="197"/>
        <w:rPr>
          <w:rFonts w:hint="eastAsia" w:ascii="仿宋_GB2312" w:hAnsi="仿宋" w:eastAsia="仿宋_GB2312"/>
          <w:sz w:val="32"/>
          <w:szCs w:val="32"/>
        </w:rPr>
      </w:pPr>
      <w:r>
        <w:rPr>
          <w:rFonts w:hint="eastAsia" w:ascii="仿宋_GB2312" w:hAnsi="仿宋" w:eastAsia="仿宋_GB2312"/>
          <w:sz w:val="32"/>
          <w:szCs w:val="32"/>
        </w:rPr>
        <w:t>紧紧围绕区委、区政府的中心工作，以创建全国“五好”县级工商联示范点为抓手，充分发挥工商联桥梁纽带作用，着眼统战性特点，提高参政议政能力；着眼经济性特点，提高服务能力；着眼民间性特点，提高协调能力；着眼“助手”特点，提高社会凝聚能力，引导全区非公有制经济为全面建成小康社会，做出新贡献。</w:t>
      </w:r>
    </w:p>
    <w:p>
      <w:pPr>
        <w:spacing w:line="560" w:lineRule="exact"/>
        <w:ind w:firstLine="630" w:firstLineChars="197"/>
        <w:rPr>
          <w:rFonts w:ascii="仿宋_GB2312" w:hAnsi="仿宋" w:eastAsia="仿宋_GB2312"/>
          <w:sz w:val="32"/>
          <w:szCs w:val="32"/>
        </w:rPr>
      </w:pPr>
      <w:r>
        <w:rPr>
          <w:rFonts w:hint="eastAsia" w:ascii="仿宋_GB2312" w:hAnsi="仿宋" w:eastAsia="仿宋_GB2312"/>
          <w:sz w:val="32"/>
          <w:szCs w:val="32"/>
        </w:rPr>
        <w:t>加强我区工商联同国内各级工商联、港澳地区及海外经济社团的联系与交流，真正发挥工商联和商会的联谊作用。组织民营企业家外出参观学习，开拓视野，学习先进管理经验，</w:t>
      </w:r>
      <w:r>
        <w:rPr>
          <w:rFonts w:ascii="仿宋_GB2312" w:hAnsi="仿宋" w:eastAsia="仿宋_GB2312"/>
          <w:sz w:val="32"/>
          <w:szCs w:val="32"/>
        </w:rPr>
        <w:t>寻找合作共赢的商机，促进我</w:t>
      </w:r>
      <w:r>
        <w:rPr>
          <w:rFonts w:hint="eastAsia" w:ascii="仿宋_GB2312" w:hAnsi="仿宋" w:eastAsia="仿宋_GB2312"/>
          <w:sz w:val="32"/>
          <w:szCs w:val="32"/>
        </w:rPr>
        <w:t>区民营</w:t>
      </w:r>
      <w:r>
        <w:rPr>
          <w:rFonts w:ascii="仿宋_GB2312" w:hAnsi="仿宋" w:eastAsia="仿宋_GB2312"/>
          <w:sz w:val="32"/>
          <w:szCs w:val="32"/>
        </w:rPr>
        <w:t>企业的健康发展。</w:t>
      </w:r>
    </w:p>
    <w:p>
      <w:pPr>
        <w:spacing w:line="560" w:lineRule="exact"/>
        <w:ind w:firstLine="630" w:firstLineChars="197"/>
        <w:rPr>
          <w:rFonts w:hint="eastAsia" w:ascii="仿宋_GB2312" w:hAnsi="仿宋" w:eastAsia="仿宋_GB2312"/>
          <w:sz w:val="32"/>
          <w:szCs w:val="32"/>
        </w:rPr>
      </w:pPr>
      <w:r>
        <w:rPr>
          <w:rFonts w:hint="eastAsia" w:ascii="仿宋_GB2312" w:hAnsi="仿宋" w:eastAsia="仿宋_GB2312"/>
          <w:sz w:val="32"/>
          <w:szCs w:val="32"/>
        </w:rPr>
        <w:t>紧紧结合区委、区政府的中心工作，选好与全区非公有制经济发展、社会热点问题和工商联工作紧密相关的重点课题，进一步整合调研力量，切实发挥工商联、非公有制企业及有关部门的联合作用，高质量的开展调研，为区委、区政府科学决策建言献策，发挥好民主监督作用。</w:t>
      </w:r>
    </w:p>
    <w:p>
      <w:pPr>
        <w:spacing w:line="560" w:lineRule="exact"/>
        <w:ind w:firstLine="630" w:firstLineChars="197"/>
        <w:rPr>
          <w:rFonts w:hint="eastAsia" w:ascii="仿宋_GB2312" w:hAnsi="仿宋" w:eastAsia="仿宋_GB2312"/>
          <w:sz w:val="32"/>
          <w:szCs w:val="32"/>
        </w:rPr>
      </w:pPr>
      <w:r>
        <w:rPr>
          <w:rFonts w:hint="eastAsia" w:ascii="仿宋_GB2312" w:hAnsi="仿宋" w:eastAsia="仿宋_GB2312"/>
          <w:sz w:val="32"/>
          <w:szCs w:val="32"/>
        </w:rPr>
        <w:t>加强对非公经济人士的培训。聘请专家现场授课，详细讲解宣传党的方针、政策及现代企业管理知识，进一步增强企业家的政治素养和管理能力。为企业提供培训、请专家讲课、会诊等更多的实质性服务，解决企业存在的问题。</w:t>
      </w:r>
    </w:p>
    <w:p>
      <w:pPr>
        <w:spacing w:line="560" w:lineRule="exact"/>
        <w:ind w:firstLine="630" w:firstLineChars="197"/>
        <w:rPr>
          <w:rFonts w:hint="eastAsia" w:ascii="仿宋_GB2312" w:hAnsi="仿宋" w:eastAsia="仿宋_GB2312"/>
          <w:sz w:val="32"/>
          <w:szCs w:val="32"/>
        </w:rPr>
      </w:pPr>
      <w:r>
        <w:rPr>
          <w:rFonts w:hint="eastAsia" w:ascii="仿宋_GB2312" w:hAnsi="仿宋" w:eastAsia="仿宋_GB2312"/>
          <w:sz w:val="32"/>
          <w:szCs w:val="32"/>
        </w:rPr>
        <w:t>开展科技，法律服务。帮助非公有制经济企业搞好科技培训，结合法律部门，搞好法律咨询服务，增强企业以法律手段保护自己合法权益的意识和能力。</w:t>
      </w:r>
    </w:p>
    <w:p>
      <w:pPr>
        <w:pStyle w:val="2"/>
        <w:spacing w:line="560" w:lineRule="exact"/>
        <w:ind w:firstLine="0"/>
        <w:rPr>
          <w:rFonts w:ascii="仿宋_GB2312" w:hAnsi="仿宋"/>
          <w:szCs w:val="32"/>
          <w:lang w:val="en-US" w:eastAsia="zh-CN"/>
        </w:rPr>
      </w:pPr>
      <w:r>
        <w:rPr>
          <w:rFonts w:hint="eastAsia" w:ascii="仿宋_GB2312" w:hAnsi="仿宋"/>
          <w:szCs w:val="32"/>
          <w:lang w:val="en-US" w:eastAsia="zh-CN"/>
        </w:rPr>
        <w:t xml:space="preserve">    加强支持引导，促进会员企业转型升级，营造绿色发展。加大宣传力度，增强会员企业对社会环境问题的认识，自觉遵守环境保护法律法规，塑造企业的绿色环保形象；</w:t>
      </w:r>
      <w:r>
        <w:rPr>
          <w:rFonts w:ascii="仿宋_GB2312" w:hAnsi="仿宋"/>
          <w:szCs w:val="32"/>
          <w:lang w:val="en-US" w:eastAsia="zh-CN"/>
        </w:rPr>
        <w:t>积极引导</w:t>
      </w:r>
      <w:r>
        <w:rPr>
          <w:rFonts w:hint="eastAsia" w:ascii="仿宋_GB2312" w:hAnsi="仿宋"/>
          <w:szCs w:val="32"/>
          <w:lang w:val="en-US" w:eastAsia="zh-CN"/>
        </w:rPr>
        <w:t>会员企业转变经济增长方式，</w:t>
      </w:r>
      <w:r>
        <w:rPr>
          <w:rFonts w:ascii="仿宋_GB2312" w:hAnsi="仿宋"/>
          <w:szCs w:val="32"/>
          <w:lang w:val="en-US" w:eastAsia="zh-CN"/>
        </w:rPr>
        <w:t>采用科技含量高、资源消耗低、污染排放少的先进技术</w:t>
      </w:r>
      <w:r>
        <w:rPr>
          <w:rFonts w:hint="eastAsia" w:ascii="仿宋_GB2312" w:hAnsi="仿宋"/>
          <w:szCs w:val="32"/>
          <w:lang w:val="en-US" w:eastAsia="zh-CN"/>
        </w:rPr>
        <w:t>，淘汰落后产能，助力我县经济由粗放型向环保节约型发展；</w:t>
      </w:r>
      <w:r>
        <w:rPr>
          <w:rFonts w:ascii="仿宋_GB2312" w:hAnsi="仿宋"/>
          <w:szCs w:val="32"/>
          <w:lang w:val="en-US" w:eastAsia="zh-CN"/>
        </w:rPr>
        <w:t>积极指导</w:t>
      </w:r>
      <w:r>
        <w:rPr>
          <w:rFonts w:hint="eastAsia" w:ascii="仿宋_GB2312" w:hAnsi="仿宋"/>
          <w:szCs w:val="32"/>
          <w:lang w:val="en-US" w:eastAsia="zh-CN"/>
        </w:rPr>
        <w:t>会员</w:t>
      </w:r>
      <w:r>
        <w:rPr>
          <w:rFonts w:ascii="仿宋_GB2312" w:hAnsi="仿宋"/>
          <w:szCs w:val="32"/>
          <w:lang w:val="en-US" w:eastAsia="zh-CN"/>
        </w:rPr>
        <w:t>企业加强质量管理，落实企业质量主体责任，加强质量诚信体系建设，提升企业诚信意识。</w:t>
      </w:r>
    </w:p>
    <w:p>
      <w:pPr>
        <w:spacing w:line="560" w:lineRule="exact"/>
        <w:ind w:firstLine="630" w:firstLineChars="197"/>
        <w:rPr>
          <w:rFonts w:hint="eastAsia" w:ascii="仿宋_GB2312" w:hAnsi="仿宋" w:eastAsia="仿宋_GB2312"/>
          <w:sz w:val="32"/>
          <w:szCs w:val="32"/>
        </w:rPr>
        <w:sectPr>
          <w:headerReference r:id="rId3" w:type="default"/>
          <w:pgSz w:w="11907" w:h="16839"/>
          <w:pgMar w:top="1531" w:right="1134" w:bottom="1474" w:left="1134" w:header="851" w:footer="992" w:gutter="0"/>
          <w:cols w:space="720" w:num="1"/>
          <w:docGrid w:linePitch="312" w:charSpace="0"/>
        </w:sectPr>
      </w:pPr>
    </w:p>
    <w:p>
      <w:pPr>
        <w:ind w:firstLine="640" w:firstLineChars="200"/>
        <w:jc w:val="center"/>
        <w:outlineLvl w:val="0"/>
        <w:rPr>
          <w:rFonts w:hint="eastAsia" w:ascii="黑体" w:hAnsi="黑体" w:eastAsia="黑体"/>
          <w:b/>
          <w:sz w:val="32"/>
        </w:rPr>
      </w:pPr>
      <w:bookmarkStart w:id="0" w:name="_Toc441150763"/>
      <w:r>
        <w:rPr>
          <w:rFonts w:hint="eastAsia" w:ascii="黑体" w:hAnsi="黑体" w:eastAsia="黑体"/>
          <w:kern w:val="0"/>
          <w:sz w:val="32"/>
          <w:szCs w:val="32"/>
        </w:rPr>
        <w:t>二、</w:t>
      </w:r>
      <w:r>
        <w:rPr>
          <w:rFonts w:hint="eastAsia" w:ascii="黑体" w:hAnsi="黑体" w:eastAsia="黑体"/>
          <w:b/>
          <w:sz w:val="32"/>
        </w:rPr>
        <w:t>部门职责-工作活动绩效目标</w:t>
      </w:r>
    </w:p>
    <w:tbl>
      <w:tblPr>
        <w:tblStyle w:val="8"/>
        <w:tblW w:w="131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16"/>
        <w:gridCol w:w="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Before w:w="0" w:type="dxa"/>
          <w:wAfter w:w="21" w:type="dxa"/>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714</w:t>
            </w:r>
            <w:r>
              <w:rPr>
                <w:rFonts w:hint="eastAsia" w:ascii="方正小标宋_GBK" w:eastAsia="方正小标宋_GBK"/>
                <w:sz w:val="24"/>
              </w:rPr>
              <w:t>保定市满城区工商业联合会</w:t>
            </w:r>
          </w:p>
        </w:tc>
        <w:tc>
          <w:tcPr>
            <w:tcW w:w="2190"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Before w:w="0" w:type="dxa"/>
          <w:wAfter w:w="21" w:type="dxa"/>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190" w:type="dxa"/>
            <w:gridSpan w:val="3"/>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一、参政议政</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参政议政、社会服务等事项</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增强组织凝聚力和社会影响力，提升参政议政水平。组织经贸洽谈、招商引资等经济活动，助力县域经济发展。</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gridSpan w:val="2"/>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、参政议政</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组织开展调研，向县政协提交大会发言和集体提案，反映社情民意，与县政府对口单位紧密联系。开展各种活动及相关会议</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提升参政议政水平，为社会发展建言献策。</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提交调研报告数量</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提交县政协大会集体提案</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、社会服务</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积极搭建服务平台，举办招商会、银企对接会、招商引资，民企活动及法律维权、科技进民企活动。加强与知名企业的合作交流。组织会员企业参与农村面貌改造提升行动、社会扶贫和公益事业。</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引导会员积极承担社会责任，热心公益事业发挥工商联在政府管理和服务非公有制经济中的助手作用，助力县域经济发展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银企对接会次数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gridSpan w:val="2"/>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法律维权服务次数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组织招商引资活动次数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二、组织建设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组织建设及宣传教育、培训等事项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发展工商联会员、指导基层工商联组织建设；组织培训、思想政治教育，对非公有制经济优秀事迹进行宣传等事项。</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gridSpan w:val="2"/>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、组织建设及宣传教育、培训</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贯彻省市工商联组织建设工作方针，指导全县各级组织的建设，维护会员合法权益，组织换届、培训、思想教育和基层建设工作，对非公有制经济优秀事迹进行宣传。</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指导全县各级组织建设。提升民营企业家素质，推进民营企业文化建设，提升工商联工作影响力。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新会员培训合格率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gridSpan w:val="2"/>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培训人次</w:t>
            </w:r>
            <w:r>
              <w:rPr>
                <w:rFonts w:ascii="方正书宋_GBK" w:eastAsia="方正书宋_GBK"/>
              </w:rPr>
              <w:t>(</w:t>
            </w:r>
            <w:r>
              <w:rPr>
                <w:rFonts w:hint="eastAsia" w:ascii="方正书宋_GBK" w:eastAsia="方正书宋_GBK"/>
              </w:rPr>
              <w:t>人）</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c>
          <w:tcPr>
            <w:tcW w:w="737" w:type="dxa"/>
            <w:gridSpan w:val="2"/>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gridSpan w:val="2"/>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三、工商联事务管理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综合性事务管理等事项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保障工商联各项工作顺利开展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gridSpan w:val="2"/>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档案、信息、机关各类会议、财务、机要、保密、安全保卫、固定资产、车辆等管理和后勤保障工作。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保证工商联日常工作正常运转</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gridSpan w:val="2"/>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jc w:val="center"/>
        <w:outlineLvl w:val="0"/>
        <w:rPr>
          <w:rFonts w:hint="eastAsia" w:ascii="黑体" w:hAnsi="黑体" w:eastAsia="黑体"/>
          <w:b/>
          <w:sz w:val="32"/>
        </w:rPr>
      </w:pPr>
    </w:p>
    <w:bookmarkEnd w:id="0"/>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2019年，工商联没有安排采购预算，空表列示。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wBefore w:w="0" w:type="auto"/>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wBefore w:w="0" w:type="auto"/>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wBefore w:w="0" w:type="auto"/>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wBefore w:w="0" w:type="auto"/>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wBefore w:w="0" w:type="auto"/>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spacing w:line="560" w:lineRule="exact"/>
        <w:ind w:firstLine="560" w:firstLineChars="200"/>
        <w:outlineLvl w:val="0"/>
        <w:rPr>
          <w:rFonts w:ascii="宋体" w:hAnsi="宋体"/>
          <w:sz w:val="28"/>
          <w:szCs w:val="28"/>
        </w:rPr>
        <w:sectPr>
          <w:pgSz w:w="16839" w:h="11907" w:orient="landscape"/>
          <w:pgMar w:top="1134" w:right="1531" w:bottom="1134" w:left="1474" w:header="851" w:footer="992" w:gutter="0"/>
          <w:cols w:space="720" w:num="1"/>
          <w:docGrid w:linePitch="312" w:charSpace="0"/>
        </w:sectPr>
      </w:pPr>
    </w:p>
    <w:p>
      <w:pPr>
        <w:spacing w:line="520" w:lineRule="exact"/>
        <w:ind w:firstLine="640" w:firstLineChars="200"/>
        <w:rPr>
          <w:rFonts w:hint="eastAsia" w:ascii="仿宋_GB2312" w:hAnsi="仿宋" w:eastAsia="仿宋_GB2312"/>
          <w:sz w:val="32"/>
          <w:szCs w:val="32"/>
        </w:rPr>
      </w:pPr>
    </w:p>
    <w:p>
      <w:pPr>
        <w:spacing w:line="520" w:lineRule="exact"/>
        <w:ind w:firstLine="2400" w:firstLineChars="750"/>
        <w:rPr>
          <w:rFonts w:hint="eastAsia" w:ascii="黑体" w:hAnsi="黑体" w:eastAsia="黑体"/>
          <w:sz w:val="32"/>
          <w:szCs w:val="32"/>
        </w:rPr>
      </w:pPr>
    </w:p>
    <w:p>
      <w:pPr>
        <w:spacing w:line="520" w:lineRule="exact"/>
        <w:ind w:firstLine="2400" w:firstLineChars="750"/>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保定市满城区工商业联合会2018年末固定资产总金额13.05万元（详见下表）。 2019年没有拟购置固定资产。</w:t>
      </w:r>
    </w:p>
    <w:tbl>
      <w:tblPr>
        <w:tblStyle w:val="8"/>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auto"/>
          <w:trHeight w:val="675" w:hRule="atLeast"/>
        </w:trPr>
        <w:tc>
          <w:tcPr>
            <w:tcW w:w="8804" w:type="dxa"/>
            <w:gridSpan w:val="3"/>
            <w:tcBorders>
              <w:top w:val="nil"/>
              <w:left w:val="nil"/>
              <w:bottom w:val="nil"/>
              <w:right w:val="nil"/>
            </w:tcBorders>
            <w:noWrap w:val="0"/>
            <w:vAlign w:val="center"/>
          </w:tcPr>
          <w:p>
            <w:pPr>
              <w:widowControl/>
              <w:jc w:val="center"/>
              <w:rPr>
                <w:rFonts w:ascii="仿宋" w:hAnsi="仿宋" w:eastAsia="仿宋"/>
                <w:sz w:val="32"/>
                <w:szCs w:val="32"/>
              </w:rPr>
            </w:pPr>
            <w:r>
              <w:rPr>
                <w:rFonts w:hint="eastAsia" w:ascii="仿宋" w:hAnsi="仿宋" w:eastAsia="仿宋"/>
                <w:sz w:val="32"/>
                <w:szCs w:val="32"/>
              </w:rPr>
              <w:t>保定市满城区工商业联合会固定资产占用情况表</w:t>
            </w:r>
          </w:p>
        </w:tc>
      </w:tr>
      <w:tr>
        <w:tblPrEx>
          <w:tblCellMar>
            <w:top w:w="0" w:type="dxa"/>
            <w:left w:w="108" w:type="dxa"/>
            <w:bottom w:w="0" w:type="dxa"/>
            <w:right w:w="108" w:type="dxa"/>
          </w:tblCellMar>
        </w:tblPrEx>
        <w:trPr>
          <w:wBefore w:w="0" w:type="auto"/>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wBefore w:w="0" w:type="auto"/>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13.05</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9.38</w:t>
            </w:r>
          </w:p>
        </w:tc>
      </w:tr>
      <w:tr>
        <w:tblPrEx>
          <w:tblCellMar>
            <w:top w:w="0" w:type="dxa"/>
            <w:left w:w="108" w:type="dxa"/>
            <w:bottom w:w="0" w:type="dxa"/>
            <w:right w:w="108" w:type="dxa"/>
          </w:tblCellMar>
        </w:tblPrEx>
        <w:trPr>
          <w:wBefore w:w="0" w:type="auto"/>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auto"/>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3.67</w:t>
            </w:r>
          </w:p>
        </w:tc>
      </w:tr>
    </w:tbl>
    <w:p>
      <w:pPr>
        <w:spacing w:line="520" w:lineRule="exact"/>
        <w:jc w:val="center"/>
        <w:outlineLvl w:val="0"/>
        <w:rPr>
          <w:rFonts w:hint="eastAsia" w:ascii="仿宋_GB2312" w:hAnsi="黑体" w:eastAsia="仿宋_GB2312"/>
          <w:sz w:val="32"/>
          <w:szCs w:val="32"/>
        </w:r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6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80E0000" w:usb2="00000010" w:usb3="00000000" w:csb0="00040000" w:csb1="00000000"/>
  </w:font>
  <w:font w:name="方正书宋_GBK">
    <w:altName w:val="微软雅黑"/>
    <w:panose1 w:val="00000000000000000000"/>
    <w:charset w:val="86"/>
    <w:family w:val="script"/>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lvlText w:val="一、"/>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6F8"/>
    <w:rsid w:val="00041411"/>
    <w:rsid w:val="00052414"/>
    <w:rsid w:val="00055CD9"/>
    <w:rsid w:val="000965D0"/>
    <w:rsid w:val="000E0D6E"/>
    <w:rsid w:val="000F6FB9"/>
    <w:rsid w:val="001B0667"/>
    <w:rsid w:val="001C5419"/>
    <w:rsid w:val="001C5C17"/>
    <w:rsid w:val="001D079C"/>
    <w:rsid w:val="002E2737"/>
    <w:rsid w:val="00375D9E"/>
    <w:rsid w:val="0039514F"/>
    <w:rsid w:val="0043756B"/>
    <w:rsid w:val="00461A24"/>
    <w:rsid w:val="00491B23"/>
    <w:rsid w:val="00657DAE"/>
    <w:rsid w:val="006F44BC"/>
    <w:rsid w:val="007A2612"/>
    <w:rsid w:val="007F34A3"/>
    <w:rsid w:val="00803289"/>
    <w:rsid w:val="00871FB2"/>
    <w:rsid w:val="008A7D17"/>
    <w:rsid w:val="009354C6"/>
    <w:rsid w:val="00943439"/>
    <w:rsid w:val="00954C89"/>
    <w:rsid w:val="00AB3D8B"/>
    <w:rsid w:val="00B43097"/>
    <w:rsid w:val="00B910F0"/>
    <w:rsid w:val="00BA7252"/>
    <w:rsid w:val="00BB0341"/>
    <w:rsid w:val="00BB328C"/>
    <w:rsid w:val="00C478ED"/>
    <w:rsid w:val="00CA7FA9"/>
    <w:rsid w:val="00CD5F5A"/>
    <w:rsid w:val="00E03CC1"/>
    <w:rsid w:val="00E14F6D"/>
    <w:rsid w:val="00E64F83"/>
    <w:rsid w:val="00E668C3"/>
    <w:rsid w:val="00EC32B2"/>
    <w:rsid w:val="00EE17ED"/>
    <w:rsid w:val="00EF2396"/>
    <w:rsid w:val="00FC4B3D"/>
    <w:rsid w:val="20CA2B10"/>
    <w:rsid w:val="47064C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Indent"/>
    <w:basedOn w:val="1"/>
    <w:link w:val="13"/>
    <w:uiPriority w:val="0"/>
    <w:pPr>
      <w:spacing w:line="420" w:lineRule="exact"/>
      <w:ind w:firstLine="630"/>
    </w:pPr>
    <w:rPr>
      <w:rFonts w:ascii="Times New Roman" w:hAnsi="Times New Roman" w:eastAsia="仿宋_GB2312"/>
      <w:sz w:val="32"/>
      <w:szCs w:val="24"/>
    </w:rPr>
  </w:style>
  <w:style w:type="paragraph" w:styleId="3">
    <w:name w:val="Balloon Text"/>
    <w:basedOn w:val="1"/>
    <w:link w:val="11"/>
    <w:uiPriority w:val="0"/>
    <w:rPr>
      <w:sz w:val="18"/>
      <w:szCs w:val="18"/>
    </w:rPr>
  </w:style>
  <w:style w:type="paragraph" w:styleId="4">
    <w:name w:val="footer"/>
    <w:basedOn w:val="1"/>
    <w:link w:val="10"/>
    <w:uiPriority w:val="0"/>
    <w:pPr>
      <w:tabs>
        <w:tab w:val="center" w:pos="4153"/>
        <w:tab w:val="right" w:pos="8306"/>
      </w:tabs>
      <w:snapToGrid w:val="0"/>
      <w:jc w:val="left"/>
    </w:pPr>
    <w:rPr>
      <w:kern w:val="0"/>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iPriority w:val="0"/>
  </w:style>
  <w:style w:type="paragraph" w:styleId="7">
    <w:name w:val="toc 2"/>
    <w:basedOn w:val="1"/>
    <w:next w:val="1"/>
    <w:uiPriority w:val="0"/>
    <w:pPr>
      <w:ind w:left="420" w:leftChars="200"/>
    </w:pPr>
  </w:style>
  <w:style w:type="character" w:customStyle="1" w:styleId="10">
    <w:name w:val="页脚 Char"/>
    <w:link w:val="4"/>
    <w:uiPriority w:val="0"/>
    <w:rPr>
      <w:sz w:val="18"/>
      <w:szCs w:val="18"/>
    </w:rPr>
  </w:style>
  <w:style w:type="character" w:customStyle="1" w:styleId="11">
    <w:name w:val="批注框文本 Char"/>
    <w:link w:val="3"/>
    <w:uiPriority w:val="0"/>
    <w:rPr>
      <w:kern w:val="2"/>
      <w:sz w:val="18"/>
      <w:szCs w:val="18"/>
    </w:rPr>
  </w:style>
  <w:style w:type="character" w:customStyle="1" w:styleId="12">
    <w:name w:val="页眉 Char"/>
    <w:link w:val="5"/>
    <w:uiPriority w:val="0"/>
    <w:rPr>
      <w:sz w:val="18"/>
      <w:szCs w:val="18"/>
    </w:rPr>
  </w:style>
  <w:style w:type="character" w:customStyle="1" w:styleId="13">
    <w:name w:val="正文文本缩进 Char"/>
    <w:link w:val="2"/>
    <w:uiPriority w:val="0"/>
    <w:rPr>
      <w:rFonts w:ascii="Times New Roman" w:hAnsi="Times New Roman" w:eastAsia="仿宋_GB2312"/>
      <w:kern w:val="2"/>
      <w:sz w:val="32"/>
      <w:szCs w:val="24"/>
    </w:rPr>
  </w:style>
  <w:style w:type="paragraph" w:customStyle="1" w:styleId="14">
    <w:name w:val="[Normal]"/>
    <w:uiPriority w:val="0"/>
    <w:pPr>
      <w:widowControl w:val="0"/>
      <w:autoSpaceDE w:val="0"/>
      <w:autoSpaceDN w:val="0"/>
      <w:adjustRightInd w:val="0"/>
    </w:pPr>
    <w:rPr>
      <w:rFonts w:ascii="宋体" w:hAnsi="Times New Roman" w:cs="宋体"/>
      <w:sz w:val="24"/>
      <w:szCs w:val="24"/>
      <w:lang w:val="en-US" w:eastAsia="zh-CN" w:bidi="ar-SA"/>
    </w:rPr>
  </w:style>
  <w:style w:type="paragraph" w:styleId="15">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624</Words>
  <Characters>3561</Characters>
  <Lines>29</Lines>
  <Paragraphs>8</Paragraphs>
  <TotalTime>1</TotalTime>
  <ScaleCrop>false</ScaleCrop>
  <LinksUpToDate>false</LinksUpToDate>
  <CharactersWithSpaces>4177</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2021-05-31T10:35:00Z</dcterms:created>
  <dc:creator>suix</dc:creator>
  <cp:lastModifiedBy>Administrator</cp:lastModifiedBy>
  <cp:lastPrinted>2017-06-21T08:26:00Z</cp:lastPrinted>
  <dcterms:modified xsi:type="dcterms:W3CDTF">2024-01-11T08:54:10Z</dcterms:modified>
  <dc:title>中共保定市满城区委统战部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AB87F4F0F18342728E59A88C1FA5BC4E</vt:lpwstr>
  </property>
</Properties>
</file>