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r>
        <w:rPr>
          <w:rFonts w:hint="eastAsia" w:ascii="宋体" w:hAnsi="宋体"/>
          <w:b/>
          <w:sz w:val="44"/>
          <w:szCs w:val="44"/>
        </w:rPr>
        <w:t>中共保定市满城区工商业联合会</w:t>
      </w:r>
    </w:p>
    <w:p>
      <w:pPr>
        <w:jc w:val="center"/>
        <w:rPr>
          <w:rFonts w:ascii="宋体" w:hAnsi="宋体"/>
          <w:b/>
          <w:sz w:val="44"/>
          <w:szCs w:val="44"/>
        </w:rPr>
      </w:pPr>
      <w:r>
        <w:rPr>
          <w:rFonts w:hint="eastAsia" w:ascii="宋体" w:hAnsi="宋体"/>
          <w:b/>
          <w:sz w:val="44"/>
          <w:szCs w:val="44"/>
        </w:rPr>
        <w:t>2020年部门预算信息公开</w:t>
      </w:r>
    </w:p>
    <w:p>
      <w:pPr>
        <w:spacing w:line="520" w:lineRule="exact"/>
        <w:ind w:firstLine="640" w:firstLineChars="200"/>
        <w:jc w:val="left"/>
        <w:rPr>
          <w:rFonts w:hint="eastAsia" w:eastAsia="方正仿宋_GBK"/>
          <w:sz w:val="32"/>
          <w:szCs w:val="32"/>
        </w:rPr>
      </w:pPr>
    </w:p>
    <w:p>
      <w:pPr>
        <w:spacing w:line="520" w:lineRule="exact"/>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按照</w:t>
      </w:r>
      <w:bookmarkStart w:id="3" w:name="_GoBack"/>
      <w:bookmarkEnd w:id="3"/>
      <w:r>
        <w:rPr>
          <w:rFonts w:hint="eastAsia" w:ascii="仿宋_GB2312" w:eastAsia="仿宋_GB2312"/>
          <w:sz w:val="32"/>
          <w:szCs w:val="32"/>
        </w:rPr>
        <w:t>地方预决算公开操作规程》和《河北省省级预算公开办法》</w:t>
      </w:r>
      <w:r>
        <w:rPr>
          <w:rFonts w:hint="eastAsia" w:ascii="仿宋_GB2312" w:hAnsi="仿宋" w:eastAsia="仿宋_GB2312" w:cs="仿宋_GB2312"/>
          <w:sz w:val="32"/>
          <w:szCs w:val="32"/>
        </w:rPr>
        <w:t>规定，现将保定市满城区工商业联合会2020年部门预算公开如下：</w:t>
      </w:r>
    </w:p>
    <w:p>
      <w:pPr>
        <w:spacing w:line="520" w:lineRule="exact"/>
        <w:ind w:firstLine="640" w:firstLineChars="200"/>
        <w:jc w:val="center"/>
        <w:rPr>
          <w:rFonts w:hint="eastAsia" w:ascii="黑体" w:hAnsi="黑体" w:eastAsia="黑体"/>
          <w:sz w:val="32"/>
          <w:szCs w:val="32"/>
        </w:rPr>
      </w:pPr>
      <w:r>
        <w:rPr>
          <w:rFonts w:hint="eastAsia" w:ascii="黑体" w:hAnsi="黑体" w:eastAsia="黑体"/>
          <w:sz w:val="32"/>
          <w:szCs w:val="32"/>
        </w:rPr>
        <w:t>第一部分:部门职责及机构设置情况</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一、部门职责</w:t>
      </w:r>
    </w:p>
    <w:p>
      <w:pPr>
        <w:spacing w:line="480" w:lineRule="exact"/>
        <w:rPr>
          <w:rFonts w:hint="eastAsia" w:ascii="仿宋_GB2312" w:eastAsia="仿宋_GB2312"/>
          <w:sz w:val="32"/>
          <w:szCs w:val="32"/>
        </w:rPr>
      </w:pPr>
      <w:r>
        <w:rPr>
          <w:rFonts w:hint="eastAsia" w:ascii="仿宋_GB2312" w:eastAsia="仿宋_GB2312"/>
          <w:b/>
          <w:bCs/>
          <w:sz w:val="32"/>
          <w:szCs w:val="32"/>
        </w:rPr>
        <w:t xml:space="preserve">    （</w:t>
      </w:r>
      <w:r>
        <w:rPr>
          <w:rFonts w:hint="eastAsia" w:ascii="仿宋_GB2312" w:eastAsia="仿宋_GB2312"/>
          <w:sz w:val="32"/>
          <w:szCs w:val="32"/>
        </w:rPr>
        <w:t>一）参与国家事务和政治、经济、社会等重大事项，发挥民主监督的作用，作好代表人士的政治安排的推荐工作，对当地的有关法律、法规、政策的制订提出建议并协助贯彻执行。（二）发扬自我教育的优良传统，宣传国家的方针政策，加强和改进思想政治工作，对会员进行团结、帮助、引导、教育，鼓励会员率先致富，提倡爱国、敬业、守法，不断提高会员素质，培养一支骨干分子队伍。（三）维护会员的合法权益，反映会员的意见、要求和建议，在会员与政府之间发挥桥梁作用，当好政府管理非公有制经济的助手。（四）为会员和社会提供市场、人才、技术、商品等信息，按照国家有关规定，为会员提供管理、法律、会计、审计、融资、咨询等服务。（五）开展工商专业培训，帮助会员改善经营管理，提高生产、技术和产品质量，拓宽销售渠道增加收入，提高社会效益和经济效益。（六）按照国家规定和有关政策，组织会员举办和参加必要的对内对外展销会、交易会等，如因需要还可组织会员出国考察访问，帮助会员开拓国内、国际市场。（七）为会员提供必要的证明，协调有关方面的关系，为会员和民间企业调解经济纠纷及相关矛盾。（八）增进与台、港、澳地区和世界各国工商社团及工商经济界人士联系和友谊，促进经济、技术和贸易合作的发展，协助引进资金、技术、项目和人才。（九）办好会办服务事业和会办经济实体。（十）承办政府和有关部门委托事项。</w:t>
      </w:r>
    </w:p>
    <w:p>
      <w:pPr>
        <w:pStyle w:val="14"/>
        <w:spacing w:line="520" w:lineRule="exact"/>
        <w:ind w:firstLine="736" w:firstLineChars="230"/>
        <w:rPr>
          <w:rFonts w:hint="eastAsia" w:ascii="黑体" w:hAnsi="黑体" w:eastAsia="黑体"/>
          <w:sz w:val="32"/>
          <w:szCs w:val="32"/>
        </w:rPr>
      </w:pPr>
      <w:r>
        <w:rPr>
          <w:rFonts w:hint="eastAsia" w:ascii="黑体" w:hAnsi="黑体" w:eastAsia="黑体" w:cs="仿宋_GB2312"/>
          <w:sz w:val="32"/>
          <w:szCs w:val="32"/>
        </w:rPr>
        <w:t>二、</w:t>
      </w:r>
      <w:r>
        <w:rPr>
          <w:rFonts w:hint="eastAsia" w:ascii="黑体" w:hAnsi="黑体" w:eastAsia="黑体"/>
          <w:sz w:val="32"/>
          <w:szCs w:val="32"/>
        </w:rPr>
        <w:t>机构设置</w:t>
      </w:r>
    </w:p>
    <w:tbl>
      <w:tblPr>
        <w:tblStyle w:val="8"/>
        <w:tblW w:w="0" w:type="auto"/>
        <w:tblInd w:w="250" w:type="dxa"/>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wBefore w:w="0" w:type="auto"/>
          <w:trHeight w:val="1480" w:hRule="atLeast"/>
        </w:trPr>
        <w:tc>
          <w:tcPr>
            <w:tcW w:w="9639" w:type="dxa"/>
            <w:tcBorders>
              <w:top w:val="nil"/>
              <w:left w:val="nil"/>
              <w:bottom w:val="single" w:color="auto" w:sz="4" w:space="0"/>
              <w:right w:val="nil"/>
            </w:tcBorders>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部门机构设置情况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5"/>
              <w:gridCol w:w="2356"/>
              <w:gridCol w:w="2356"/>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06" w:hRule="atLeast"/>
              </w:trPr>
              <w:tc>
                <w:tcPr>
                  <w:tcW w:w="2355" w:type="dxa"/>
                  <w:noWrap w:val="0"/>
                  <w:vAlign w:val="top"/>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4"/>
                      <w:szCs w:val="24"/>
                    </w:rPr>
                    <w:t>单位名称</w:t>
                  </w:r>
                </w:p>
              </w:tc>
              <w:tc>
                <w:tcPr>
                  <w:tcW w:w="2356"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4"/>
                      <w:szCs w:val="24"/>
                    </w:rPr>
                    <w:t>单位性质</w:t>
                  </w:r>
                </w:p>
              </w:tc>
              <w:tc>
                <w:tcPr>
                  <w:tcW w:w="2356"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4"/>
                      <w:szCs w:val="24"/>
                    </w:rPr>
                    <w:t>单位规格</w:t>
                  </w:r>
                </w:p>
              </w:tc>
              <w:tc>
                <w:tcPr>
                  <w:tcW w:w="2356"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4"/>
                      <w:szCs w:val="24"/>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2355" w:type="dxa"/>
                  <w:noWrap w:val="0"/>
                  <w:vAlign w:val="top"/>
                </w:tcPr>
                <w:p>
                  <w:pPr>
                    <w:widowControl/>
                    <w:jc w:val="center"/>
                    <w:rPr>
                      <w:rFonts w:hint="eastAsia" w:ascii="仿宋_GB2312" w:hAnsi="宋体" w:eastAsia="仿宋_GB2312" w:cs="宋体"/>
                      <w:color w:val="000000"/>
                      <w:kern w:val="0"/>
                      <w:sz w:val="28"/>
                      <w:szCs w:val="28"/>
                    </w:rPr>
                  </w:pPr>
                  <w:r>
                    <w:rPr>
                      <w:rFonts w:hint="eastAsia" w:eastAsia="仿宋_GB2312" w:cs="宋体"/>
                      <w:color w:val="000000"/>
                      <w:kern w:val="0"/>
                      <w:sz w:val="24"/>
                      <w:szCs w:val="24"/>
                    </w:rPr>
                    <w:t>保定市满城区工商业联合会</w:t>
                  </w:r>
                </w:p>
              </w:tc>
              <w:tc>
                <w:tcPr>
                  <w:tcW w:w="2356"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4"/>
                      <w:szCs w:val="24"/>
                    </w:rPr>
                    <w:t>行政</w:t>
                  </w:r>
                </w:p>
              </w:tc>
              <w:tc>
                <w:tcPr>
                  <w:tcW w:w="2356"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4"/>
                      <w:szCs w:val="24"/>
                    </w:rPr>
                    <w:t>正科级</w:t>
                  </w:r>
                </w:p>
              </w:tc>
              <w:tc>
                <w:tcPr>
                  <w:tcW w:w="2356"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4"/>
                      <w:szCs w:val="24"/>
                    </w:rPr>
                    <w:t>财政拨款</w:t>
                  </w:r>
                </w:p>
              </w:tc>
            </w:tr>
          </w:tbl>
          <w:p>
            <w:pPr>
              <w:widowControl/>
              <w:jc w:val="center"/>
              <w:rPr>
                <w:rFonts w:hint="eastAsia" w:ascii="仿宋_GB2312" w:hAnsi="宋体" w:eastAsia="仿宋_GB2312" w:cs="宋体"/>
                <w:color w:val="000000"/>
                <w:kern w:val="0"/>
                <w:sz w:val="28"/>
                <w:szCs w:val="28"/>
              </w:rPr>
            </w:pPr>
          </w:p>
        </w:tc>
      </w:tr>
    </w:tbl>
    <w:p>
      <w:pPr>
        <w:spacing w:line="520" w:lineRule="exact"/>
        <w:ind w:firstLine="560"/>
        <w:rPr>
          <w:rFonts w:hint="eastAsia" w:ascii="仿宋_GB2312" w:hAnsi="黑体" w:eastAsia="仿宋_GB2312"/>
          <w:kern w:val="0"/>
          <w:sz w:val="32"/>
          <w:szCs w:val="32"/>
        </w:rPr>
      </w:pPr>
    </w:p>
    <w:p>
      <w:pPr>
        <w:spacing w:line="520" w:lineRule="exact"/>
        <w:ind w:left="1713" w:firstLine="320" w:firstLineChars="100"/>
        <w:rPr>
          <w:rFonts w:hint="eastAsia" w:ascii="黑体" w:hAnsi="黑体" w:eastAsia="黑体"/>
          <w:sz w:val="32"/>
          <w:szCs w:val="32"/>
        </w:rPr>
      </w:pPr>
      <w:r>
        <w:rPr>
          <w:rFonts w:hint="eastAsia" w:ascii="黑体" w:hAnsi="黑体" w:eastAsia="黑体"/>
          <w:sz w:val="32"/>
          <w:szCs w:val="32"/>
        </w:rPr>
        <w:t>第二部分：部门预算安排的总体情况</w:t>
      </w:r>
    </w:p>
    <w:p>
      <w:pPr>
        <w:spacing w:line="520" w:lineRule="exact"/>
        <w:ind w:left="1713"/>
        <w:rPr>
          <w:rFonts w:hint="eastAsia" w:ascii="黑体" w:hAnsi="黑体" w:eastAsia="黑体"/>
          <w:sz w:val="32"/>
          <w:szCs w:val="32"/>
        </w:rPr>
      </w:pPr>
    </w:p>
    <w:p>
      <w:pPr>
        <w:spacing w:line="52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1、收入说明</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2020年保定市满城区工商业联合会年初部门收入预算总额为64.67万元，其中：一般公共预算收入64.67万元。其中：一般公共预算收入为64.67万元。 </w:t>
      </w:r>
    </w:p>
    <w:p>
      <w:pPr>
        <w:spacing w:line="52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2、支出说明</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2020年部门支出安排预算总额64.67万元。</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其中：人员经费56.73万元</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日常公用经费7.94万元</w:t>
      </w:r>
    </w:p>
    <w:p>
      <w:pPr>
        <w:tabs>
          <w:tab w:val="left" w:pos="916"/>
        </w:tabs>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3、比上年增减情况</w:t>
      </w:r>
    </w:p>
    <w:p>
      <w:pPr>
        <w:tabs>
          <w:tab w:val="left" w:pos="916"/>
        </w:tabs>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　　本年度预算收支安排64.67万元，较上年减少15.45万元。其中:人员经费支出减少14.59万元（去年退休工作人员一名）；日常公用经费减少0.86万元（减少了退休工作人员的公务通讯移动补贴、公务交通补贴两项补贴）。</w:t>
      </w:r>
    </w:p>
    <w:p>
      <w:pPr>
        <w:spacing w:line="520" w:lineRule="exact"/>
        <w:outlineLvl w:val="0"/>
        <w:rPr>
          <w:rFonts w:hint="eastAsia" w:ascii="黑体" w:hAnsi="黑体" w:eastAsia="黑体"/>
          <w:sz w:val="32"/>
          <w:szCs w:val="32"/>
        </w:rPr>
      </w:pPr>
    </w:p>
    <w:p>
      <w:pPr>
        <w:spacing w:line="520" w:lineRule="exact"/>
        <w:jc w:val="center"/>
        <w:outlineLvl w:val="0"/>
        <w:rPr>
          <w:rFonts w:hint="eastAsia" w:ascii="黑体" w:hAnsi="黑体" w:eastAsia="黑体"/>
          <w:sz w:val="32"/>
          <w:szCs w:val="32"/>
        </w:rPr>
      </w:pPr>
      <w:r>
        <w:rPr>
          <w:rFonts w:hint="eastAsia" w:ascii="黑体" w:hAnsi="黑体" w:eastAsia="黑体"/>
          <w:sz w:val="32"/>
          <w:szCs w:val="32"/>
        </w:rPr>
        <w:t>第三部分：机关运行经费安排情况</w:t>
      </w:r>
    </w:p>
    <w:p>
      <w:pPr>
        <w:spacing w:line="520" w:lineRule="exact"/>
        <w:jc w:val="center"/>
        <w:outlineLvl w:val="0"/>
        <w:rPr>
          <w:rFonts w:hint="eastAsia" w:ascii="黑体" w:hAnsi="黑体" w:eastAsia="黑体"/>
          <w:sz w:val="32"/>
          <w:szCs w:val="32"/>
        </w:rPr>
      </w:pPr>
    </w:p>
    <w:p>
      <w:pPr>
        <w:spacing w:line="52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 xml:space="preserve"> 保定市满城区工商联机关运行经费安排7.94万元，其中办公费0.24万元，邮电费2.1万元，退休干部公用、特需经费0.18万元，公务交通补贴2.76万元，接待费0.16万元，公务用车运行维护费2.5万元。</w:t>
      </w:r>
    </w:p>
    <w:p>
      <w:pPr>
        <w:spacing w:line="520" w:lineRule="exact"/>
        <w:jc w:val="center"/>
        <w:outlineLvl w:val="0"/>
        <w:rPr>
          <w:rFonts w:hint="eastAsia" w:ascii="黑体" w:hAnsi="黑体" w:eastAsia="黑体"/>
          <w:sz w:val="32"/>
          <w:szCs w:val="32"/>
        </w:rPr>
      </w:pPr>
    </w:p>
    <w:p>
      <w:pPr>
        <w:spacing w:line="520" w:lineRule="exact"/>
        <w:jc w:val="center"/>
        <w:outlineLvl w:val="0"/>
        <w:rPr>
          <w:rFonts w:hint="eastAsia" w:ascii="黑体" w:hAnsi="黑体" w:eastAsia="黑体"/>
          <w:sz w:val="32"/>
          <w:szCs w:val="32"/>
        </w:rPr>
      </w:pPr>
      <w:r>
        <w:rPr>
          <w:rFonts w:hint="eastAsia" w:ascii="黑体" w:hAnsi="黑体" w:eastAsia="黑体"/>
          <w:sz w:val="32"/>
          <w:szCs w:val="32"/>
        </w:rPr>
        <w:t>第四部分：财政拨款“三公”经费预算情况及增减变化原因</w:t>
      </w:r>
    </w:p>
    <w:p>
      <w:pPr>
        <w:spacing w:line="520" w:lineRule="exact"/>
        <w:jc w:val="center"/>
        <w:outlineLvl w:val="0"/>
        <w:rPr>
          <w:rFonts w:hint="eastAsia" w:ascii="黑体" w:hAnsi="黑体" w:eastAsia="黑体"/>
          <w:sz w:val="32"/>
          <w:szCs w:val="32"/>
        </w:rPr>
      </w:pPr>
    </w:p>
    <w:tbl>
      <w:tblPr>
        <w:tblStyle w:val="8"/>
        <w:tblW w:w="0" w:type="auto"/>
        <w:tblInd w:w="-176" w:type="dxa"/>
        <w:tblLayout w:type="fixed"/>
        <w:tblCellMar>
          <w:top w:w="0" w:type="dxa"/>
          <w:left w:w="108" w:type="dxa"/>
          <w:bottom w:w="0" w:type="dxa"/>
          <w:right w:w="108" w:type="dxa"/>
        </w:tblCellMar>
      </w:tblPr>
      <w:tblGrid>
        <w:gridCol w:w="2269"/>
        <w:gridCol w:w="1760"/>
        <w:gridCol w:w="1717"/>
        <w:gridCol w:w="1177"/>
        <w:gridCol w:w="3284"/>
      </w:tblGrid>
      <w:tr>
        <w:tblPrEx>
          <w:tblCellMar>
            <w:top w:w="0" w:type="dxa"/>
            <w:left w:w="108" w:type="dxa"/>
            <w:bottom w:w="0" w:type="dxa"/>
            <w:right w:w="108" w:type="dxa"/>
          </w:tblCellMar>
        </w:tblPrEx>
        <w:trPr>
          <w:wBefore w:w="0" w:type="auto"/>
          <w:trHeight w:val="405" w:hRule="atLeast"/>
        </w:trPr>
        <w:tc>
          <w:tcPr>
            <w:tcW w:w="10207" w:type="dxa"/>
            <w:gridSpan w:val="5"/>
            <w:tcBorders>
              <w:top w:val="nil"/>
              <w:left w:val="nil"/>
              <w:bottom w:val="nil"/>
              <w:right w:val="nil"/>
            </w:tcBorders>
            <w:noWrap w:val="0"/>
            <w:vAlign w:val="center"/>
          </w:tcPr>
          <w:p>
            <w:pPr>
              <w:widowControl/>
              <w:spacing w:line="520" w:lineRule="exact"/>
              <w:jc w:val="center"/>
              <w:rPr>
                <w:rFonts w:ascii="黑体" w:hAnsi="黑体" w:eastAsia="黑体" w:cs="宋体"/>
                <w:kern w:val="0"/>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wBefore w:w="0" w:type="auto"/>
          <w:trHeight w:val="221" w:hRule="atLeast"/>
        </w:trPr>
        <w:tc>
          <w:tcPr>
            <w:tcW w:w="2269"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60"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17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3284" w:type="dxa"/>
            <w:tcBorders>
              <w:top w:val="nil"/>
              <w:left w:val="nil"/>
              <w:bottom w:val="nil"/>
              <w:right w:val="nil"/>
            </w:tcBorders>
            <w:noWrap w:val="0"/>
            <w:vAlign w:val="center"/>
          </w:tcPr>
          <w:p>
            <w:pPr>
              <w:widowControl/>
              <w:jc w:val="right"/>
              <w:rPr>
                <w:rFonts w:ascii="宋体" w:hAnsi="宋体" w:cs="宋体"/>
                <w:kern w:val="0"/>
                <w:sz w:val="24"/>
                <w:szCs w:val="24"/>
              </w:rPr>
            </w:pPr>
            <w:r>
              <w:rPr>
                <w:rFonts w:hint="eastAsia" w:ascii="宋体" w:hAnsi="宋体" w:cs="宋体"/>
                <w:kern w:val="0"/>
                <w:sz w:val="24"/>
                <w:szCs w:val="24"/>
              </w:rPr>
              <w:t>单位：万元</w:t>
            </w:r>
          </w:p>
        </w:tc>
      </w:tr>
      <w:tr>
        <w:tblPrEx>
          <w:tblCellMar>
            <w:top w:w="0" w:type="dxa"/>
            <w:left w:w="108" w:type="dxa"/>
            <w:bottom w:w="0" w:type="dxa"/>
            <w:right w:w="108" w:type="dxa"/>
          </w:tblCellMar>
        </w:tblPrEx>
        <w:trPr>
          <w:wBefore w:w="0" w:type="auto"/>
          <w:trHeight w:val="285"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项目名称</w:t>
            </w:r>
          </w:p>
        </w:tc>
        <w:tc>
          <w:tcPr>
            <w:tcW w:w="17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2019年度预算</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2020年度预算</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增减金额</w:t>
            </w:r>
          </w:p>
        </w:tc>
        <w:tc>
          <w:tcPr>
            <w:tcW w:w="328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变化原因</w:t>
            </w:r>
          </w:p>
        </w:tc>
      </w:tr>
      <w:tr>
        <w:tblPrEx>
          <w:tblCellMar>
            <w:top w:w="0" w:type="dxa"/>
            <w:left w:w="108" w:type="dxa"/>
            <w:bottom w:w="0" w:type="dxa"/>
            <w:right w:w="108" w:type="dxa"/>
          </w:tblCellMar>
        </w:tblPrEx>
        <w:trPr>
          <w:wBefore w:w="0" w:type="auto"/>
          <w:trHeight w:val="285"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因公出国经费</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wBefore w:w="0" w:type="auto"/>
          <w:trHeight w:val="285"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公务用车购置经费</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wBefore w:w="0" w:type="auto"/>
          <w:trHeight w:val="570"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公务用车运行经费</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wBefore w:w="0" w:type="auto"/>
          <w:trHeight w:val="513"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公务接待费支出</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0.15</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0.16</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0.01</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由于日常公用经费增加,按比例计算，公务接待费预算有所增加。</w:t>
            </w:r>
          </w:p>
        </w:tc>
      </w:tr>
      <w:tr>
        <w:tblPrEx>
          <w:tblCellMar>
            <w:top w:w="0" w:type="dxa"/>
            <w:left w:w="108" w:type="dxa"/>
            <w:bottom w:w="0" w:type="dxa"/>
            <w:right w:w="108" w:type="dxa"/>
          </w:tblCellMar>
        </w:tblPrEx>
        <w:trPr>
          <w:wBefore w:w="0" w:type="auto"/>
          <w:trHeight w:val="962" w:hRule="atLeast"/>
        </w:trPr>
        <w:tc>
          <w:tcPr>
            <w:tcW w:w="22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合计</w:t>
            </w:r>
          </w:p>
        </w:tc>
        <w:tc>
          <w:tcPr>
            <w:tcW w:w="17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2.65</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2.66</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0</w:t>
            </w:r>
            <w:r>
              <w:rPr>
                <w:rFonts w:hint="eastAsia" w:ascii="仿宋_GB2312" w:hAnsi="宋体" w:eastAsia="仿宋_GB2312" w:cs="宋体"/>
                <w:kern w:val="0"/>
                <w:sz w:val="24"/>
                <w:szCs w:val="24"/>
              </w:rPr>
              <w:t>.01</w:t>
            </w:r>
          </w:p>
        </w:tc>
        <w:tc>
          <w:tcPr>
            <w:tcW w:w="328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b/>
                <w:kern w:val="0"/>
                <w:sz w:val="24"/>
                <w:szCs w:val="24"/>
              </w:rPr>
            </w:pPr>
            <w:r>
              <w:rPr>
                <w:rFonts w:hint="eastAsia" w:ascii="仿宋_GB2312" w:hAnsi="宋体" w:eastAsia="仿宋_GB2312" w:cs="宋体"/>
                <w:kern w:val="0"/>
                <w:sz w:val="24"/>
                <w:szCs w:val="24"/>
              </w:rPr>
              <w:t>由于日常公用经费增加,按比例计算，公务接待费预算有所增加。</w:t>
            </w:r>
          </w:p>
        </w:tc>
      </w:tr>
      <w:tr>
        <w:tblPrEx>
          <w:tblCellMar>
            <w:top w:w="0" w:type="dxa"/>
            <w:left w:w="108" w:type="dxa"/>
            <w:bottom w:w="0" w:type="dxa"/>
            <w:right w:w="108" w:type="dxa"/>
          </w:tblCellMar>
        </w:tblPrEx>
        <w:trPr>
          <w:wBefore w:w="0" w:type="auto"/>
          <w:trHeight w:val="285" w:hRule="atLeast"/>
        </w:trPr>
        <w:tc>
          <w:tcPr>
            <w:tcW w:w="2269"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60"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17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3284" w:type="dxa"/>
            <w:tcBorders>
              <w:top w:val="nil"/>
              <w:left w:val="nil"/>
              <w:bottom w:val="nil"/>
              <w:right w:val="nil"/>
            </w:tcBorders>
            <w:noWrap w:val="0"/>
            <w:vAlign w:val="center"/>
          </w:tcPr>
          <w:p>
            <w:pPr>
              <w:widowControl/>
              <w:jc w:val="left"/>
              <w:rPr>
                <w:rFonts w:ascii="宋体" w:hAnsi="宋体" w:cs="宋体"/>
                <w:kern w:val="0"/>
                <w:sz w:val="24"/>
                <w:szCs w:val="24"/>
              </w:rPr>
            </w:pPr>
          </w:p>
        </w:tc>
      </w:tr>
    </w:tbl>
    <w:p>
      <w:pPr>
        <w:jc w:val="center"/>
        <w:outlineLvl w:val="0"/>
        <w:rPr>
          <w:rFonts w:hint="eastAsia" w:ascii="黑体" w:hAnsi="黑体" w:eastAsia="黑体"/>
          <w:sz w:val="32"/>
          <w:szCs w:val="32"/>
        </w:rPr>
      </w:pPr>
    </w:p>
    <w:p>
      <w:pPr>
        <w:jc w:val="center"/>
        <w:outlineLvl w:val="0"/>
        <w:rPr>
          <w:rFonts w:hint="eastAsia" w:ascii="黑体" w:hAnsi="黑体" w:eastAsia="黑体"/>
          <w:sz w:val="32"/>
          <w:szCs w:val="32"/>
        </w:rPr>
      </w:pPr>
      <w:r>
        <w:rPr>
          <w:rFonts w:hint="eastAsia" w:ascii="黑体" w:hAnsi="黑体" w:eastAsia="黑体"/>
          <w:sz w:val="32"/>
          <w:szCs w:val="32"/>
        </w:rPr>
        <w:t>第五部分：绩效预算信息</w:t>
      </w:r>
    </w:p>
    <w:p>
      <w:pPr>
        <w:jc w:val="center"/>
        <w:outlineLvl w:val="0"/>
        <w:rPr>
          <w:rFonts w:ascii="宋体" w:hAnsi="宋体"/>
        </w:rPr>
      </w:pPr>
      <w:r>
        <w:rPr>
          <w:rFonts w:ascii="宋体" w:hAnsi="宋体"/>
        </w:rPr>
        <w:t xml:space="preserve"> </w:t>
      </w:r>
    </w:p>
    <w:p>
      <w:pPr>
        <w:ind w:firstLine="560" w:firstLineChars="200"/>
        <w:jc w:val="left"/>
        <w:outlineLvl w:val="1"/>
        <w:rPr>
          <w:rFonts w:hAnsi="宋体"/>
          <w:sz w:val="28"/>
        </w:rPr>
      </w:pPr>
      <w:r>
        <w:rPr>
          <w:rFonts w:hint="eastAsia" w:ascii="方正黑体_GBK" w:eastAsia="方正黑体_GBK"/>
          <w:sz w:val="28"/>
        </w:rPr>
        <w:t>一、总体绩效目标</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0" w:name="_Toc44515882"/>
      <w:r>
        <w:rPr>
          <w:rFonts w:hint="eastAsia" w:ascii="方正黑体_GBK" w:eastAsia="方正黑体_GBK"/>
          <w:sz w:val="28"/>
        </w:rPr>
        <w:instrText xml:space="preserve">总体绩效目标</w:instrText>
      </w:r>
      <w:bookmarkEnd w:id="0"/>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hint="eastAsia" w:eastAsia="方正仿宋_GBK"/>
          <w:sz w:val="28"/>
        </w:rPr>
        <w:t>(</w:t>
      </w:r>
      <w:r>
        <w:rPr>
          <w:rFonts w:eastAsia="方正仿宋_GBK"/>
          <w:sz w:val="28"/>
        </w:rPr>
        <w:t>一</w:t>
      </w:r>
      <w:r>
        <w:rPr>
          <w:rFonts w:hint="eastAsia" w:eastAsia="方正仿宋_GBK"/>
          <w:sz w:val="28"/>
        </w:rPr>
        <w:t>)</w:t>
      </w:r>
      <w:r>
        <w:rPr>
          <w:rFonts w:eastAsia="方正仿宋_GBK"/>
          <w:sz w:val="28"/>
        </w:rPr>
        <w:t>总体目标</w:t>
      </w:r>
    </w:p>
    <w:p>
      <w:pPr>
        <w:spacing w:line="500" w:lineRule="exact"/>
        <w:ind w:firstLine="560" w:firstLineChars="200"/>
        <w:jc w:val="left"/>
        <w:rPr>
          <w:rFonts w:eastAsia="方正仿宋_GBK"/>
          <w:sz w:val="28"/>
        </w:rPr>
      </w:pPr>
      <w:r>
        <w:rPr>
          <w:rFonts w:eastAsia="方正仿宋_GBK"/>
          <w:sz w:val="28"/>
        </w:rPr>
        <w:t>紧紧围绕区委、区政府的中心工作，以创建全国“五好”县级工商联示范点为抓手，充分发挥工商联桥梁纽带作用，着眼统战性特点，提高参政议政能力；着眼经济性特点，提高服务能力；着眼民间性特点，提高协调能力；着眼“助手”特点，提高社会凝聚能力，引导全区非公有制经济为全面建成小康社会，做出新贡献。</w:t>
      </w:r>
    </w:p>
    <w:p>
      <w:pPr>
        <w:spacing w:line="500" w:lineRule="exact"/>
        <w:ind w:firstLine="560" w:firstLineChars="200"/>
        <w:jc w:val="left"/>
        <w:outlineLvl w:val="1"/>
        <w:rPr>
          <w:rFonts w:hAnsi="宋体"/>
          <w:sz w:val="28"/>
        </w:rPr>
      </w:pPr>
      <w:r>
        <w:rPr>
          <w:rFonts w:hint="eastAsia" w:ascii="方正黑体_GBK" w:eastAsia="方正黑体_GBK"/>
          <w:sz w:val="28"/>
        </w:rPr>
        <w:t>(二)分项绩效目标</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1" w:name="_Toc44515883"/>
      <w:r>
        <w:rPr>
          <w:rFonts w:hint="eastAsia" w:ascii="方正黑体_GBK" w:eastAsia="方正黑体_GBK"/>
          <w:sz w:val="28"/>
        </w:rPr>
        <w:instrText xml:space="preserve">分项绩效目标</w:instrText>
      </w:r>
      <w:bookmarkEnd w:id="1"/>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1、加强我区工商联同国内各级工商联、港澳地区及海外经济社团的联系与交流，真正发挥工商联和商会的联谊作用。组织民营企业家外出参观学习，开拓视野，学习先进管理经验，寻找合作共赢的商机，促进我区民营企业的健康发展。</w:t>
      </w:r>
    </w:p>
    <w:p>
      <w:pPr>
        <w:spacing w:line="500" w:lineRule="exact"/>
        <w:ind w:firstLine="560" w:firstLineChars="200"/>
        <w:jc w:val="left"/>
        <w:rPr>
          <w:rFonts w:eastAsia="方正仿宋_GBK"/>
          <w:sz w:val="28"/>
        </w:rPr>
      </w:pPr>
      <w:r>
        <w:rPr>
          <w:rFonts w:eastAsia="方正仿宋_GBK"/>
          <w:sz w:val="28"/>
        </w:rPr>
        <w:t>2、紧紧结合区委、区政府的中心工作，选好与全区非公有制经济发展、社会热点问题和工商联工作紧密相关的重点课题，进一步整合调研力量，切实发挥工商联、非公有制企业及有关部门的联合作用，高质量的开展调研，为区委、区政府科学决策建言献策，发挥好民主监督作用。</w:t>
      </w:r>
    </w:p>
    <w:p>
      <w:pPr>
        <w:spacing w:line="500" w:lineRule="exact"/>
        <w:ind w:firstLine="560" w:firstLineChars="200"/>
        <w:jc w:val="left"/>
        <w:rPr>
          <w:rFonts w:eastAsia="方正仿宋_GBK"/>
          <w:sz w:val="28"/>
        </w:rPr>
      </w:pPr>
      <w:r>
        <w:rPr>
          <w:rFonts w:eastAsia="方正仿宋_GBK"/>
          <w:sz w:val="28"/>
        </w:rPr>
        <w:t>3、加强对非公经济人士的培训。聘请专家现场授课，详细讲解宣传党的方针、政策及现代企业管理知识，进一步增强企业家的政治素养和管理能力。为企业提供培训、请专家讲课、会诊等更多的实质性服务，解决企业存在的问题。</w:t>
      </w:r>
    </w:p>
    <w:p>
      <w:pPr>
        <w:spacing w:line="500" w:lineRule="exact"/>
        <w:ind w:firstLine="560" w:firstLineChars="200"/>
        <w:jc w:val="left"/>
        <w:rPr>
          <w:rFonts w:eastAsia="方正仿宋_GBK"/>
          <w:sz w:val="28"/>
        </w:rPr>
      </w:pPr>
      <w:r>
        <w:rPr>
          <w:rFonts w:eastAsia="方正仿宋_GBK"/>
          <w:sz w:val="28"/>
        </w:rPr>
        <w:t>4、开展科技，法律服务。帮助非公有制经济企业搞好科技培训，结合法律部门，搞好法律咨询服务，增强企业以法律手段保护自己合法权益的意识和能力。</w:t>
      </w:r>
    </w:p>
    <w:p>
      <w:pPr>
        <w:spacing w:line="500" w:lineRule="exact"/>
        <w:ind w:firstLine="560" w:firstLineChars="200"/>
        <w:jc w:val="left"/>
        <w:rPr>
          <w:rFonts w:hint="eastAsia" w:eastAsia="方正仿宋_GBK"/>
          <w:sz w:val="28"/>
        </w:rPr>
      </w:pPr>
      <w:r>
        <w:rPr>
          <w:rFonts w:eastAsia="方正仿宋_GBK"/>
          <w:sz w:val="28"/>
        </w:rPr>
        <w:t xml:space="preserve"> 5、引导促进会员企业转型升级，营造绿色发展。加大宣传力度，增强会员企业对社会环境问题的认识，自觉遵守环境保护法律法规，塑造企业的绿色环保形象；积极引导会员企业转变经济增长方式，采用科技含量高、资源消耗低、污染排放少的先进技术，淘汰落后产能，助力我县经济由粗放型向环保节约型发展；积极指导会员企业加强质量管理，落实企业质量主体责任，加强质量诚信体系建设，提升企业诚信意识。</w:t>
      </w:r>
      <w:bookmarkStart w:id="2" w:name="_Toc441150763"/>
    </w:p>
    <w:p>
      <w:pPr>
        <w:spacing w:line="500" w:lineRule="exact"/>
        <w:ind w:firstLine="560" w:firstLineChars="200"/>
        <w:jc w:val="left"/>
        <w:outlineLvl w:val="1"/>
        <w:rPr>
          <w:rFonts w:hAnsi="宋体"/>
          <w:sz w:val="28"/>
        </w:rPr>
      </w:pPr>
      <w:r>
        <w:rPr>
          <w:rFonts w:hint="eastAsia" w:ascii="方正黑体_GBK" w:eastAsia="方正黑体_GBK"/>
          <w:sz w:val="28"/>
        </w:rPr>
        <w:t>三、工作保障措施</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工作保障措施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实现本年度发展规划目标的保障措施</w:t>
      </w:r>
    </w:p>
    <w:p>
      <w:pPr>
        <w:spacing w:line="500" w:lineRule="exact"/>
        <w:ind w:firstLine="560" w:firstLineChars="200"/>
        <w:jc w:val="left"/>
        <w:rPr>
          <w:rFonts w:eastAsia="方正仿宋_GBK"/>
          <w:sz w:val="28"/>
        </w:rPr>
      </w:pPr>
      <w:r>
        <w:rPr>
          <w:rFonts w:eastAsia="方正仿宋_GBK"/>
          <w:sz w:val="28"/>
        </w:rPr>
        <w:t>一是加强工商联工作的领导。按照省市文件和章程要求，明确各项工作由一名副主席牵头。</w:t>
      </w:r>
    </w:p>
    <w:p>
      <w:pPr>
        <w:spacing w:line="500" w:lineRule="exact"/>
        <w:ind w:firstLine="560" w:firstLineChars="200"/>
        <w:jc w:val="left"/>
        <w:rPr>
          <w:rFonts w:eastAsia="方正仿宋_GBK"/>
          <w:sz w:val="28"/>
        </w:rPr>
      </w:pPr>
      <w:r>
        <w:rPr>
          <w:rFonts w:eastAsia="方正仿宋_GBK"/>
          <w:sz w:val="28"/>
        </w:rPr>
        <w:t xml:space="preserve">    二是细化工作目标，责任分解落实到人。健全和完善工作机制，细化工作责任分解。</w:t>
      </w:r>
    </w:p>
    <w:p>
      <w:pPr>
        <w:jc w:val="center"/>
        <w:outlineLvl w:val="0"/>
        <w:rPr>
          <w:rFonts w:hint="eastAsia" w:ascii="黑体" w:hAnsi="黑体" w:eastAsia="黑体"/>
          <w:b/>
          <w:sz w:val="32"/>
        </w:rPr>
      </w:pPr>
      <w:r>
        <w:rPr>
          <w:rFonts w:eastAsia="方正仿宋_GBK"/>
          <w:sz w:val="28"/>
        </w:rPr>
        <w:t xml:space="preserve">    三是加大督导考核力度。加强工作调研，根据工作需要，采取调度、制定奖惩措施等多种形式推进工作落实。</w:t>
      </w:r>
    </w:p>
    <w:p>
      <w:pPr>
        <w:spacing w:line="300" w:lineRule="exact"/>
        <w:jc w:val="left"/>
        <w:outlineLvl w:val="0"/>
        <w:sectPr>
          <w:headerReference r:id="rId3" w:type="default"/>
          <w:pgSz w:w="16839" w:h="11907" w:orient="landscape"/>
          <w:pgMar w:top="1361" w:right="1020" w:bottom="1361" w:left="1020" w:header="851" w:footer="992" w:gutter="0"/>
          <w:cols w:space="720" w:num="1"/>
          <w:docGrid w:type="lines" w:linePitch="312" w:charSpace="0"/>
        </w:sectPr>
      </w:pPr>
    </w:p>
    <w:p>
      <w:pPr>
        <w:spacing w:line="500" w:lineRule="exact"/>
        <w:ind w:firstLine="640" w:firstLineChars="200"/>
        <w:jc w:val="left"/>
        <w:rPr>
          <w:rFonts w:hint="eastAsia" w:ascii="黑体" w:hAnsi="黑体" w:eastAsia="黑体"/>
          <w:kern w:val="0"/>
          <w:sz w:val="32"/>
          <w:szCs w:val="32"/>
        </w:rPr>
      </w:pPr>
    </w:p>
    <w:p>
      <w:pPr>
        <w:ind w:firstLine="640" w:firstLineChars="200"/>
        <w:jc w:val="center"/>
        <w:outlineLvl w:val="0"/>
        <w:rPr>
          <w:rFonts w:hint="eastAsia" w:ascii="黑体" w:hAnsi="黑体" w:eastAsia="黑体"/>
          <w:b/>
          <w:sz w:val="32"/>
        </w:rPr>
      </w:pPr>
      <w:r>
        <w:rPr>
          <w:rFonts w:hint="eastAsia" w:ascii="黑体" w:hAnsi="黑体" w:eastAsia="黑体"/>
          <w:kern w:val="0"/>
          <w:sz w:val="32"/>
          <w:szCs w:val="32"/>
        </w:rPr>
        <w:t>二、</w:t>
      </w:r>
      <w:r>
        <w:rPr>
          <w:rFonts w:hint="eastAsia" w:ascii="黑体" w:hAnsi="黑体" w:eastAsia="黑体"/>
          <w:b/>
          <w:sz w:val="32"/>
        </w:rPr>
        <w:t>部门职责-工作活动绩效目标</w:t>
      </w:r>
    </w:p>
    <w:tbl>
      <w:tblPr>
        <w:tblStyle w:val="8"/>
        <w:tblW w:w="131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16"/>
        <w:gridCol w:w="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Before w:w="0" w:type="dxa"/>
          <w:wAfter w:w="21" w:type="dxa"/>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714</w:t>
            </w:r>
            <w:r>
              <w:rPr>
                <w:rFonts w:hint="eastAsia" w:ascii="方正小标宋_GBK" w:eastAsia="方正小标宋_GBK"/>
                <w:sz w:val="24"/>
              </w:rPr>
              <w:t>保定市满城区工商业联合会</w:t>
            </w:r>
          </w:p>
        </w:tc>
        <w:tc>
          <w:tcPr>
            <w:tcW w:w="2190" w:type="dxa"/>
            <w:gridSpan w:val="3"/>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Before w:w="0" w:type="dxa"/>
          <w:wAfter w:w="21" w:type="dxa"/>
          <w:trHeight w:val="227" w:hRule="atLeast"/>
          <w:tblHeader/>
          <w:jc w:val="center"/>
        </w:trPr>
        <w:tc>
          <w:tcPr>
            <w:tcW w:w="234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190" w:type="dxa"/>
            <w:gridSpan w:val="3"/>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tblHeader/>
          <w:jc w:val="center"/>
        </w:trPr>
        <w:tc>
          <w:tcPr>
            <w:tcW w:w="2341"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1417" w:type="dxa"/>
            <w:vMerge w:val="continue"/>
            <w:noWrap w:val="0"/>
            <w:vAlign w:val="center"/>
          </w:tcPr>
          <w:p>
            <w:pPr>
              <w:spacing w:line="300" w:lineRule="exact"/>
              <w:jc w:val="left"/>
              <w:outlineLvl w:val="0"/>
            </w:pP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一、参政议政</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参政议政、社会服务等事项</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增强组织凝聚力和社会影响力，提升参政议政水平。组织经贸洽谈、招商引资等经济活动，助力县域经济发展。</w:t>
            </w:r>
          </w:p>
        </w:tc>
        <w:tc>
          <w:tcPr>
            <w:tcW w:w="1417" w:type="dxa"/>
            <w:noWrap w:val="0"/>
            <w:vAlign w:val="center"/>
          </w:tcPr>
          <w:p>
            <w:pPr>
              <w:spacing w:line="300" w:lineRule="exact"/>
              <w:jc w:val="left"/>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gridSpan w:val="2"/>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、参政议政</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组织开展调研，向县政协提交大会发言和集体提案，反映社情民意，与县政府对口单位紧密联系。开展各种活动及相关会议</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提升参政议政水平，为社会发展建言献策。</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提交调研报告数量</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737" w:type="dxa"/>
            <w:gridSpan w:val="2"/>
            <w:noWrap w:val="0"/>
            <w:vAlign w:val="center"/>
          </w:tcPr>
          <w:p>
            <w:pPr>
              <w:spacing w:line="300" w:lineRule="exact"/>
              <w:jc w:val="center"/>
              <w:rPr>
                <w:rFonts w:ascii="方正书宋_GBK" w:eastAsia="方正书宋_GBK"/>
              </w:rPr>
            </w:pP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提交县政协大会集体提案</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737" w:type="dxa"/>
            <w:gridSpan w:val="2"/>
            <w:noWrap w:val="0"/>
            <w:vAlign w:val="center"/>
          </w:tcPr>
          <w:p>
            <w:pPr>
              <w:spacing w:line="300" w:lineRule="exact"/>
              <w:jc w:val="center"/>
              <w:rPr>
                <w:rFonts w:ascii="方正书宋_GBK" w:eastAsia="方正书宋_GBK"/>
              </w:rPr>
            </w:pP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、社会服务</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积极搭建服务平台，举办招商会、银企对接会、招商引资，民企活动及法律维权、科技进民企活动。加强与知名企业的合作交流。组织会员企业参与农村面貌改造提升行动、社会扶贫和公益事业。</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引导会员积极承担社会责任，热心公益事业发挥工商联在政府管理和服务非公有制经济中的助手作用，助力县域经济发展</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银企对接会次数</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737" w:type="dxa"/>
            <w:gridSpan w:val="2"/>
            <w:noWrap w:val="0"/>
            <w:vAlign w:val="center"/>
          </w:tcPr>
          <w:p>
            <w:pPr>
              <w:spacing w:line="300" w:lineRule="exact"/>
              <w:jc w:val="center"/>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法律维权服务次数</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737" w:type="dxa"/>
            <w:gridSpan w:val="2"/>
            <w:noWrap w:val="0"/>
            <w:vAlign w:val="center"/>
          </w:tcPr>
          <w:p>
            <w:pPr>
              <w:spacing w:line="300" w:lineRule="exact"/>
              <w:jc w:val="center"/>
              <w:rPr>
                <w:rFonts w:ascii="方正书宋_GBK" w:eastAsia="方正书宋_GBK"/>
              </w:rPr>
            </w:pP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组织招商引资活动次数</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737" w:type="dxa"/>
            <w:gridSpan w:val="2"/>
            <w:noWrap w:val="0"/>
            <w:vAlign w:val="center"/>
          </w:tcPr>
          <w:p>
            <w:pPr>
              <w:spacing w:line="300" w:lineRule="exact"/>
              <w:jc w:val="center"/>
              <w:rPr>
                <w:rFonts w:ascii="方正书宋_GBK" w:eastAsia="方正书宋_GBK"/>
              </w:rPr>
            </w:pP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二、组织建设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组织建设及宣传教育、培训等事项</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发展工商联会员、指导基层工商联组织建设；组织培训、思想政治教育，对非公有制经济优秀事迹进行宣传等事项。</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gridSpan w:val="2"/>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、组织建设及宣传教育、培训</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贯彻省市工商联组织建设工作方针，指导全县各级组织的建设，维护会员合法权益，组织换届、培训、思想教育和基层建设工作，对非公有制经济优秀事迹进行宣传。</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指导全县各级组织建设。提升民营企业家素质，推进民营企业文化建设，提升工商联工作影响力。</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新会员培训合格率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gridSpan w:val="2"/>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培训人次</w:t>
            </w:r>
            <w:r>
              <w:rPr>
                <w:rFonts w:ascii="方正书宋_GBK" w:eastAsia="方正书宋_GBK"/>
              </w:rPr>
              <w:t>(</w:t>
            </w:r>
            <w:r>
              <w:rPr>
                <w:rFonts w:hint="eastAsia" w:ascii="方正书宋_GBK" w:eastAsia="方正书宋_GBK"/>
              </w:rPr>
              <w:t>人）</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35</w:t>
            </w:r>
          </w:p>
        </w:tc>
        <w:tc>
          <w:tcPr>
            <w:tcW w:w="737" w:type="dxa"/>
            <w:gridSpan w:val="2"/>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新会员培训率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gridSpan w:val="2"/>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三、工商联事务管理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综合性事务管理等事项</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保障工商联各项工作顺利开展</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gridSpan w:val="2"/>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档案、信息、机关各类会议、财务、机要、保密、安全保卫、固定资产、车辆等管理和后勤保障工作。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保证工商联日常工作正常运转</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综合事务工作完成率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gridSpan w:val="2"/>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bookmarkEnd w:id="2"/>
    </w:tbl>
    <w:p>
      <w:pPr>
        <w:jc w:val="center"/>
        <w:outlineLvl w:val="0"/>
        <w:rPr>
          <w:rFonts w:hint="eastAsia" w:ascii="黑体" w:hAnsi="黑体" w:eastAsia="黑体"/>
          <w:sz w:val="32"/>
          <w:szCs w:val="32"/>
        </w:rPr>
      </w:pPr>
      <w:r>
        <w:rPr>
          <w:rFonts w:hint="eastAsia" w:ascii="黑体" w:hAnsi="黑体" w:eastAsia="黑体"/>
          <w:sz w:val="32"/>
          <w:szCs w:val="32"/>
        </w:rPr>
        <w:t>第六部分：政府采购预算情况</w:t>
      </w:r>
    </w:p>
    <w:p>
      <w:pPr>
        <w:spacing w:line="520" w:lineRule="exact"/>
        <w:ind w:firstLine="640" w:firstLineChars="200"/>
        <w:rPr>
          <w:rFonts w:hint="eastAsia" w:ascii="仿宋_GB2312" w:hAnsi="仿宋" w:eastAsia="仿宋_GB2312"/>
          <w:sz w:val="32"/>
          <w:szCs w:val="32"/>
        </w:rPr>
      </w:pP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2020年，工商联没有安排采购预算，空表列示。</w:t>
      </w: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8"/>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wBefore w:w="0" w:type="auto"/>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wBefore w:w="0" w:type="auto"/>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wBefore w:w="0" w:type="auto"/>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wBefore w:w="0" w:type="auto"/>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rPr>
            </w:pPr>
          </w:p>
        </w:tc>
      </w:tr>
      <w:tr>
        <w:tblPrEx>
          <w:tblCellMar>
            <w:top w:w="0" w:type="dxa"/>
            <w:left w:w="10" w:type="dxa"/>
            <w:bottom w:w="0" w:type="dxa"/>
            <w:right w:w="10" w:type="dxa"/>
          </w:tblCellMar>
        </w:tblPrEx>
        <w:trPr>
          <w:wBefore w:w="0" w:type="auto"/>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r>
    </w:tbl>
    <w:p>
      <w:pPr>
        <w:widowControl/>
        <w:jc w:val="left"/>
        <w:rPr>
          <w:rFonts w:ascii="宋体" w:hAnsi="宋体"/>
          <w:sz w:val="28"/>
          <w:szCs w:val="28"/>
        </w:rPr>
        <w:sectPr>
          <w:headerReference r:id="rId4" w:type="default"/>
          <w:pgSz w:w="16839" w:h="11907" w:orient="landscape"/>
          <w:pgMar w:top="1134" w:right="1531" w:bottom="1134" w:left="1474" w:header="851" w:footer="992" w:gutter="0"/>
          <w:cols w:space="720" w:num="1"/>
        </w:sectPr>
      </w:pPr>
    </w:p>
    <w:p>
      <w:pPr>
        <w:spacing w:line="520" w:lineRule="exact"/>
        <w:ind w:firstLine="640" w:firstLineChars="200"/>
        <w:rPr>
          <w:rFonts w:hint="eastAsia" w:ascii="仿宋_GB2312" w:hAnsi="仿宋" w:eastAsia="仿宋_GB2312"/>
          <w:sz w:val="32"/>
          <w:szCs w:val="32"/>
        </w:rPr>
      </w:pPr>
    </w:p>
    <w:p>
      <w:pPr>
        <w:spacing w:line="520" w:lineRule="exact"/>
        <w:ind w:firstLine="2400" w:firstLineChars="750"/>
        <w:rPr>
          <w:rFonts w:hint="eastAsia" w:ascii="黑体" w:hAnsi="黑体" w:eastAsia="黑体"/>
          <w:sz w:val="32"/>
          <w:szCs w:val="32"/>
        </w:rPr>
      </w:pPr>
    </w:p>
    <w:p>
      <w:pPr>
        <w:spacing w:line="520" w:lineRule="exact"/>
        <w:ind w:firstLine="2400" w:firstLineChars="750"/>
        <w:rPr>
          <w:rFonts w:hint="eastAsia" w:ascii="黑体" w:hAnsi="黑体" w:eastAsia="黑体"/>
          <w:sz w:val="32"/>
          <w:szCs w:val="32"/>
        </w:rPr>
      </w:pPr>
      <w:r>
        <w:rPr>
          <w:rFonts w:hint="eastAsia" w:ascii="黑体" w:hAnsi="黑体" w:eastAsia="黑体"/>
          <w:sz w:val="32"/>
          <w:szCs w:val="32"/>
        </w:rPr>
        <w:t>第七部分：国有资产信息情况说明</w:t>
      </w:r>
    </w:p>
    <w:p>
      <w:pPr>
        <w:rPr>
          <w:rFonts w:hint="eastAsia" w:ascii="宋体" w:hAnsi="宋体"/>
          <w:sz w:val="32"/>
          <w:szCs w:val="32"/>
        </w:rPr>
      </w:pPr>
      <w:r>
        <w:rPr>
          <w:rFonts w:hint="eastAsia" w:ascii="宋体" w:hAnsi="宋体"/>
          <w:sz w:val="32"/>
          <w:szCs w:val="32"/>
        </w:rPr>
        <w:t xml:space="preserve">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保定市满城区工商业联合会2019年末固定资产总金额13.07万元（详见下表）。 2020年没有拟购置固定资产。</w:t>
      </w:r>
    </w:p>
    <w:tbl>
      <w:tblPr>
        <w:tblStyle w:val="8"/>
        <w:tblW w:w="0" w:type="auto"/>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wBefore w:w="0" w:type="auto"/>
          <w:trHeight w:val="675" w:hRule="atLeast"/>
        </w:trPr>
        <w:tc>
          <w:tcPr>
            <w:tcW w:w="8804" w:type="dxa"/>
            <w:gridSpan w:val="3"/>
            <w:tcBorders>
              <w:top w:val="nil"/>
              <w:left w:val="nil"/>
              <w:bottom w:val="nil"/>
              <w:right w:val="nil"/>
            </w:tcBorders>
            <w:noWrap w:val="0"/>
            <w:vAlign w:val="center"/>
          </w:tcPr>
          <w:p>
            <w:pPr>
              <w:widowControl/>
              <w:jc w:val="center"/>
              <w:rPr>
                <w:rFonts w:ascii="仿宋" w:hAnsi="仿宋" w:eastAsia="仿宋"/>
                <w:sz w:val="32"/>
                <w:szCs w:val="32"/>
              </w:rPr>
            </w:pPr>
            <w:r>
              <w:rPr>
                <w:rFonts w:hint="eastAsia" w:ascii="仿宋" w:hAnsi="仿宋" w:eastAsia="仿宋"/>
                <w:sz w:val="32"/>
                <w:szCs w:val="32"/>
              </w:rPr>
              <w:t>保定市满城区工商业联合会固定资产占用情况表</w:t>
            </w:r>
          </w:p>
        </w:tc>
      </w:tr>
      <w:tr>
        <w:tblPrEx>
          <w:tblCellMar>
            <w:top w:w="0" w:type="dxa"/>
            <w:left w:w="108" w:type="dxa"/>
            <w:bottom w:w="0" w:type="dxa"/>
            <w:right w:w="108" w:type="dxa"/>
          </w:tblCellMar>
        </w:tblPrEx>
        <w:trPr>
          <w:wBefore w:w="0" w:type="auto"/>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截止时间：2019年12月31日</w:t>
            </w:r>
          </w:p>
        </w:tc>
      </w:tr>
      <w:tr>
        <w:tblPrEx>
          <w:tblCellMar>
            <w:top w:w="0" w:type="dxa"/>
            <w:left w:w="108" w:type="dxa"/>
            <w:bottom w:w="0" w:type="dxa"/>
            <w:right w:w="108" w:type="dxa"/>
          </w:tblCellMar>
        </w:tblPrEx>
        <w:trPr>
          <w:wBefore w:w="0" w:type="auto"/>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wBefore w:w="0" w:type="auto"/>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szCs w:val="24"/>
              </w:rPr>
            </w:pPr>
            <w:r>
              <w:rPr>
                <w:rFonts w:hint="eastAsia" w:ascii="宋体" w:hAnsi="宋体" w:cs="宋体"/>
                <w:b/>
                <w:color w:val="000000"/>
                <w:kern w:val="0"/>
                <w:sz w:val="24"/>
                <w:szCs w:val="24"/>
              </w:rPr>
              <w:t>13.07</w:t>
            </w:r>
          </w:p>
        </w:tc>
      </w:tr>
      <w:tr>
        <w:tblPrEx>
          <w:tblCellMar>
            <w:top w:w="0" w:type="dxa"/>
            <w:left w:w="108" w:type="dxa"/>
            <w:bottom w:w="0" w:type="dxa"/>
            <w:right w:w="108" w:type="dxa"/>
          </w:tblCellMar>
        </w:tblPrEx>
        <w:trPr>
          <w:wBefore w:w="0" w:type="auto"/>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9.38</w:t>
            </w:r>
          </w:p>
        </w:tc>
      </w:tr>
      <w:tr>
        <w:tblPrEx>
          <w:tblCellMar>
            <w:top w:w="0" w:type="dxa"/>
            <w:left w:w="108" w:type="dxa"/>
            <w:bottom w:w="0" w:type="dxa"/>
            <w:right w:w="108" w:type="dxa"/>
          </w:tblCellMar>
        </w:tblPrEx>
        <w:trPr>
          <w:wBefore w:w="0" w:type="auto"/>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0.00</w:t>
            </w:r>
          </w:p>
        </w:tc>
      </w:tr>
      <w:tr>
        <w:tblPrEx>
          <w:tblCellMar>
            <w:top w:w="0" w:type="dxa"/>
            <w:left w:w="108" w:type="dxa"/>
            <w:bottom w:w="0" w:type="dxa"/>
            <w:right w:w="108" w:type="dxa"/>
          </w:tblCellMar>
        </w:tblPrEx>
        <w:trPr>
          <w:wBefore w:w="0" w:type="auto"/>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3、其他固定资产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3.69</w:t>
            </w:r>
          </w:p>
        </w:tc>
      </w:tr>
    </w:tbl>
    <w:p>
      <w:pPr>
        <w:spacing w:line="520" w:lineRule="exact"/>
        <w:jc w:val="center"/>
        <w:outlineLvl w:val="0"/>
        <w:rPr>
          <w:rFonts w:hint="eastAsia" w:ascii="仿宋_GB2312" w:hAnsi="黑体" w:eastAsia="仿宋_GB2312"/>
          <w:sz w:val="32"/>
          <w:szCs w:val="32"/>
        </w:rPr>
      </w:pPr>
    </w:p>
    <w:p>
      <w:pPr>
        <w:spacing w:line="520" w:lineRule="exact"/>
        <w:ind w:firstLine="640" w:firstLineChars="200"/>
        <w:jc w:val="left"/>
        <w:outlineLvl w:val="0"/>
        <w:rPr>
          <w:rFonts w:hint="eastAsia" w:ascii="仿宋_GB2312" w:hAnsi="仿宋" w:eastAsia="仿宋_GB2312"/>
          <w:sz w:val="32"/>
          <w:szCs w:val="32"/>
        </w:rPr>
      </w:pPr>
    </w:p>
    <w:p>
      <w:pPr>
        <w:spacing w:line="500" w:lineRule="exact"/>
        <w:jc w:val="center"/>
        <w:outlineLvl w:val="0"/>
        <w:rPr>
          <w:rFonts w:ascii="黑体" w:hAnsi="黑体" w:eastAsia="黑体"/>
          <w:sz w:val="32"/>
          <w:szCs w:val="32"/>
        </w:rPr>
      </w:pPr>
      <w:r>
        <w:rPr>
          <w:rFonts w:hint="eastAsia" w:ascii="黑体" w:hAnsi="黑体" w:eastAsia="黑体"/>
          <w:sz w:val="32"/>
          <w:szCs w:val="32"/>
        </w:rPr>
        <w:t>第八部分：名词解释</w:t>
      </w:r>
    </w:p>
    <w:p>
      <w:pPr>
        <w:spacing w:line="500" w:lineRule="exact"/>
        <w:jc w:val="center"/>
        <w:outlineLvl w:val="0"/>
        <w:rPr>
          <w:rFonts w:hint="eastAsia" w:ascii="仿宋" w:hAnsi="仿宋" w:eastAsia="仿宋"/>
          <w:b/>
          <w:sz w:val="32"/>
          <w:szCs w:val="32"/>
        </w:rPr>
      </w:pP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1、财政拨款收入：</w:t>
      </w:r>
      <w:r>
        <w:rPr>
          <w:rFonts w:hint="eastAsia" w:ascii="仿宋_GB2312" w:hAnsi="仿宋" w:eastAsia="仿宋_GB2312"/>
          <w:sz w:val="32"/>
          <w:szCs w:val="32"/>
        </w:rPr>
        <w:t>指区级财政当年拨付的资金。</w:t>
      </w: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2、其他收入：</w:t>
      </w:r>
      <w:r>
        <w:rPr>
          <w:rFonts w:hint="eastAsia" w:ascii="仿宋_GB2312" w:hAnsi="仿宋" w:eastAsia="仿宋_GB2312"/>
          <w:sz w:val="32"/>
          <w:szCs w:val="32"/>
        </w:rPr>
        <w:t>指除上述“财政拨款收入”、“事业收入”等以外的收入。</w:t>
      </w: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3、基本支出：</w:t>
      </w:r>
      <w:r>
        <w:rPr>
          <w:rFonts w:hint="eastAsia" w:ascii="仿宋_GB2312" w:hAnsi="仿宋" w:eastAsia="仿宋_GB2312"/>
          <w:sz w:val="32"/>
          <w:szCs w:val="32"/>
        </w:rPr>
        <w:t>指为保障机构正常运转、完成日常工作任务而发生的人员支出和公用支出。</w:t>
      </w: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4、项目支出：</w:t>
      </w:r>
      <w:r>
        <w:rPr>
          <w:rFonts w:hint="eastAsia" w:ascii="仿宋_GB2312" w:hAnsi="仿宋" w:eastAsia="仿宋_GB2312"/>
          <w:sz w:val="32"/>
          <w:szCs w:val="32"/>
        </w:rPr>
        <w:t>指在基本支出之外为完成特定行政任务和事业发展目标所发生的支出。</w:t>
      </w:r>
    </w:p>
    <w:p>
      <w:pPr>
        <w:spacing w:line="56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5、“三公”经费：</w:t>
      </w:r>
      <w:r>
        <w:rPr>
          <w:rFonts w:hint="eastAsia" w:ascii="仿宋_GB2312" w:hAnsi="仿宋" w:eastAsia="仿宋_GB2312"/>
          <w:sz w:val="32"/>
          <w:szCs w:val="32"/>
        </w:rPr>
        <w:t>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60" w:lineRule="exact"/>
        <w:ind w:firstLine="803" w:firstLineChars="250"/>
        <w:rPr>
          <w:rFonts w:hint="eastAsia" w:ascii="仿宋_GB2312" w:hAnsi="仿宋" w:eastAsia="仿宋_GB2312"/>
          <w:sz w:val="32"/>
          <w:szCs w:val="32"/>
        </w:rPr>
      </w:pPr>
      <w:r>
        <w:rPr>
          <w:rFonts w:hint="eastAsia" w:ascii="仿宋_GB2312" w:hAnsi="仿宋" w:eastAsia="仿宋_GB2312"/>
          <w:b/>
          <w:sz w:val="32"/>
          <w:szCs w:val="32"/>
        </w:rPr>
        <w:t>6、机关运行费：</w:t>
      </w:r>
      <w:r>
        <w:rPr>
          <w:rFonts w:hint="eastAsia" w:ascii="仿宋_GB2312" w:hAnsi="仿宋"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803" w:firstLineChars="250"/>
        <w:rPr>
          <w:rFonts w:hint="eastAsia" w:ascii="仿宋_GB2312" w:hAnsi="仿宋" w:eastAsia="仿宋_GB2312"/>
          <w:sz w:val="32"/>
          <w:szCs w:val="32"/>
        </w:rPr>
      </w:pPr>
      <w:r>
        <w:rPr>
          <w:rFonts w:hint="eastAsia" w:ascii="仿宋_GB2312" w:hAnsi="仿宋" w:eastAsia="仿宋_GB2312"/>
          <w:b/>
          <w:sz w:val="32"/>
          <w:szCs w:val="32"/>
        </w:rPr>
        <w:t>7、公务费：</w:t>
      </w:r>
      <w:r>
        <w:rPr>
          <w:rFonts w:hint="eastAsia" w:ascii="仿宋_GB2312" w:hAnsi="仿宋" w:eastAsia="仿宋_GB2312"/>
          <w:sz w:val="32"/>
          <w:szCs w:val="32"/>
        </w:rPr>
        <w:t>包括办公费、水电费、邮电费、取暖费、交通费、一般会议费和物业管理费之和。</w:t>
      </w:r>
    </w:p>
    <w:p>
      <w:pPr>
        <w:spacing w:line="500" w:lineRule="exact"/>
        <w:ind w:firstLine="627" w:firstLineChars="196"/>
        <w:jc w:val="center"/>
        <w:outlineLvl w:val="0"/>
        <w:rPr>
          <w:rFonts w:hint="eastAsia" w:ascii="黑体" w:hAnsi="黑体" w:eastAsia="黑体"/>
          <w:sz w:val="32"/>
          <w:szCs w:val="32"/>
        </w:rPr>
      </w:pPr>
    </w:p>
    <w:p>
      <w:pPr>
        <w:spacing w:line="500" w:lineRule="exact"/>
        <w:jc w:val="center"/>
        <w:outlineLvl w:val="0"/>
        <w:rPr>
          <w:rFonts w:hint="eastAsia" w:ascii="黑体" w:hAnsi="黑体" w:eastAsia="黑体"/>
          <w:sz w:val="32"/>
          <w:szCs w:val="32"/>
        </w:rPr>
      </w:pPr>
      <w:r>
        <w:rPr>
          <w:rFonts w:hint="eastAsia" w:ascii="黑体" w:hAnsi="黑体" w:eastAsia="黑体"/>
          <w:sz w:val="32"/>
          <w:szCs w:val="32"/>
        </w:rPr>
        <w:t>第九部分：其他需说明的事项</w:t>
      </w:r>
    </w:p>
    <w:p>
      <w:pPr>
        <w:spacing w:line="500" w:lineRule="exact"/>
        <w:ind w:firstLine="1264" w:firstLineChars="395"/>
        <w:jc w:val="left"/>
        <w:outlineLvl w:val="0"/>
        <w:rPr>
          <w:rFonts w:hint="eastAsia" w:ascii="仿宋" w:hAnsi="仿宋" w:eastAsia="仿宋"/>
          <w:sz w:val="32"/>
          <w:szCs w:val="32"/>
        </w:rPr>
      </w:pPr>
    </w:p>
    <w:p>
      <w:pPr>
        <w:spacing w:line="500" w:lineRule="exact"/>
        <w:ind w:firstLine="640" w:firstLineChars="200"/>
        <w:jc w:val="left"/>
        <w:outlineLvl w:val="0"/>
        <w:rPr>
          <w:rFonts w:hint="eastAsia" w:ascii="仿宋_GB2312" w:hAnsi="黑体" w:eastAsia="仿宋_GB2312"/>
          <w:sz w:val="32"/>
          <w:szCs w:val="32"/>
        </w:rPr>
      </w:pPr>
      <w:r>
        <w:rPr>
          <w:rFonts w:hint="eastAsia" w:ascii="仿宋_GB2312" w:hAnsi="仿宋" w:eastAsia="仿宋_GB2312"/>
          <w:sz w:val="32"/>
          <w:szCs w:val="32"/>
        </w:rPr>
        <w:t>无其他需说明的事项。</w:t>
      </w:r>
    </w:p>
    <w:p>
      <w:pPr>
        <w:ind w:firstLine="800" w:firstLineChars="250"/>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                                     </w:t>
      </w:r>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altName w:val="宋体"/>
    <w:panose1 w:val="00000000000000000000"/>
    <w:charset w:val="86"/>
    <w:family w:val="script"/>
    <w:pitch w:val="default"/>
    <w:sig w:usb0="00000001" w:usb1="080E0000" w:usb2="00000010" w:usb3="00000000" w:csb0="00040000" w:csb1="00000000"/>
  </w:font>
  <w:font w:name="方正黑体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6F8"/>
    <w:rsid w:val="00052414"/>
    <w:rsid w:val="00055CD9"/>
    <w:rsid w:val="000965D0"/>
    <w:rsid w:val="000C535C"/>
    <w:rsid w:val="000E0D6E"/>
    <w:rsid w:val="000F5250"/>
    <w:rsid w:val="000F6FB9"/>
    <w:rsid w:val="0015437F"/>
    <w:rsid w:val="001938EB"/>
    <w:rsid w:val="001B0667"/>
    <w:rsid w:val="001C5C17"/>
    <w:rsid w:val="001D079C"/>
    <w:rsid w:val="002E2737"/>
    <w:rsid w:val="00375D9E"/>
    <w:rsid w:val="0039514F"/>
    <w:rsid w:val="0043756B"/>
    <w:rsid w:val="00461A24"/>
    <w:rsid w:val="00491B23"/>
    <w:rsid w:val="004C368B"/>
    <w:rsid w:val="005F1F79"/>
    <w:rsid w:val="00612EEA"/>
    <w:rsid w:val="00615783"/>
    <w:rsid w:val="00657DAE"/>
    <w:rsid w:val="00667DCD"/>
    <w:rsid w:val="006F44BC"/>
    <w:rsid w:val="007805FF"/>
    <w:rsid w:val="007917B6"/>
    <w:rsid w:val="007A2612"/>
    <w:rsid w:val="007B1568"/>
    <w:rsid w:val="007F34A3"/>
    <w:rsid w:val="007F3652"/>
    <w:rsid w:val="00801A49"/>
    <w:rsid w:val="00803289"/>
    <w:rsid w:val="00871FB2"/>
    <w:rsid w:val="00876406"/>
    <w:rsid w:val="008A7D17"/>
    <w:rsid w:val="009354C6"/>
    <w:rsid w:val="00943439"/>
    <w:rsid w:val="00954C89"/>
    <w:rsid w:val="00973DD2"/>
    <w:rsid w:val="00AB3D8B"/>
    <w:rsid w:val="00B43097"/>
    <w:rsid w:val="00B910F0"/>
    <w:rsid w:val="00BA7252"/>
    <w:rsid w:val="00BA7FD7"/>
    <w:rsid w:val="00BB0341"/>
    <w:rsid w:val="00BB328C"/>
    <w:rsid w:val="00C01A57"/>
    <w:rsid w:val="00C07844"/>
    <w:rsid w:val="00C12953"/>
    <w:rsid w:val="00C14AEF"/>
    <w:rsid w:val="00C5786D"/>
    <w:rsid w:val="00C917ED"/>
    <w:rsid w:val="00CA7FA9"/>
    <w:rsid w:val="00CD5F5A"/>
    <w:rsid w:val="00CE0231"/>
    <w:rsid w:val="00D65046"/>
    <w:rsid w:val="00DF736B"/>
    <w:rsid w:val="00E14F6D"/>
    <w:rsid w:val="00E64F83"/>
    <w:rsid w:val="00E668C3"/>
    <w:rsid w:val="00EC32B2"/>
    <w:rsid w:val="00EE17ED"/>
    <w:rsid w:val="00EF2396"/>
    <w:rsid w:val="00F333C2"/>
    <w:rsid w:val="00FC4B3D"/>
    <w:rsid w:val="1A785FF8"/>
    <w:rsid w:val="583E084D"/>
    <w:rsid w:val="6D7F6A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9">
    <w:name w:val="Default Paragraph Font"/>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Indent"/>
    <w:basedOn w:val="1"/>
    <w:link w:val="12"/>
    <w:uiPriority w:val="0"/>
    <w:pPr>
      <w:spacing w:line="420" w:lineRule="exact"/>
      <w:ind w:firstLine="630"/>
    </w:pPr>
    <w:rPr>
      <w:rFonts w:eastAsia="仿宋_GB2312"/>
      <w:sz w:val="32"/>
      <w:szCs w:val="24"/>
    </w:rPr>
  </w:style>
  <w:style w:type="paragraph" w:styleId="3">
    <w:name w:val="Balloon Text"/>
    <w:basedOn w:val="1"/>
    <w:link w:val="10"/>
    <w:uiPriority w:val="0"/>
    <w:rPr>
      <w:sz w:val="18"/>
      <w:szCs w:val="18"/>
    </w:rPr>
  </w:style>
  <w:style w:type="paragraph" w:styleId="4">
    <w:name w:val="footer"/>
    <w:basedOn w:val="1"/>
    <w:link w:val="11"/>
    <w:uiPriority w:val="0"/>
    <w:pPr>
      <w:tabs>
        <w:tab w:val="center" w:pos="4153"/>
        <w:tab w:val="right" w:pos="8306"/>
      </w:tabs>
      <w:snapToGrid w:val="0"/>
      <w:jc w:val="left"/>
    </w:pPr>
    <w:rPr>
      <w:kern w:val="0"/>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uiPriority w:val="0"/>
  </w:style>
  <w:style w:type="paragraph" w:styleId="7">
    <w:name w:val="toc 2"/>
    <w:basedOn w:val="1"/>
    <w:next w:val="1"/>
    <w:uiPriority w:val="0"/>
    <w:pPr>
      <w:ind w:left="420" w:leftChars="200"/>
    </w:pPr>
  </w:style>
  <w:style w:type="character" w:customStyle="1" w:styleId="10">
    <w:name w:val="批注框文本 Char"/>
    <w:link w:val="3"/>
    <w:uiPriority w:val="0"/>
    <w:rPr>
      <w:kern w:val="2"/>
      <w:sz w:val="18"/>
      <w:szCs w:val="18"/>
    </w:rPr>
  </w:style>
  <w:style w:type="character" w:customStyle="1" w:styleId="11">
    <w:name w:val="页脚 Char"/>
    <w:link w:val="4"/>
    <w:uiPriority w:val="0"/>
    <w:rPr>
      <w:sz w:val="18"/>
      <w:szCs w:val="18"/>
    </w:rPr>
  </w:style>
  <w:style w:type="character" w:customStyle="1" w:styleId="12">
    <w:name w:val="正文文本缩进 Char"/>
    <w:link w:val="2"/>
    <w:uiPriority w:val="0"/>
    <w:rPr>
      <w:rFonts w:ascii="Times New Roman" w:hAnsi="Times New Roman" w:eastAsia="仿宋_GB2312"/>
      <w:kern w:val="2"/>
      <w:sz w:val="32"/>
      <w:szCs w:val="24"/>
    </w:rPr>
  </w:style>
  <w:style w:type="character" w:customStyle="1" w:styleId="13">
    <w:name w:val="页眉 Char"/>
    <w:link w:val="5"/>
    <w:uiPriority w:val="0"/>
    <w:rPr>
      <w:sz w:val="18"/>
      <w:szCs w:val="18"/>
    </w:rPr>
  </w:style>
  <w:style w:type="paragraph" w:styleId="14">
    <w:name w:val="List Paragraph"/>
    <w:basedOn w:val="1"/>
    <w:qFormat/>
    <w:uiPriority w:val="0"/>
    <w:pPr>
      <w:widowControl/>
      <w:adjustRightInd w:val="0"/>
      <w:snapToGrid w:val="0"/>
      <w:spacing w:after="200" w:afterLines="0"/>
      <w:ind w:firstLine="420" w:firstLineChars="200"/>
      <w:jc w:val="left"/>
    </w:pPr>
    <w:rPr>
      <w:rFonts w:ascii="Tahoma" w:hAnsi="Tahoma" w:eastAsia="微软雅黑"/>
      <w:kern w:val="0"/>
      <w:sz w:val="22"/>
    </w:rPr>
  </w:style>
  <w:style w:type="paragraph" w:customStyle="1" w:styleId="15">
    <w:name w:val="[Normal]"/>
    <w:uiPriority w:val="0"/>
    <w:pPr>
      <w:widowControl w:val="0"/>
      <w:autoSpaceDE w:val="0"/>
      <w:autoSpaceDN w:val="0"/>
      <w:adjustRightInd w:val="0"/>
    </w:pPr>
    <w:rPr>
      <w:rFonts w:ascii="宋体"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659</Words>
  <Characters>3762</Characters>
  <Lines>31</Lines>
  <Paragraphs>8</Paragraphs>
  <TotalTime>0</TotalTime>
  <ScaleCrop>false</ScaleCrop>
  <LinksUpToDate>false</LinksUpToDate>
  <CharactersWithSpaces>4413</CharactersWithSpaces>
  <Application>WPS Office_11.8.2.10972_F1E327BC-269C-435d-A152-05C5408002CA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2021-05-31T10:34:00Z</dcterms:created>
  <dc:creator>suix</dc:creator>
  <cp:lastModifiedBy>Administrator</cp:lastModifiedBy>
  <cp:lastPrinted>2017-06-21T08:26:00Z</cp:lastPrinted>
  <dcterms:modified xsi:type="dcterms:W3CDTF">2024-01-11T08:55:41Z</dcterms:modified>
  <dc:title>中共保定市满城区委统战部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45F6A3C065A64295B78F55C6B90B6BB9</vt:lpwstr>
  </property>
</Properties>
</file>