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val="0"/>
          <w:bCs/>
          <w:sz w:val="44"/>
          <w:szCs w:val="44"/>
        </w:rPr>
      </w:pPr>
      <w:r>
        <w:rPr>
          <w:rFonts w:hint="eastAsia" w:ascii="宋体" w:hAnsi="宋体"/>
          <w:b w:val="0"/>
          <w:bCs/>
          <w:sz w:val="44"/>
          <w:szCs w:val="44"/>
        </w:rPr>
        <w:t>中共保定市满城区工商业联合会</w:t>
      </w:r>
    </w:p>
    <w:p>
      <w:pPr>
        <w:jc w:val="center"/>
        <w:rPr>
          <w:rFonts w:ascii="宋体" w:hAnsi="宋体"/>
          <w:b w:val="0"/>
          <w:bCs/>
          <w:sz w:val="44"/>
          <w:szCs w:val="44"/>
        </w:rPr>
      </w:pPr>
      <w:r>
        <w:rPr>
          <w:rFonts w:hint="eastAsia" w:ascii="宋体" w:hAnsi="宋体"/>
          <w:b w:val="0"/>
          <w:bCs/>
          <w:sz w:val="44"/>
          <w:szCs w:val="44"/>
        </w:rPr>
        <w:t>2021年部门预算信息公开</w:t>
      </w:r>
    </w:p>
    <w:p>
      <w:pPr>
        <w:spacing w:line="520" w:lineRule="exact"/>
        <w:ind w:firstLine="640" w:firstLineChars="200"/>
        <w:jc w:val="left"/>
        <w:rPr>
          <w:rFonts w:hint="eastAsia" w:ascii="Times New Roman" w:hAnsi="Times New Roman" w:eastAsia="方正仿宋_GBK"/>
          <w:b w:val="0"/>
          <w:bCs/>
          <w:sz w:val="32"/>
          <w:szCs w:val="32"/>
        </w:rPr>
      </w:pPr>
    </w:p>
    <w:p>
      <w:pPr>
        <w:spacing w:line="520" w:lineRule="exact"/>
        <w:ind w:firstLine="640" w:firstLineChars="200"/>
        <w:jc w:val="left"/>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按照</w:t>
      </w:r>
      <w:bookmarkStart w:id="3" w:name="_GoBack"/>
      <w:bookmarkEnd w:id="3"/>
      <w:r>
        <w:rPr>
          <w:rFonts w:hint="eastAsia" w:ascii="仿宋_GB2312" w:hAnsi="Times New Roman" w:eastAsia="仿宋_GB2312"/>
          <w:b w:val="0"/>
          <w:bCs/>
          <w:sz w:val="32"/>
          <w:szCs w:val="32"/>
        </w:rPr>
        <w:t>《地方预决算公开操作规程》和《河北省省级预算公开办法》</w:t>
      </w:r>
      <w:r>
        <w:rPr>
          <w:rFonts w:hint="eastAsia" w:ascii="仿宋_GB2312" w:hAnsi="仿宋" w:eastAsia="仿宋_GB2312" w:cs="仿宋_GB2312"/>
          <w:b w:val="0"/>
          <w:bCs/>
          <w:sz w:val="32"/>
          <w:szCs w:val="32"/>
        </w:rPr>
        <w:t>规定，现将保定市满城区工商业联合会2021年部门预算公开如下：</w:t>
      </w:r>
    </w:p>
    <w:p>
      <w:pPr>
        <w:spacing w:line="520" w:lineRule="exact"/>
        <w:ind w:firstLine="640" w:firstLineChars="200"/>
        <w:jc w:val="center"/>
        <w:rPr>
          <w:rFonts w:hint="eastAsia" w:ascii="黑体" w:hAnsi="黑体" w:eastAsia="黑体"/>
          <w:b w:val="0"/>
          <w:bCs/>
          <w:sz w:val="32"/>
          <w:szCs w:val="32"/>
        </w:rPr>
      </w:pPr>
      <w:r>
        <w:rPr>
          <w:rFonts w:hint="eastAsia" w:ascii="黑体" w:hAnsi="黑体" w:eastAsia="黑体"/>
          <w:b w:val="0"/>
          <w:bCs/>
          <w:sz w:val="32"/>
          <w:szCs w:val="32"/>
        </w:rPr>
        <w:t>第一部分:部门职责及机构设置情况</w:t>
      </w:r>
    </w:p>
    <w:p>
      <w:pPr>
        <w:spacing w:line="520" w:lineRule="exact"/>
        <w:ind w:firstLine="640" w:firstLineChars="200"/>
        <w:rPr>
          <w:rFonts w:hint="eastAsia" w:ascii="黑体" w:hAnsi="黑体" w:eastAsia="黑体"/>
          <w:b w:val="0"/>
          <w:bCs/>
          <w:sz w:val="32"/>
          <w:szCs w:val="32"/>
        </w:rPr>
      </w:pPr>
      <w:r>
        <w:rPr>
          <w:rFonts w:hint="eastAsia" w:ascii="黑体" w:hAnsi="黑体" w:eastAsia="黑体"/>
          <w:b w:val="0"/>
          <w:bCs/>
          <w:sz w:val="32"/>
          <w:szCs w:val="32"/>
        </w:rPr>
        <w:t>一、部门职责</w:t>
      </w:r>
    </w:p>
    <w:p>
      <w:pPr>
        <w:spacing w:line="480" w:lineRule="exact"/>
        <w:rPr>
          <w:rFonts w:hint="eastAsia" w:ascii="仿宋_GB2312" w:eastAsia="仿宋_GB2312"/>
          <w:b w:val="0"/>
          <w:bCs/>
          <w:sz w:val="32"/>
          <w:szCs w:val="32"/>
        </w:rPr>
      </w:pPr>
      <w:r>
        <w:rPr>
          <w:rFonts w:hint="eastAsia" w:ascii="仿宋_GB2312" w:eastAsia="仿宋_GB2312"/>
          <w:b w:val="0"/>
          <w:bCs/>
          <w:sz w:val="32"/>
          <w:szCs w:val="32"/>
        </w:rPr>
        <w:t xml:space="preserve">    （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按照国家规定和有关政策，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世界各国工商社团及工商经济界人士联系和友谊，促进经济、技术和贸易合作的发展，协助引进资金、技术、项目和人才。（九）办好会办服务事业和会办经济实体。（十）承办政府和有关部门委托事项。</w:t>
      </w:r>
    </w:p>
    <w:p>
      <w:pPr>
        <w:pStyle w:val="15"/>
        <w:spacing w:line="520" w:lineRule="exact"/>
        <w:ind w:firstLine="736" w:firstLineChars="230"/>
        <w:rPr>
          <w:rFonts w:hint="eastAsia" w:ascii="黑体" w:hAnsi="黑体" w:eastAsia="黑体"/>
          <w:b w:val="0"/>
          <w:bCs/>
          <w:sz w:val="32"/>
          <w:szCs w:val="32"/>
        </w:rPr>
      </w:pPr>
      <w:r>
        <w:rPr>
          <w:rFonts w:hint="eastAsia" w:ascii="黑体" w:hAnsi="黑体" w:eastAsia="黑体" w:cs="仿宋_GB2312"/>
          <w:b w:val="0"/>
          <w:bCs/>
          <w:sz w:val="32"/>
          <w:szCs w:val="32"/>
        </w:rPr>
        <w:t>二、</w:t>
      </w:r>
      <w:r>
        <w:rPr>
          <w:rFonts w:hint="eastAsia" w:ascii="黑体" w:hAnsi="黑体" w:eastAsia="黑体"/>
          <w:b w:val="0"/>
          <w:bCs/>
          <w:sz w:val="32"/>
          <w:szCs w:val="32"/>
        </w:rPr>
        <w:t>机构设置</w:t>
      </w:r>
    </w:p>
    <w:tbl>
      <w:tblPr>
        <w:tblStyle w:val="8"/>
        <w:tblW w:w="0" w:type="auto"/>
        <w:tblInd w:w="250" w:type="dxa"/>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wBefore w:w="0" w:type="auto"/>
          <w:trHeight w:val="1480" w:hRule="atLeast"/>
        </w:trPr>
        <w:tc>
          <w:tcPr>
            <w:tcW w:w="9639" w:type="dxa"/>
            <w:tcBorders>
              <w:top w:val="nil"/>
              <w:left w:val="nil"/>
              <w:bottom w:val="single" w:color="auto" w:sz="4" w:space="0"/>
              <w:right w:val="nil"/>
            </w:tcBorders>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部门机构设置情况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356"/>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06" w:hRule="atLeast"/>
              </w:trPr>
              <w:tc>
                <w:tcPr>
                  <w:tcW w:w="2355" w:type="dxa"/>
                  <w:noWrap w:val="0"/>
                  <w:vAlign w:val="top"/>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单位名称</w:t>
                  </w:r>
                </w:p>
              </w:tc>
              <w:tc>
                <w:tcPr>
                  <w:tcW w:w="2356" w:type="dxa"/>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单位性质</w:t>
                  </w:r>
                </w:p>
              </w:tc>
              <w:tc>
                <w:tcPr>
                  <w:tcW w:w="2356" w:type="dxa"/>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单位规格</w:t>
                  </w:r>
                </w:p>
              </w:tc>
              <w:tc>
                <w:tcPr>
                  <w:tcW w:w="2356" w:type="dxa"/>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2355" w:type="dxa"/>
                  <w:noWrap w:val="0"/>
                  <w:vAlign w:val="top"/>
                </w:tcPr>
                <w:p>
                  <w:pPr>
                    <w:widowControl/>
                    <w:jc w:val="center"/>
                    <w:rPr>
                      <w:rFonts w:hint="eastAsia" w:ascii="仿宋_GB2312" w:hAnsi="宋体" w:eastAsia="仿宋_GB2312" w:cs="宋体"/>
                      <w:b w:val="0"/>
                      <w:bCs/>
                      <w:color w:val="000000"/>
                      <w:kern w:val="0"/>
                      <w:sz w:val="28"/>
                      <w:szCs w:val="28"/>
                    </w:rPr>
                  </w:pPr>
                  <w:r>
                    <w:rPr>
                      <w:rFonts w:hint="eastAsia" w:eastAsia="仿宋_GB2312" w:cs="宋体"/>
                      <w:b w:val="0"/>
                      <w:bCs/>
                      <w:color w:val="000000"/>
                      <w:kern w:val="0"/>
                      <w:sz w:val="24"/>
                      <w:szCs w:val="24"/>
                    </w:rPr>
                    <w:t>保定市满城区工商业联合会</w:t>
                  </w:r>
                </w:p>
              </w:tc>
              <w:tc>
                <w:tcPr>
                  <w:tcW w:w="2356" w:type="dxa"/>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行政</w:t>
                  </w:r>
                </w:p>
              </w:tc>
              <w:tc>
                <w:tcPr>
                  <w:tcW w:w="2356" w:type="dxa"/>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正科级</w:t>
                  </w:r>
                </w:p>
              </w:tc>
              <w:tc>
                <w:tcPr>
                  <w:tcW w:w="2356" w:type="dxa"/>
                  <w:noWrap w:val="0"/>
                  <w:vAlign w:val="center"/>
                </w:tcPr>
                <w:p>
                  <w:pPr>
                    <w:widowControl/>
                    <w:jc w:val="center"/>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4"/>
                      <w:szCs w:val="24"/>
                    </w:rPr>
                    <w:t>财政拨款</w:t>
                  </w:r>
                </w:p>
              </w:tc>
            </w:tr>
          </w:tbl>
          <w:p>
            <w:pPr>
              <w:widowControl/>
              <w:jc w:val="center"/>
              <w:rPr>
                <w:rFonts w:hint="eastAsia" w:ascii="仿宋_GB2312" w:hAnsi="宋体" w:eastAsia="仿宋_GB2312" w:cs="宋体"/>
                <w:b w:val="0"/>
                <w:bCs/>
                <w:color w:val="000000"/>
                <w:kern w:val="0"/>
                <w:sz w:val="28"/>
                <w:szCs w:val="28"/>
              </w:rPr>
            </w:pPr>
          </w:p>
        </w:tc>
      </w:tr>
    </w:tbl>
    <w:p>
      <w:pPr>
        <w:spacing w:line="520" w:lineRule="exact"/>
        <w:ind w:firstLine="560"/>
        <w:rPr>
          <w:rFonts w:hint="eastAsia" w:ascii="仿宋_GB2312" w:hAnsi="黑体" w:eastAsia="仿宋_GB2312"/>
          <w:b w:val="0"/>
          <w:bCs/>
          <w:kern w:val="0"/>
          <w:sz w:val="32"/>
          <w:szCs w:val="32"/>
        </w:rPr>
      </w:pPr>
    </w:p>
    <w:p>
      <w:pPr>
        <w:spacing w:line="520" w:lineRule="exact"/>
        <w:ind w:left="1713" w:firstLine="320" w:firstLineChars="100"/>
        <w:rPr>
          <w:rFonts w:hint="eastAsia" w:ascii="黑体" w:hAnsi="黑体" w:eastAsia="黑体"/>
          <w:b w:val="0"/>
          <w:bCs/>
          <w:sz w:val="32"/>
          <w:szCs w:val="32"/>
        </w:rPr>
      </w:pPr>
      <w:r>
        <w:rPr>
          <w:rFonts w:hint="eastAsia" w:ascii="黑体" w:hAnsi="黑体" w:eastAsia="黑体"/>
          <w:b w:val="0"/>
          <w:bCs/>
          <w:sz w:val="32"/>
          <w:szCs w:val="32"/>
        </w:rPr>
        <w:t>第二部分：部门预算安排的总体情况</w:t>
      </w:r>
    </w:p>
    <w:p>
      <w:pPr>
        <w:spacing w:line="520" w:lineRule="exact"/>
        <w:ind w:left="1713"/>
        <w:rPr>
          <w:rFonts w:hint="eastAsia" w:ascii="黑体" w:hAnsi="黑体" w:eastAsia="黑体"/>
          <w:b w:val="0"/>
          <w:bCs/>
          <w:sz w:val="32"/>
          <w:szCs w:val="32"/>
        </w:rPr>
      </w:pPr>
    </w:p>
    <w:p>
      <w:pPr>
        <w:spacing w:line="52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1、收入说明</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2021年保定市满城区工商业联合会年初部门收入预算总额为53.60万元，其中：一般公共预算收入53.60万元。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其中：人员经费预算为46.01万元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正常公用经费预算为7.19万元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项目预算为0.40万元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黑体" w:eastAsia="仿宋_GB2312"/>
          <w:b w:val="0"/>
          <w:bCs/>
          <w:sz w:val="32"/>
          <w:szCs w:val="32"/>
        </w:rPr>
        <w:t>2、支出说明</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2021年部门支出安排预算总额53.60万元。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基本支出53.20万元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其中：人员经费46.01万元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日常公用经费7.19万元</w:t>
      </w:r>
    </w:p>
    <w:p>
      <w:pPr>
        <w:spacing w:line="520" w:lineRule="exact"/>
        <w:ind w:firstLine="960" w:firstLineChars="300"/>
        <w:rPr>
          <w:rFonts w:hint="eastAsia" w:ascii="仿宋_GB2312" w:hAnsi="仿宋" w:eastAsia="仿宋_GB2312"/>
          <w:b w:val="0"/>
          <w:bCs/>
          <w:sz w:val="32"/>
          <w:szCs w:val="32"/>
        </w:rPr>
      </w:pPr>
      <w:r>
        <w:rPr>
          <w:rFonts w:hint="eastAsia" w:ascii="仿宋_GB2312" w:hAnsi="仿宋" w:eastAsia="仿宋_GB2312"/>
          <w:b w:val="0"/>
          <w:bCs/>
          <w:sz w:val="32"/>
          <w:szCs w:val="32"/>
        </w:rPr>
        <w:t>其中：本级支出53.20万元</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项目支出为0.40万元</w:t>
      </w:r>
    </w:p>
    <w:p>
      <w:pPr>
        <w:tabs>
          <w:tab w:val="left" w:pos="916"/>
        </w:tabs>
        <w:spacing w:line="560" w:lineRule="exact"/>
        <w:ind w:firstLine="640" w:firstLineChars="200"/>
        <w:jc w:val="left"/>
        <w:rPr>
          <w:rFonts w:hint="eastAsia" w:ascii="仿宋_GB2312" w:hAnsi="黑体" w:eastAsia="仿宋_GB2312"/>
          <w:b w:val="0"/>
          <w:bCs/>
          <w:sz w:val="32"/>
          <w:szCs w:val="32"/>
        </w:rPr>
      </w:pPr>
      <w:r>
        <w:rPr>
          <w:rFonts w:hint="eastAsia" w:ascii="仿宋_GB2312" w:hAnsi="黑体" w:eastAsia="仿宋_GB2312"/>
          <w:b w:val="0"/>
          <w:bCs/>
          <w:sz w:val="32"/>
          <w:szCs w:val="32"/>
        </w:rPr>
        <w:t>3、比上年增减情况</w:t>
      </w:r>
    </w:p>
    <w:p>
      <w:pPr>
        <w:tabs>
          <w:tab w:val="left" w:pos="916"/>
        </w:tabs>
        <w:spacing w:line="560" w:lineRule="exact"/>
        <w:jc w:val="left"/>
        <w:rPr>
          <w:rFonts w:hint="eastAsia" w:ascii="仿宋_GB2312" w:hAnsi="仿宋" w:eastAsia="仿宋_GB2312"/>
          <w:b w:val="0"/>
          <w:bCs/>
          <w:sz w:val="32"/>
          <w:szCs w:val="32"/>
        </w:rPr>
      </w:pPr>
      <w:r>
        <w:rPr>
          <w:rFonts w:hint="eastAsia" w:ascii="仿宋_GB2312" w:hAnsi="仿宋" w:eastAsia="仿宋_GB2312"/>
          <w:b w:val="0"/>
          <w:bCs/>
          <w:sz w:val="32"/>
          <w:szCs w:val="32"/>
        </w:rPr>
        <w:t>　　本年度预算收支安排53.60万元，较上年减少11.07万元。其中:人员经费支出减少10.72万元（退休工作人员一名）；日常公用经费减少0.75万元（减少了退休工作人员的公务通讯移动补贴、公务交通补贴两项补贴）。</w:t>
      </w:r>
    </w:p>
    <w:p>
      <w:pPr>
        <w:spacing w:line="520" w:lineRule="exact"/>
        <w:outlineLvl w:val="0"/>
        <w:rPr>
          <w:rFonts w:hint="eastAsia" w:ascii="黑体" w:hAnsi="黑体" w:eastAsia="黑体"/>
          <w:b w:val="0"/>
          <w:bCs/>
          <w:sz w:val="32"/>
          <w:szCs w:val="32"/>
        </w:rPr>
      </w:pPr>
    </w:p>
    <w:p>
      <w:pPr>
        <w:spacing w:line="520" w:lineRule="exact"/>
        <w:jc w:val="center"/>
        <w:outlineLvl w:val="0"/>
        <w:rPr>
          <w:rFonts w:hint="eastAsia" w:ascii="黑体" w:hAnsi="黑体" w:eastAsia="黑体"/>
          <w:b w:val="0"/>
          <w:bCs/>
          <w:sz w:val="32"/>
          <w:szCs w:val="32"/>
        </w:rPr>
      </w:pPr>
      <w:r>
        <w:rPr>
          <w:rFonts w:hint="eastAsia" w:ascii="黑体" w:hAnsi="黑体" w:eastAsia="黑体"/>
          <w:b w:val="0"/>
          <w:bCs/>
          <w:sz w:val="32"/>
          <w:szCs w:val="32"/>
        </w:rPr>
        <w:t>第三部分：机关运行经费安排情况</w:t>
      </w:r>
    </w:p>
    <w:p>
      <w:pPr>
        <w:spacing w:line="520" w:lineRule="exact"/>
        <w:jc w:val="center"/>
        <w:outlineLvl w:val="0"/>
        <w:rPr>
          <w:rFonts w:hint="eastAsia" w:ascii="黑体" w:hAnsi="黑体" w:eastAsia="黑体"/>
          <w:b w:val="0"/>
          <w:bCs/>
          <w:sz w:val="32"/>
          <w:szCs w:val="32"/>
        </w:rPr>
      </w:pPr>
    </w:p>
    <w:p>
      <w:pPr>
        <w:spacing w:line="520" w:lineRule="exact"/>
        <w:ind w:firstLine="640" w:firstLineChars="200"/>
        <w:jc w:val="left"/>
        <w:outlineLvl w:val="0"/>
        <w:rPr>
          <w:rFonts w:hint="eastAsia" w:ascii="仿宋_GB2312" w:hAnsi="仿宋" w:eastAsia="仿宋_GB2312"/>
          <w:b w:val="0"/>
          <w:bCs/>
          <w:sz w:val="32"/>
          <w:szCs w:val="32"/>
        </w:rPr>
      </w:pPr>
      <w:r>
        <w:rPr>
          <w:rFonts w:hint="eastAsia" w:ascii="仿宋_GB2312" w:hAnsi="仿宋" w:eastAsia="仿宋_GB2312"/>
          <w:b w:val="0"/>
          <w:bCs/>
          <w:sz w:val="32"/>
          <w:szCs w:val="32"/>
        </w:rPr>
        <w:t xml:space="preserve"> 保定市满城区工商联机关运行经费安排7.19万元，其中办公费0.21万元，水费0.05万元，电费0.15万元，邮电费1.74万元，取暖费0.35万元，差旅费0.05万元，福利费0.34万元，接待费0.14万元，公务用车运行维护费2.0万元，其它交通费用1.98万元，其它商品和服务支出0.18万元。</w:t>
      </w:r>
    </w:p>
    <w:p>
      <w:pPr>
        <w:spacing w:line="520" w:lineRule="exact"/>
        <w:jc w:val="center"/>
        <w:outlineLvl w:val="0"/>
        <w:rPr>
          <w:rFonts w:hint="eastAsia" w:ascii="黑体" w:hAnsi="黑体" w:eastAsia="黑体"/>
          <w:b w:val="0"/>
          <w:bCs/>
          <w:sz w:val="32"/>
          <w:szCs w:val="32"/>
        </w:rPr>
      </w:pPr>
    </w:p>
    <w:p>
      <w:pPr>
        <w:spacing w:line="520" w:lineRule="exact"/>
        <w:jc w:val="center"/>
        <w:outlineLvl w:val="0"/>
        <w:rPr>
          <w:rFonts w:hint="eastAsia" w:ascii="黑体" w:hAnsi="黑体" w:eastAsia="黑体"/>
          <w:b w:val="0"/>
          <w:bCs/>
          <w:sz w:val="32"/>
          <w:szCs w:val="32"/>
        </w:rPr>
      </w:pPr>
      <w:r>
        <w:rPr>
          <w:rFonts w:hint="eastAsia" w:ascii="黑体" w:hAnsi="黑体" w:eastAsia="黑体"/>
          <w:b w:val="0"/>
          <w:bCs/>
          <w:sz w:val="32"/>
          <w:szCs w:val="32"/>
        </w:rPr>
        <w:t>第四部分：财政拨款“三公”经费预算情况及增减变化原因</w:t>
      </w:r>
    </w:p>
    <w:p>
      <w:pPr>
        <w:spacing w:line="520" w:lineRule="exact"/>
        <w:jc w:val="center"/>
        <w:outlineLvl w:val="0"/>
        <w:rPr>
          <w:rFonts w:hint="eastAsia" w:ascii="黑体" w:hAnsi="黑体" w:eastAsia="黑体"/>
          <w:b w:val="0"/>
          <w:bCs/>
          <w:sz w:val="32"/>
          <w:szCs w:val="32"/>
        </w:rPr>
      </w:pPr>
    </w:p>
    <w:tbl>
      <w:tblPr>
        <w:tblStyle w:val="8"/>
        <w:tblW w:w="10207" w:type="dxa"/>
        <w:tblInd w:w="-176" w:type="dxa"/>
        <w:tblLayout w:type="fixed"/>
        <w:tblCellMar>
          <w:top w:w="0" w:type="dxa"/>
          <w:left w:w="108" w:type="dxa"/>
          <w:bottom w:w="0" w:type="dxa"/>
          <w:right w:w="108" w:type="dxa"/>
        </w:tblCellMar>
      </w:tblPr>
      <w:tblGrid>
        <w:gridCol w:w="2269"/>
        <w:gridCol w:w="1760"/>
        <w:gridCol w:w="1717"/>
        <w:gridCol w:w="1177"/>
        <w:gridCol w:w="3284"/>
      </w:tblGrid>
      <w:tr>
        <w:tblPrEx>
          <w:tblCellMar>
            <w:top w:w="0" w:type="dxa"/>
            <w:left w:w="108" w:type="dxa"/>
            <w:bottom w:w="0" w:type="dxa"/>
            <w:right w:w="108" w:type="dxa"/>
          </w:tblCellMar>
        </w:tblPrEx>
        <w:trPr>
          <w:wBefore w:w="0" w:type="dxa"/>
          <w:wAfter w:w="0" w:type="dxa"/>
          <w:trHeight w:val="405" w:hRule="atLeast"/>
        </w:trPr>
        <w:tc>
          <w:tcPr>
            <w:tcW w:w="10207"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b w:val="0"/>
                <w:bCs/>
                <w:kern w:val="0"/>
                <w:sz w:val="32"/>
                <w:szCs w:val="32"/>
              </w:rPr>
            </w:pPr>
            <w:r>
              <w:rPr>
                <w:rFonts w:hint="eastAsia" w:ascii="黑体" w:hAnsi="黑体" w:eastAsia="黑体"/>
                <w:b w:val="0"/>
                <w:bCs/>
                <w:sz w:val="32"/>
                <w:szCs w:val="32"/>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269"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3284" w:type="dxa"/>
            <w:tcBorders>
              <w:top w:val="nil"/>
              <w:left w:val="nil"/>
              <w:bottom w:val="nil"/>
              <w:right w:val="nil"/>
            </w:tcBorders>
            <w:noWrap w:val="0"/>
            <w:vAlign w:val="center"/>
          </w:tcPr>
          <w:p>
            <w:pPr>
              <w:widowControl/>
              <w:jc w:val="right"/>
              <w:rPr>
                <w:rFonts w:ascii="宋体" w:hAnsi="宋体" w:cs="宋体"/>
                <w:b w:val="0"/>
                <w:bCs/>
                <w:kern w:val="0"/>
                <w:sz w:val="24"/>
                <w:szCs w:val="24"/>
              </w:rPr>
            </w:pPr>
            <w:r>
              <w:rPr>
                <w:rFonts w:hint="eastAsia" w:ascii="宋体" w:hAnsi="宋体" w:cs="宋体"/>
                <w:b w:val="0"/>
                <w:bCs/>
                <w:kern w:val="0"/>
                <w:sz w:val="24"/>
                <w:szCs w:val="24"/>
              </w:rPr>
              <w:t>单位：万元</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项目名称</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20</w:t>
            </w:r>
            <w:r>
              <w:rPr>
                <w:rFonts w:hint="eastAsia" w:ascii="仿宋_GB2312" w:hAnsi="宋体" w:eastAsia="仿宋_GB2312" w:cs="宋体"/>
                <w:b w:val="0"/>
                <w:bCs/>
                <w:kern w:val="0"/>
                <w:sz w:val="24"/>
                <w:szCs w:val="24"/>
                <w:lang w:val="en-US" w:eastAsia="zh-CN"/>
              </w:rPr>
              <w:t>20</w:t>
            </w:r>
            <w:r>
              <w:rPr>
                <w:rFonts w:hint="eastAsia" w:ascii="仿宋_GB2312" w:hAnsi="宋体" w:eastAsia="仿宋_GB2312" w:cs="宋体"/>
                <w:b w:val="0"/>
                <w:bCs/>
                <w:kern w:val="0"/>
                <w:sz w:val="24"/>
                <w:szCs w:val="24"/>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202</w:t>
            </w:r>
            <w:r>
              <w:rPr>
                <w:rFonts w:hint="eastAsia" w:ascii="仿宋_GB2312" w:hAnsi="宋体" w:eastAsia="仿宋_GB2312" w:cs="宋体"/>
                <w:b w:val="0"/>
                <w:bCs/>
                <w:kern w:val="0"/>
                <w:sz w:val="24"/>
                <w:szCs w:val="24"/>
                <w:lang w:val="en-US" w:eastAsia="zh-CN"/>
              </w:rPr>
              <w:t>1</w:t>
            </w:r>
            <w:r>
              <w:rPr>
                <w:rFonts w:hint="eastAsia" w:ascii="仿宋_GB2312" w:hAnsi="宋体" w:eastAsia="仿宋_GB2312" w:cs="宋体"/>
                <w:b w:val="0"/>
                <w:bCs/>
                <w:kern w:val="0"/>
                <w:sz w:val="24"/>
                <w:szCs w:val="24"/>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增减金额</w:t>
            </w:r>
          </w:p>
        </w:tc>
        <w:tc>
          <w:tcPr>
            <w:tcW w:w="32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变化原因</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因公出国经费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无增减变化</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公务用车购置经费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公务用车运行经费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2.5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2.0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-0.5</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压缩开支</w:t>
            </w:r>
          </w:p>
        </w:tc>
      </w:tr>
      <w:tr>
        <w:tblPrEx>
          <w:tblCellMar>
            <w:top w:w="0" w:type="dxa"/>
            <w:left w:w="108" w:type="dxa"/>
            <w:bottom w:w="0" w:type="dxa"/>
            <w:right w:w="108" w:type="dxa"/>
          </w:tblCellMar>
        </w:tblPrEx>
        <w:trPr>
          <w:wBefore w:w="0" w:type="dxa"/>
          <w:wAfter w:w="0" w:type="dxa"/>
          <w:trHeight w:val="513"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公务接待费支出</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0.16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0.14</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lang w:val="en-US" w:eastAsia="zh-CN"/>
              </w:rPr>
              <w:t>-</w:t>
            </w:r>
            <w:r>
              <w:rPr>
                <w:rFonts w:hint="eastAsia" w:ascii="仿宋_GB2312" w:hAnsi="宋体" w:eastAsia="仿宋_GB2312" w:cs="宋体"/>
                <w:b w:val="0"/>
                <w:bCs/>
                <w:kern w:val="0"/>
                <w:sz w:val="24"/>
                <w:szCs w:val="24"/>
              </w:rPr>
              <w:t>0.02</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压缩开支</w:t>
            </w:r>
          </w:p>
        </w:tc>
      </w:tr>
      <w:tr>
        <w:tblPrEx>
          <w:tblCellMar>
            <w:top w:w="0" w:type="dxa"/>
            <w:left w:w="108" w:type="dxa"/>
            <w:bottom w:w="0" w:type="dxa"/>
            <w:right w:w="108" w:type="dxa"/>
          </w:tblCellMar>
        </w:tblPrEx>
        <w:trPr>
          <w:wBefore w:w="0" w:type="dxa"/>
          <w:wAfter w:w="0" w:type="dxa"/>
          <w:trHeight w:val="962"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合计</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2.66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2.14</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lang w:val="en-US" w:eastAsia="zh-CN"/>
              </w:rPr>
              <w:t>-</w:t>
            </w:r>
            <w:r>
              <w:rPr>
                <w:rFonts w:ascii="仿宋_GB2312" w:hAnsi="宋体" w:eastAsia="仿宋_GB2312" w:cs="宋体"/>
                <w:b w:val="0"/>
                <w:bCs/>
                <w:kern w:val="0"/>
                <w:sz w:val="24"/>
                <w:szCs w:val="24"/>
              </w:rPr>
              <w:t>0</w:t>
            </w:r>
            <w:r>
              <w:rPr>
                <w:rFonts w:hint="eastAsia" w:ascii="仿宋_GB2312" w:hAnsi="宋体" w:eastAsia="仿宋_GB2312" w:cs="宋体"/>
                <w:b w:val="0"/>
                <w:bCs/>
                <w:kern w:val="0"/>
                <w:sz w:val="24"/>
                <w:szCs w:val="24"/>
              </w:rPr>
              <w:t>.52</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压缩开支</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c>
          <w:tcPr>
            <w:tcW w:w="3284" w:type="dxa"/>
            <w:tcBorders>
              <w:top w:val="nil"/>
              <w:left w:val="nil"/>
              <w:bottom w:val="nil"/>
              <w:right w:val="nil"/>
            </w:tcBorders>
            <w:noWrap w:val="0"/>
            <w:vAlign w:val="center"/>
          </w:tcPr>
          <w:p>
            <w:pPr>
              <w:widowControl/>
              <w:jc w:val="left"/>
              <w:rPr>
                <w:rFonts w:ascii="宋体" w:hAnsi="宋体" w:cs="宋体"/>
                <w:b w:val="0"/>
                <w:bCs/>
                <w:kern w:val="0"/>
                <w:sz w:val="24"/>
                <w:szCs w:val="24"/>
              </w:rPr>
            </w:pPr>
          </w:p>
        </w:tc>
      </w:tr>
    </w:tbl>
    <w:p>
      <w:pPr>
        <w:jc w:val="center"/>
        <w:outlineLvl w:val="0"/>
        <w:rPr>
          <w:rFonts w:hint="eastAsia" w:ascii="黑体" w:hAnsi="黑体" w:eastAsia="黑体"/>
          <w:b w:val="0"/>
          <w:bCs/>
          <w:sz w:val="32"/>
          <w:szCs w:val="32"/>
        </w:rPr>
      </w:pPr>
    </w:p>
    <w:p>
      <w:pPr>
        <w:jc w:val="center"/>
        <w:outlineLvl w:val="0"/>
        <w:rPr>
          <w:rFonts w:hint="eastAsia" w:ascii="黑体" w:hAnsi="黑体" w:eastAsia="黑体"/>
          <w:b w:val="0"/>
          <w:bCs/>
          <w:sz w:val="32"/>
          <w:szCs w:val="32"/>
        </w:rPr>
      </w:pPr>
      <w:r>
        <w:rPr>
          <w:rFonts w:hint="eastAsia" w:ascii="黑体" w:hAnsi="黑体" w:eastAsia="黑体"/>
          <w:b w:val="0"/>
          <w:bCs/>
          <w:sz w:val="32"/>
          <w:szCs w:val="32"/>
        </w:rPr>
        <w:t>第五部分：绩效预算信息</w:t>
      </w:r>
    </w:p>
    <w:p>
      <w:pPr>
        <w:jc w:val="center"/>
        <w:outlineLvl w:val="0"/>
        <w:rPr>
          <w:rFonts w:ascii="宋体" w:hAnsi="宋体"/>
          <w:b w:val="0"/>
          <w:bCs/>
        </w:rPr>
      </w:pPr>
      <w:r>
        <w:rPr>
          <w:rFonts w:ascii="宋体" w:hAnsi="宋体"/>
          <w:b w:val="0"/>
          <w:bCs/>
        </w:rPr>
        <w:t xml:space="preserve"> </w:t>
      </w:r>
    </w:p>
    <w:p>
      <w:pPr>
        <w:ind w:firstLine="560" w:firstLineChars="200"/>
        <w:jc w:val="left"/>
        <w:outlineLvl w:val="1"/>
        <w:rPr>
          <w:rFonts w:hAnsi="宋体"/>
          <w:b w:val="0"/>
          <w:bCs/>
          <w:sz w:val="28"/>
        </w:rPr>
      </w:pPr>
      <w:bookmarkStart w:id="0" w:name="_Toc441150763"/>
      <w:r>
        <w:rPr>
          <w:rFonts w:hint="eastAsia" w:ascii="方正黑体_GBK" w:eastAsia="方正黑体_GBK"/>
          <w:b w:val="0"/>
          <w:bCs/>
          <w:sz w:val="28"/>
        </w:rPr>
        <w:t>一、总体绩效目标</w:t>
      </w:r>
      <w:r>
        <w:fldChar w:fldCharType="begin"/>
      </w:r>
      <w:r>
        <w:rPr>
          <w:rFonts w:ascii="方正黑体_GBK" w:eastAsia="方正黑体_GBK"/>
          <w:b w:val="0"/>
          <w:bCs/>
          <w:sz w:val="28"/>
        </w:rPr>
        <w:instrText xml:space="preserve"> </w:instrText>
      </w:r>
      <w:r>
        <w:rPr>
          <w:rFonts w:hint="eastAsia" w:ascii="方正黑体_GBK" w:eastAsia="方正黑体_GBK"/>
          <w:b w:val="0"/>
          <w:bCs/>
          <w:sz w:val="28"/>
        </w:rPr>
        <w:instrText xml:space="preserve">TC </w:instrText>
      </w:r>
      <w:bookmarkStart w:id="1" w:name="_Toc44515882"/>
      <w:r>
        <w:rPr>
          <w:rFonts w:hint="eastAsia" w:ascii="方正黑体_GBK" w:eastAsia="方正黑体_GBK"/>
          <w:b w:val="0"/>
          <w:bCs/>
          <w:sz w:val="28"/>
        </w:rPr>
        <w:instrText xml:space="preserve">总体绩效目标</w:instrText>
      </w:r>
      <w:bookmarkEnd w:id="1"/>
      <w:r>
        <w:rPr>
          <w:rFonts w:hint="eastAsia" w:ascii="方正黑体_GBK" w:eastAsia="方正黑体_GBK"/>
          <w:b w:val="0"/>
          <w:bCs/>
          <w:sz w:val="28"/>
        </w:rPr>
        <w:instrText xml:space="preserve"> \f A \l 1</w:instrText>
      </w:r>
      <w:r>
        <w:rPr>
          <w:rFonts w:ascii="方正黑体_GBK" w:eastAsia="方正黑体_GBK"/>
          <w:b w:val="0"/>
          <w:bCs/>
          <w:sz w:val="28"/>
        </w:rPr>
        <w:instrText xml:space="preserve"> </w:instrText>
      </w:r>
      <w:r>
        <w:rPr>
          <w:rFonts w:ascii="方正黑体_GBK" w:eastAsia="方正黑体_GBK"/>
          <w:b w:val="0"/>
          <w:bCs/>
          <w:sz w:val="28"/>
        </w:rPr>
        <w:fldChar w:fldCharType="end"/>
      </w:r>
    </w:p>
    <w:p>
      <w:pPr>
        <w:spacing w:line="500" w:lineRule="exact"/>
        <w:ind w:firstLine="560" w:firstLineChars="200"/>
        <w:jc w:val="left"/>
        <w:rPr>
          <w:rFonts w:eastAsia="方正仿宋_GBK"/>
          <w:b w:val="0"/>
          <w:bCs/>
          <w:sz w:val="28"/>
        </w:rPr>
      </w:pPr>
      <w:r>
        <w:rPr>
          <w:rFonts w:eastAsia="方正仿宋_GBK"/>
          <w:b w:val="0"/>
          <w:bCs/>
          <w:sz w:val="28"/>
        </w:rPr>
        <w:t>紧紧围绕区委、区政府的中心工作，以创建全国“五好”县级工商联示范点为抓手，充分发挥工商联桥梁纽带作用，着眼统战性特点，提高参政议政能力；着眼经济性特点，提高服务能力；着眼民间性特点，提高协调能力；着眼“助手”特点，提高社会凝聚能力，引导全区非公有制经济为全面建成小康社会，做出新贡献。</w:t>
      </w:r>
    </w:p>
    <w:p>
      <w:pPr>
        <w:spacing w:line="500" w:lineRule="exact"/>
        <w:ind w:firstLine="560" w:firstLineChars="200"/>
        <w:jc w:val="left"/>
        <w:outlineLvl w:val="1"/>
        <w:rPr>
          <w:rFonts w:hAnsi="宋体"/>
          <w:b w:val="0"/>
          <w:bCs/>
          <w:sz w:val="28"/>
        </w:rPr>
      </w:pPr>
      <w:r>
        <w:rPr>
          <w:rFonts w:hint="eastAsia" w:ascii="方正黑体_GBK" w:eastAsia="方正黑体_GBK"/>
          <w:b w:val="0"/>
          <w:bCs/>
          <w:sz w:val="28"/>
        </w:rPr>
        <w:t>(二)分项绩效目标</w:t>
      </w:r>
      <w:r>
        <w:fldChar w:fldCharType="begin"/>
      </w:r>
      <w:r>
        <w:rPr>
          <w:rFonts w:ascii="方正黑体_GBK" w:eastAsia="方正黑体_GBK"/>
          <w:b w:val="0"/>
          <w:bCs/>
          <w:sz w:val="28"/>
        </w:rPr>
        <w:instrText xml:space="preserve"> </w:instrText>
      </w:r>
      <w:r>
        <w:rPr>
          <w:rFonts w:hint="eastAsia" w:ascii="方正黑体_GBK" w:eastAsia="方正黑体_GBK"/>
          <w:b w:val="0"/>
          <w:bCs/>
          <w:sz w:val="28"/>
        </w:rPr>
        <w:instrText xml:space="preserve">TC </w:instrText>
      </w:r>
      <w:bookmarkStart w:id="2" w:name="_Toc44515883"/>
      <w:r>
        <w:rPr>
          <w:rFonts w:hint="eastAsia" w:ascii="方正黑体_GBK" w:eastAsia="方正黑体_GBK"/>
          <w:b w:val="0"/>
          <w:bCs/>
          <w:sz w:val="28"/>
        </w:rPr>
        <w:instrText xml:space="preserve">分项绩效目标</w:instrText>
      </w:r>
      <w:bookmarkEnd w:id="2"/>
      <w:r>
        <w:rPr>
          <w:rFonts w:hint="eastAsia" w:ascii="方正黑体_GBK" w:eastAsia="方正黑体_GBK"/>
          <w:b w:val="0"/>
          <w:bCs/>
          <w:sz w:val="28"/>
        </w:rPr>
        <w:instrText xml:space="preserve"> \f A \l 1</w:instrText>
      </w:r>
      <w:r>
        <w:rPr>
          <w:rFonts w:ascii="方正黑体_GBK" w:eastAsia="方正黑体_GBK"/>
          <w:b w:val="0"/>
          <w:bCs/>
          <w:sz w:val="28"/>
        </w:rPr>
        <w:instrText xml:space="preserve"> </w:instrText>
      </w:r>
      <w:r>
        <w:rPr>
          <w:rFonts w:ascii="方正黑体_GBK" w:eastAsia="方正黑体_GBK"/>
          <w:b w:val="0"/>
          <w:bCs/>
          <w:sz w:val="28"/>
        </w:rPr>
        <w:fldChar w:fldCharType="end"/>
      </w:r>
    </w:p>
    <w:p>
      <w:pPr>
        <w:spacing w:line="500" w:lineRule="exact"/>
        <w:ind w:firstLine="560" w:firstLineChars="200"/>
        <w:jc w:val="left"/>
        <w:rPr>
          <w:rFonts w:eastAsia="方正仿宋_GBK"/>
          <w:b w:val="0"/>
          <w:bCs/>
          <w:sz w:val="28"/>
        </w:rPr>
      </w:pPr>
      <w:r>
        <w:rPr>
          <w:rFonts w:eastAsia="方正仿宋_GBK"/>
          <w:b w:val="0"/>
          <w:bCs/>
          <w:sz w:val="28"/>
        </w:rPr>
        <w:t>1、加强我区工商联同国内各级工商联、港澳地区及海外经济社团的联系与交流，真正发挥工商联和商会的联谊作用。组织民营企业家外出参观学习，开拓视野，学习先进管理经验，寻找合作共赢的商机，促进我区民营企业的健康发展。</w:t>
      </w:r>
    </w:p>
    <w:p>
      <w:pPr>
        <w:spacing w:line="500" w:lineRule="exact"/>
        <w:ind w:firstLine="560" w:firstLineChars="200"/>
        <w:jc w:val="left"/>
        <w:rPr>
          <w:rFonts w:eastAsia="方正仿宋_GBK"/>
          <w:b w:val="0"/>
          <w:bCs/>
          <w:sz w:val="28"/>
        </w:rPr>
      </w:pPr>
      <w:r>
        <w:rPr>
          <w:rFonts w:eastAsia="方正仿宋_GBK"/>
          <w:b w:val="0"/>
          <w:bCs/>
          <w:sz w:val="28"/>
        </w:rPr>
        <w:t>2、紧紧结合区委、区政府的中心工作，选好与全区非公有制经济发展、社会热点问题和工商联工作紧密相关的重点课题，进一步整合调研力量，切实发挥工商联、非公有制企业及有关部门的联合作用，高质量的开展调研，为区委、区政府科学决策建言献策，发挥好民主监督作用。</w:t>
      </w:r>
    </w:p>
    <w:p>
      <w:pPr>
        <w:spacing w:line="500" w:lineRule="exact"/>
        <w:ind w:firstLine="560" w:firstLineChars="200"/>
        <w:jc w:val="left"/>
        <w:rPr>
          <w:rFonts w:eastAsia="方正仿宋_GBK"/>
          <w:b w:val="0"/>
          <w:bCs/>
          <w:sz w:val="28"/>
        </w:rPr>
      </w:pPr>
      <w:r>
        <w:rPr>
          <w:rFonts w:eastAsia="方正仿宋_GBK"/>
          <w:b w:val="0"/>
          <w:bCs/>
          <w:sz w:val="28"/>
        </w:rPr>
        <w:t>3、加强对非公经济人士的培训。聘请专家现场授课，详细讲解宣传党的方针、政策及现代企业管理知识，进一步增强企业家的政治素养和管理能力。为企业提供培训、请专家讲课、会诊等更多的实质性服务，解决企业存在的问题。</w:t>
      </w:r>
    </w:p>
    <w:p>
      <w:pPr>
        <w:spacing w:line="500" w:lineRule="exact"/>
        <w:ind w:firstLine="560" w:firstLineChars="200"/>
        <w:jc w:val="left"/>
        <w:rPr>
          <w:rFonts w:eastAsia="方正仿宋_GBK"/>
          <w:b w:val="0"/>
          <w:bCs/>
          <w:sz w:val="28"/>
        </w:rPr>
      </w:pPr>
      <w:r>
        <w:rPr>
          <w:rFonts w:eastAsia="方正仿宋_GBK"/>
          <w:b w:val="0"/>
          <w:bCs/>
          <w:sz w:val="28"/>
        </w:rPr>
        <w:t>4、开展科技，法律服务。帮助非公有制经济企业搞好科技培训，结合法律部门，搞好法律咨询服务，增强企业以法律手段保护自己合法权益的意识和能力。</w:t>
      </w:r>
    </w:p>
    <w:p>
      <w:pPr>
        <w:spacing w:line="500" w:lineRule="exact"/>
        <w:ind w:firstLine="560" w:firstLineChars="200"/>
        <w:jc w:val="left"/>
        <w:rPr>
          <w:rFonts w:hint="eastAsia" w:eastAsia="方正仿宋_GBK"/>
          <w:b w:val="0"/>
          <w:bCs/>
          <w:sz w:val="28"/>
        </w:rPr>
      </w:pPr>
      <w:r>
        <w:rPr>
          <w:rFonts w:eastAsia="方正仿宋_GBK"/>
          <w:b w:val="0"/>
          <w:bCs/>
          <w:sz w:val="28"/>
        </w:rPr>
        <w:t xml:space="preserve"> 5、引导促进会员企业转型升级，营造绿色发展。加大宣传力度，增强会员企业对社会环境问题的认识，自觉遵守环境保护法律法规，塑造企业的绿色环保形象；积极引导会员企业转变经济增长方式，采用科技含量高、资源消耗低、污染排放少的先进技术，淘汰落后产能，助力我县经济由粗放型向环保节约型发展；积极指导会员企业加强质量管理，落实企业质量主体责任，加强质量诚信体系建设，提升企业诚信意识。</w:t>
      </w:r>
    </w:p>
    <w:p>
      <w:pPr>
        <w:spacing w:line="500" w:lineRule="exact"/>
        <w:ind w:firstLine="560" w:firstLineChars="200"/>
        <w:jc w:val="left"/>
        <w:outlineLvl w:val="1"/>
        <w:rPr>
          <w:rFonts w:hAnsi="宋体"/>
          <w:b w:val="0"/>
          <w:bCs/>
          <w:sz w:val="28"/>
        </w:rPr>
      </w:pPr>
      <w:r>
        <w:rPr>
          <w:rFonts w:hint="eastAsia" w:ascii="方正黑体_GBK" w:eastAsia="方正黑体_GBK"/>
          <w:b w:val="0"/>
          <w:bCs/>
          <w:sz w:val="28"/>
        </w:rPr>
        <w:t>三、工作保障措施</w:t>
      </w:r>
      <w:r>
        <w:fldChar w:fldCharType="begin"/>
      </w:r>
      <w:r>
        <w:rPr>
          <w:rFonts w:ascii="方正黑体_GBK" w:eastAsia="方正黑体_GBK"/>
          <w:b w:val="0"/>
          <w:bCs/>
          <w:sz w:val="28"/>
        </w:rPr>
        <w:instrText xml:space="preserve"> </w:instrText>
      </w:r>
      <w:r>
        <w:rPr>
          <w:rFonts w:hint="eastAsia" w:ascii="方正黑体_GBK" w:eastAsia="方正黑体_GBK"/>
          <w:b w:val="0"/>
          <w:bCs/>
          <w:sz w:val="28"/>
        </w:rPr>
        <w:instrText xml:space="preserve">TC 工作保障措施 \f A \l 1</w:instrText>
      </w:r>
      <w:r>
        <w:rPr>
          <w:rFonts w:ascii="方正黑体_GBK" w:eastAsia="方正黑体_GBK"/>
          <w:b w:val="0"/>
          <w:bCs/>
          <w:sz w:val="28"/>
        </w:rPr>
        <w:instrText xml:space="preserve"> </w:instrText>
      </w:r>
      <w:r>
        <w:rPr>
          <w:rFonts w:ascii="方正黑体_GBK" w:eastAsia="方正黑体_GBK"/>
          <w:b w:val="0"/>
          <w:bCs/>
          <w:sz w:val="28"/>
        </w:rPr>
        <w:fldChar w:fldCharType="end"/>
      </w:r>
    </w:p>
    <w:p>
      <w:pPr>
        <w:spacing w:line="500" w:lineRule="exact"/>
        <w:ind w:firstLine="560" w:firstLineChars="200"/>
        <w:jc w:val="left"/>
        <w:rPr>
          <w:rFonts w:eastAsia="方正仿宋_GBK"/>
          <w:b w:val="0"/>
          <w:bCs/>
          <w:sz w:val="28"/>
        </w:rPr>
      </w:pPr>
      <w:r>
        <w:rPr>
          <w:rFonts w:eastAsia="方正仿宋_GBK"/>
          <w:b w:val="0"/>
          <w:bCs/>
          <w:sz w:val="28"/>
        </w:rPr>
        <w:t>实现本年度发展规划目标的保障措施</w:t>
      </w:r>
    </w:p>
    <w:p>
      <w:pPr>
        <w:spacing w:line="500" w:lineRule="exact"/>
        <w:ind w:firstLine="560" w:firstLineChars="200"/>
        <w:jc w:val="left"/>
        <w:rPr>
          <w:rFonts w:eastAsia="方正仿宋_GBK"/>
          <w:b w:val="0"/>
          <w:bCs/>
          <w:sz w:val="28"/>
        </w:rPr>
      </w:pPr>
      <w:r>
        <w:rPr>
          <w:rFonts w:eastAsia="方正仿宋_GBK"/>
          <w:b w:val="0"/>
          <w:bCs/>
          <w:sz w:val="28"/>
        </w:rPr>
        <w:t>一是加强工商联工作的领导。按照省市文件和章程要求，明确各项工作由一名副主席牵头。</w:t>
      </w:r>
    </w:p>
    <w:p>
      <w:pPr>
        <w:spacing w:line="500" w:lineRule="exact"/>
        <w:ind w:firstLine="560" w:firstLineChars="200"/>
        <w:jc w:val="left"/>
        <w:rPr>
          <w:rFonts w:eastAsia="方正仿宋_GBK"/>
          <w:b w:val="0"/>
          <w:bCs/>
          <w:sz w:val="28"/>
        </w:rPr>
      </w:pPr>
      <w:r>
        <w:rPr>
          <w:rFonts w:eastAsia="方正仿宋_GBK"/>
          <w:b w:val="0"/>
          <w:bCs/>
          <w:sz w:val="28"/>
        </w:rPr>
        <w:t>二是细化工作目标，责任分解落实到人。健全和完善工作机制，细化工作责任分解。</w:t>
      </w:r>
    </w:p>
    <w:p>
      <w:pPr>
        <w:ind w:left="1399" w:leftChars="266" w:hanging="840" w:hangingChars="300"/>
        <w:jc w:val="left"/>
        <w:rPr>
          <w:rFonts w:ascii="Times New Roman" w:hAnsi="宋体"/>
          <w:b w:val="0"/>
          <w:bCs/>
          <w:sz w:val="32"/>
        </w:rPr>
      </w:pPr>
      <w:r>
        <w:rPr>
          <w:rFonts w:eastAsia="方正仿宋_GBK"/>
          <w:b w:val="0"/>
          <w:bCs/>
          <w:sz w:val="28"/>
        </w:rPr>
        <w:t>三是加大督导考核力度。加强工作调研，根据工作需要，采取调度、制定奖惩措施等多种形式推进工作落实。</w:t>
      </w:r>
      <w:r>
        <w:rPr>
          <w:rFonts w:hint="eastAsia" w:ascii="方正楷体_GBK" w:eastAsia="方正楷体_GBK"/>
          <w:b w:val="0"/>
          <w:bCs/>
          <w:sz w:val="32"/>
        </w:rPr>
        <w:t>二 、预算项目绩效目标</w:t>
      </w:r>
    </w:p>
    <w:p>
      <w:pPr>
        <w:ind w:firstLine="420" w:firstLineChars="200"/>
        <w:jc w:val="left"/>
        <w:rPr>
          <w:b w:val="0"/>
          <w:bCs/>
        </w:rPr>
      </w:pPr>
    </w:p>
    <w:p>
      <w:pPr>
        <w:ind w:firstLine="560" w:firstLineChars="200"/>
        <w:jc w:val="left"/>
        <w:rPr>
          <w:rFonts w:ascii="Times New Roman" w:hAnsi="宋体"/>
          <w:b w:val="0"/>
          <w:bCs/>
          <w:sz w:val="28"/>
        </w:rPr>
      </w:pPr>
      <w:r>
        <w:rPr>
          <w:rFonts w:hint="eastAsia" w:ascii="方正仿宋_GBK" w:eastAsia="方正仿宋_GBK"/>
          <w:b w:val="0"/>
          <w:bCs/>
          <w:sz w:val="28"/>
        </w:rPr>
        <w:t>1、迎接市工商联专项检查相关费用绩效目标表</w:t>
      </w:r>
    </w:p>
    <w:tbl>
      <w:tblPr>
        <w:tblStyle w:val="8"/>
        <w:tblW w:w="14175"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8"/>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auto"/>
          <w:trHeight w:val="397" w:hRule="atLeast"/>
          <w:jc w:val="center"/>
        </w:trPr>
        <w:tc>
          <w:tcPr>
            <w:tcW w:w="1417" w:type="dxa"/>
            <w:tcBorders>
              <w:top w:val="single" w:color="000000" w:sz="6" w:space="0"/>
              <w:left w:val="single" w:color="000000" w:sz="6" w:space="0"/>
              <w:bottom w:val="nil"/>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绩效目标</w:t>
            </w:r>
          </w:p>
        </w:tc>
        <w:tc>
          <w:tcPr>
            <w:tcW w:w="12756" w:type="dxa"/>
            <w:tcBorders>
              <w:top w:val="single" w:color="000000" w:sz="6" w:space="0"/>
              <w:left w:val="single" w:color="000000" w:sz="6" w:space="0"/>
              <w:bottom w:val="nil"/>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1.购买指纹仪及展板印刷</w:t>
            </w:r>
          </w:p>
        </w:tc>
      </w:tr>
    </w:tbl>
    <w:p>
      <w:pPr>
        <w:spacing w:line="14" w:lineRule="exact"/>
        <w:jc w:val="center"/>
        <w:rPr>
          <w:rFonts w:ascii="Times New Roman" w:hAnsi="宋体"/>
          <w:b w:val="0"/>
          <w:bCs/>
          <w:sz w:val="18"/>
        </w:rPr>
      </w:pPr>
      <w:r>
        <w:rPr>
          <w:rFonts w:hint="eastAsia" w:ascii="方正书宋_GBK" w:eastAsia="方正书宋_GBK"/>
          <w:b w:val="0"/>
          <w:bCs/>
          <w:sz w:val="18"/>
        </w:rPr>
        <w:t xml:space="preserve"> </w:t>
      </w:r>
    </w:p>
    <w:tbl>
      <w:tblPr>
        <w:tblStyle w:val="8"/>
        <w:tblW w:w="141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8"/>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购置数量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购置指纹仪数量</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2个</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方正书宋_GBK" w:eastAsia="方正书宋_GBK"/>
                <w:b w:val="0"/>
                <w:bCs/>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购置合格率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产品合格数占购置总数的比例</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100百分比</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方正书宋_GBK" w:eastAsia="方正书宋_GBK"/>
                <w:b w:val="0"/>
                <w:bCs/>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购置完成时间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购置完成时间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2月份完成</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方正书宋_GBK" w:eastAsia="方正书宋_GBK"/>
                <w:b w:val="0"/>
                <w:bCs/>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采购成本</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每台指纹仪采购成本</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780元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经济效益指标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提高工作效率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提高工作效率</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≥98百分比</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方正书宋_GBK" w:eastAsia="方正书宋_GBK"/>
                <w:b w:val="0"/>
                <w:bCs/>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保障工作开展</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保障工作顺利开展</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保障工作</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服务对象满意度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≥99百分比</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工作需要</w:t>
            </w:r>
          </w:p>
        </w:tc>
      </w:tr>
    </w:tbl>
    <w:p>
      <w:pPr>
        <w:spacing w:line="300" w:lineRule="exact"/>
        <w:jc w:val="left"/>
        <w:rPr>
          <w:b w:val="0"/>
          <w:bCs/>
        </w:rPr>
      </w:pPr>
    </w:p>
    <w:bookmarkEnd w:id="0"/>
    <w:p>
      <w:pPr>
        <w:spacing w:line="300" w:lineRule="exact"/>
        <w:jc w:val="left"/>
        <w:outlineLvl w:val="0"/>
        <w:rPr>
          <w:b w:val="0"/>
          <w:bCs/>
        </w:rPr>
        <w:sectPr>
          <w:headerReference r:id="rId3" w:type="default"/>
          <w:pgSz w:w="16839" w:h="11907" w:orient="landscape"/>
          <w:pgMar w:top="1361" w:right="1020" w:bottom="1361" w:left="1020" w:header="851" w:footer="992" w:gutter="0"/>
          <w:cols w:space="720" w:num="1"/>
          <w:docGrid w:type="lines" w:linePitch="312" w:charSpace="0"/>
        </w:sectPr>
      </w:pPr>
    </w:p>
    <w:p>
      <w:pPr>
        <w:jc w:val="center"/>
        <w:outlineLvl w:val="0"/>
        <w:rPr>
          <w:rFonts w:hint="eastAsia" w:ascii="黑体" w:hAnsi="黑体" w:eastAsia="黑体"/>
          <w:b w:val="0"/>
          <w:bCs/>
          <w:sz w:val="32"/>
          <w:szCs w:val="32"/>
        </w:rPr>
      </w:pPr>
      <w:r>
        <w:rPr>
          <w:rFonts w:hint="eastAsia" w:ascii="黑体" w:hAnsi="黑体" w:eastAsia="黑体"/>
          <w:b w:val="0"/>
          <w:bCs/>
          <w:sz w:val="32"/>
          <w:szCs w:val="32"/>
        </w:rPr>
        <w:t>第六部分：政府采购预算情况</w:t>
      </w:r>
    </w:p>
    <w:p>
      <w:pPr>
        <w:spacing w:line="520" w:lineRule="exact"/>
        <w:ind w:firstLine="640" w:firstLineChars="200"/>
        <w:rPr>
          <w:rFonts w:hint="eastAsia" w:ascii="仿宋_GB2312" w:hAnsi="仿宋" w:eastAsia="仿宋_GB2312"/>
          <w:b w:val="0"/>
          <w:bCs/>
          <w:sz w:val="32"/>
          <w:szCs w:val="32"/>
        </w:rPr>
      </w:pPr>
    </w:p>
    <w:p>
      <w:pPr>
        <w:spacing w:line="520" w:lineRule="exact"/>
        <w:ind w:firstLine="640" w:firstLineChars="200"/>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2021年，工商联没有安排采购预算</w:t>
      </w:r>
      <w:r>
        <w:rPr>
          <w:rFonts w:hint="eastAsia" w:ascii="仿宋_GB2312" w:hAnsi="仿宋" w:eastAsia="仿宋_GB2312"/>
          <w:b w:val="0"/>
          <w:bCs/>
          <w:sz w:val="32"/>
          <w:szCs w:val="32"/>
          <w:lang w:eastAsia="zh-CN"/>
        </w:rPr>
        <w:t>，空表列示</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b w:val="0"/>
                <w:bCs/>
                <w:szCs w:val="24"/>
              </w:rPr>
            </w:pPr>
            <w:r>
              <w:rPr>
                <w:rFonts w:hint="eastAsia" w:ascii="宋体" w:hAnsi="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b w:val="0"/>
                <w:bCs/>
              </w:rPr>
            </w:pPr>
            <w:r>
              <w:rPr>
                <w:rFonts w:hint="eastAsia" w:ascii="宋体" w:hAnsi="宋体" w:cs="宋体"/>
                <w:b w:val="0"/>
                <w:bCs/>
              </w:rPr>
              <w:t>数量</w:t>
            </w:r>
            <w:r>
              <w:rPr>
                <w:rFonts w:hint="eastAsia" w:ascii="宋体" w:hAnsi="宋体" w:cs="方正书宋_GBK"/>
                <w:b w:val="0"/>
                <w:bCs/>
              </w:rPr>
              <w:t xml:space="preserve">  </w:t>
            </w:r>
            <w:r>
              <w:rPr>
                <w:rFonts w:hint="eastAsia" w:ascii="宋体" w:hAnsi="宋体" w:cs="宋体"/>
                <w:b w:val="0"/>
                <w:bCs/>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b w:val="0"/>
                <w:bCs/>
              </w:rPr>
            </w:pPr>
            <w:r>
              <w:rPr>
                <w:rFonts w:hint="eastAsia" w:ascii="宋体" w:hAnsi="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b w:val="0"/>
                <w:bCs/>
              </w:rPr>
            </w:pPr>
            <w:r>
              <w:rPr>
                <w:rFonts w:hint="eastAsia" w:ascii="宋体" w:hAnsi="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sz w:val="22"/>
              </w:rPr>
            </w:pPr>
            <w:r>
              <w:rPr>
                <w:rFonts w:hint="eastAsia" w:ascii="宋体" w:hAnsi="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r>
    </w:tbl>
    <w:p>
      <w:pPr>
        <w:spacing w:line="520" w:lineRule="exact"/>
        <w:ind w:firstLine="640" w:firstLineChars="200"/>
        <w:rPr>
          <w:rFonts w:hint="eastAsia" w:ascii="仿宋_GB2312" w:hAnsi="仿宋" w:eastAsia="仿宋_GB2312"/>
          <w:b w:val="0"/>
          <w:bCs/>
          <w:sz w:val="32"/>
          <w:szCs w:val="32"/>
          <w:lang w:eastAsia="zh-CN"/>
        </w:rPr>
      </w:pPr>
    </w:p>
    <w:p>
      <w:pPr>
        <w:spacing w:line="520" w:lineRule="exact"/>
        <w:ind w:firstLine="2400" w:firstLineChars="750"/>
        <w:rPr>
          <w:rFonts w:hint="eastAsia" w:ascii="黑体" w:hAnsi="黑体" w:eastAsia="黑体"/>
          <w:b w:val="0"/>
          <w:bCs/>
          <w:sz w:val="32"/>
          <w:szCs w:val="32"/>
        </w:rPr>
      </w:pPr>
    </w:p>
    <w:p>
      <w:pPr>
        <w:spacing w:line="520" w:lineRule="exact"/>
        <w:ind w:firstLine="2400" w:firstLineChars="750"/>
        <w:rPr>
          <w:rFonts w:hint="eastAsia" w:ascii="黑体" w:hAnsi="黑体" w:eastAsia="黑体"/>
          <w:b w:val="0"/>
          <w:bCs/>
          <w:sz w:val="32"/>
          <w:szCs w:val="32"/>
        </w:rPr>
      </w:pPr>
      <w:r>
        <w:rPr>
          <w:rFonts w:hint="eastAsia" w:ascii="黑体" w:hAnsi="黑体" w:eastAsia="黑体"/>
          <w:b w:val="0"/>
          <w:bCs/>
          <w:sz w:val="32"/>
          <w:szCs w:val="32"/>
        </w:rPr>
        <w:t>第七部分：国有资产信息情况说明</w:t>
      </w:r>
    </w:p>
    <w:p>
      <w:pPr>
        <w:rPr>
          <w:rFonts w:hint="eastAsia" w:ascii="宋体" w:hAnsi="宋体"/>
          <w:b w:val="0"/>
          <w:bCs/>
          <w:sz w:val="32"/>
          <w:szCs w:val="32"/>
        </w:rPr>
      </w:pPr>
      <w:r>
        <w:rPr>
          <w:rFonts w:hint="eastAsia" w:ascii="宋体" w:hAnsi="宋体"/>
          <w:b w:val="0"/>
          <w:bCs/>
          <w:sz w:val="32"/>
          <w:szCs w:val="32"/>
        </w:rPr>
        <w:t xml:space="preserve">  </w:t>
      </w:r>
    </w:p>
    <w:p>
      <w:pPr>
        <w:spacing w:line="520" w:lineRule="exact"/>
        <w:ind w:firstLine="640" w:firstLineChars="200"/>
        <w:rPr>
          <w:rFonts w:hint="eastAsia" w:ascii="仿宋_GB2312" w:hAnsi="仿宋" w:eastAsia="仿宋_GB2312"/>
          <w:b w:val="0"/>
          <w:bCs/>
          <w:sz w:val="32"/>
          <w:szCs w:val="32"/>
        </w:rPr>
      </w:pPr>
      <w:r>
        <w:rPr>
          <w:rFonts w:hint="eastAsia" w:ascii="仿宋_GB2312" w:hAnsi="仿宋" w:eastAsia="仿宋_GB2312"/>
          <w:b w:val="0"/>
          <w:bCs/>
          <w:sz w:val="32"/>
          <w:szCs w:val="32"/>
        </w:rPr>
        <w:t>保定市满城区工商业联合会2020年末固定资产总金额13.07万元（详见下表）。 2021年没有拟购置固定资产。</w:t>
      </w:r>
    </w:p>
    <w:tbl>
      <w:tblPr>
        <w:tblStyle w:val="8"/>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auto"/>
          <w:trHeight w:val="675" w:hRule="atLeast"/>
        </w:trPr>
        <w:tc>
          <w:tcPr>
            <w:tcW w:w="8804" w:type="dxa"/>
            <w:gridSpan w:val="3"/>
            <w:tcBorders>
              <w:top w:val="nil"/>
              <w:left w:val="nil"/>
              <w:bottom w:val="nil"/>
              <w:right w:val="nil"/>
            </w:tcBorders>
            <w:noWrap w:val="0"/>
            <w:vAlign w:val="center"/>
          </w:tcPr>
          <w:p>
            <w:pPr>
              <w:widowControl/>
              <w:jc w:val="center"/>
              <w:rPr>
                <w:rFonts w:ascii="仿宋" w:hAnsi="仿宋" w:eastAsia="仿宋"/>
                <w:b w:val="0"/>
                <w:bCs/>
                <w:sz w:val="32"/>
                <w:szCs w:val="32"/>
              </w:rPr>
            </w:pPr>
            <w:r>
              <w:rPr>
                <w:rFonts w:hint="eastAsia" w:ascii="仿宋" w:hAnsi="仿宋" w:eastAsia="仿宋"/>
                <w:b w:val="0"/>
                <w:bCs/>
                <w:sz w:val="32"/>
                <w:szCs w:val="32"/>
              </w:rPr>
              <w:t>保定市满城区工商业联合会固定资产占用情况表</w:t>
            </w:r>
          </w:p>
        </w:tc>
      </w:tr>
      <w:tr>
        <w:tblPrEx>
          <w:tblCellMar>
            <w:top w:w="0" w:type="dxa"/>
            <w:left w:w="108" w:type="dxa"/>
            <w:bottom w:w="0" w:type="dxa"/>
            <w:right w:w="108" w:type="dxa"/>
          </w:tblCellMar>
        </w:tblPrEx>
        <w:trPr>
          <w:wBefore w:w="0" w:type="auto"/>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 xml:space="preserve">                           截止时间：2020年12月31日</w:t>
            </w:r>
          </w:p>
        </w:tc>
      </w:tr>
      <w:tr>
        <w:tblPrEx>
          <w:tblCellMar>
            <w:top w:w="0" w:type="dxa"/>
            <w:left w:w="108" w:type="dxa"/>
            <w:bottom w:w="0" w:type="dxa"/>
            <w:right w:w="108" w:type="dxa"/>
          </w:tblCellMar>
        </w:tblPrEx>
        <w:trPr>
          <w:wBefore w:w="0" w:type="auto"/>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价值（单位：万元）</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13.07</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1、车辆（台、辆）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9.38</w:t>
            </w:r>
          </w:p>
        </w:tc>
      </w:tr>
      <w:tr>
        <w:tblPrEx>
          <w:tblCellMar>
            <w:top w:w="0" w:type="dxa"/>
            <w:left w:w="108" w:type="dxa"/>
            <w:bottom w:w="0" w:type="dxa"/>
            <w:right w:w="108" w:type="dxa"/>
          </w:tblCellMar>
        </w:tblPrEx>
        <w:trPr>
          <w:wBefore w:w="0" w:type="auto"/>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2、单价在20万元以上的设备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0.00</w:t>
            </w:r>
          </w:p>
        </w:tc>
      </w:tr>
      <w:tr>
        <w:tblPrEx>
          <w:tblCellMar>
            <w:top w:w="0" w:type="dxa"/>
            <w:left w:w="108" w:type="dxa"/>
            <w:bottom w:w="0" w:type="dxa"/>
            <w:right w:w="108" w:type="dxa"/>
          </w:tblCellMar>
        </w:tblPrEx>
        <w:trPr>
          <w:wBefore w:w="0" w:type="auto"/>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 xml:space="preserve">  3、其他固定资产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3.69</w:t>
            </w:r>
          </w:p>
        </w:tc>
      </w:tr>
    </w:tbl>
    <w:p>
      <w:pPr>
        <w:spacing w:line="520" w:lineRule="exact"/>
        <w:jc w:val="left"/>
        <w:outlineLvl w:val="0"/>
        <w:rPr>
          <w:rFonts w:hint="eastAsia" w:ascii="仿宋_GB2312" w:hAnsi="仿宋" w:eastAsia="仿宋_GB2312"/>
          <w:b w:val="0"/>
          <w:bCs/>
          <w:sz w:val="32"/>
          <w:szCs w:val="32"/>
        </w:rPr>
      </w:pPr>
    </w:p>
    <w:p>
      <w:pPr>
        <w:spacing w:line="500" w:lineRule="exact"/>
        <w:jc w:val="center"/>
        <w:outlineLvl w:val="0"/>
        <w:rPr>
          <w:rFonts w:hint="eastAsia" w:ascii="仿宋" w:hAnsi="仿宋" w:eastAsia="仿宋"/>
          <w:b w:val="0"/>
          <w:bCs/>
          <w:sz w:val="32"/>
          <w:szCs w:val="32"/>
        </w:rPr>
      </w:pPr>
      <w:r>
        <w:rPr>
          <w:rFonts w:hint="eastAsia" w:ascii="黑体" w:hAnsi="黑体" w:eastAsia="黑体"/>
          <w:b w:val="0"/>
          <w:bCs/>
          <w:sz w:val="32"/>
          <w:szCs w:val="32"/>
        </w:rPr>
        <w:t>第八部分：名词解释</w:t>
      </w:r>
    </w:p>
    <w:p>
      <w:pPr>
        <w:spacing w:line="500" w:lineRule="exact"/>
        <w:ind w:firstLine="640" w:firstLineChars="200"/>
        <w:jc w:val="left"/>
        <w:outlineLvl w:val="0"/>
        <w:rPr>
          <w:rFonts w:hint="eastAsia" w:ascii="仿宋_GB2312" w:hAnsi="仿宋" w:eastAsia="仿宋_GB2312"/>
          <w:b w:val="0"/>
          <w:bCs/>
          <w:sz w:val="32"/>
          <w:szCs w:val="32"/>
        </w:rPr>
      </w:pPr>
      <w:r>
        <w:rPr>
          <w:rFonts w:hint="eastAsia" w:ascii="仿宋_GB2312" w:hAnsi="仿宋" w:eastAsia="仿宋_GB2312"/>
          <w:b w:val="0"/>
          <w:bCs/>
          <w:sz w:val="32"/>
          <w:szCs w:val="32"/>
        </w:rPr>
        <w:t>1、财政拨款收入：指区级财政当年拨付的资金。</w:t>
      </w:r>
    </w:p>
    <w:p>
      <w:pPr>
        <w:spacing w:line="500" w:lineRule="exact"/>
        <w:ind w:firstLine="640" w:firstLineChars="200"/>
        <w:jc w:val="left"/>
        <w:outlineLvl w:val="0"/>
        <w:rPr>
          <w:rFonts w:hint="eastAsia" w:ascii="仿宋_GB2312" w:hAnsi="仿宋" w:eastAsia="仿宋_GB2312"/>
          <w:b w:val="0"/>
          <w:bCs/>
          <w:sz w:val="32"/>
          <w:szCs w:val="32"/>
        </w:rPr>
      </w:pPr>
      <w:r>
        <w:rPr>
          <w:rFonts w:hint="eastAsia" w:ascii="仿宋_GB2312" w:hAnsi="仿宋" w:eastAsia="仿宋_GB2312"/>
          <w:b w:val="0"/>
          <w:bCs/>
          <w:sz w:val="32"/>
          <w:szCs w:val="32"/>
        </w:rPr>
        <w:t>2、其他收入：指除上述“财政拨款收入”、“事业收入”等以外的收入。</w:t>
      </w:r>
    </w:p>
    <w:p>
      <w:pPr>
        <w:spacing w:line="500" w:lineRule="exact"/>
        <w:ind w:firstLine="640" w:firstLineChars="200"/>
        <w:jc w:val="left"/>
        <w:outlineLvl w:val="0"/>
        <w:rPr>
          <w:rFonts w:hint="eastAsia" w:ascii="仿宋_GB2312" w:hAnsi="仿宋" w:eastAsia="仿宋_GB2312"/>
          <w:b w:val="0"/>
          <w:bCs/>
          <w:sz w:val="32"/>
          <w:szCs w:val="32"/>
        </w:rPr>
      </w:pPr>
      <w:r>
        <w:rPr>
          <w:rFonts w:hint="eastAsia" w:ascii="仿宋_GB2312" w:hAnsi="仿宋" w:eastAsia="仿宋_GB2312"/>
          <w:b w:val="0"/>
          <w:bCs/>
          <w:sz w:val="32"/>
          <w:szCs w:val="32"/>
        </w:rPr>
        <w:t>3、基本支出：指为保障机构正常运转、完成日常工作任务而发生的人员支出和公用支出。</w:t>
      </w:r>
    </w:p>
    <w:p>
      <w:pPr>
        <w:spacing w:line="500" w:lineRule="exact"/>
        <w:ind w:firstLine="640" w:firstLineChars="200"/>
        <w:jc w:val="left"/>
        <w:outlineLvl w:val="0"/>
        <w:rPr>
          <w:rFonts w:hint="eastAsia" w:ascii="仿宋_GB2312" w:hAnsi="仿宋" w:eastAsia="仿宋_GB2312"/>
          <w:b w:val="0"/>
          <w:bCs/>
          <w:sz w:val="32"/>
          <w:szCs w:val="32"/>
        </w:rPr>
      </w:pPr>
      <w:r>
        <w:rPr>
          <w:rFonts w:hint="eastAsia" w:ascii="仿宋_GB2312" w:hAnsi="仿宋" w:eastAsia="仿宋_GB2312"/>
          <w:b w:val="0"/>
          <w:bCs/>
          <w:sz w:val="32"/>
          <w:szCs w:val="32"/>
        </w:rPr>
        <w:t>4、项目支出：指在基本支出之外为完成特定行政任务和事业发展目标所发生的支出。</w:t>
      </w:r>
    </w:p>
    <w:p>
      <w:pPr>
        <w:spacing w:line="560" w:lineRule="exact"/>
        <w:ind w:firstLine="640" w:firstLineChars="200"/>
        <w:jc w:val="left"/>
        <w:outlineLvl w:val="0"/>
        <w:rPr>
          <w:rFonts w:hint="eastAsia" w:ascii="仿宋_GB2312" w:hAnsi="仿宋" w:eastAsia="仿宋_GB2312"/>
          <w:b w:val="0"/>
          <w:bCs/>
          <w:sz w:val="32"/>
          <w:szCs w:val="32"/>
        </w:rPr>
      </w:pPr>
      <w:r>
        <w:rPr>
          <w:rFonts w:hint="eastAsia" w:ascii="仿宋_GB2312" w:hAnsi="仿宋" w:eastAsia="仿宋_GB2312"/>
          <w:b w:val="0"/>
          <w:bCs/>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800" w:firstLineChars="250"/>
        <w:rPr>
          <w:rFonts w:hint="eastAsia" w:ascii="仿宋_GB2312" w:hAnsi="仿宋" w:eastAsia="仿宋_GB2312"/>
          <w:b w:val="0"/>
          <w:bCs/>
          <w:sz w:val="32"/>
          <w:szCs w:val="32"/>
        </w:rPr>
      </w:pPr>
      <w:r>
        <w:rPr>
          <w:rFonts w:hint="eastAsia" w:ascii="仿宋_GB2312" w:hAnsi="仿宋" w:eastAsia="仿宋_GB2312"/>
          <w:b w:val="0"/>
          <w:bCs/>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00" w:firstLineChars="250"/>
        <w:rPr>
          <w:rFonts w:hint="eastAsia" w:ascii="黑体" w:hAnsi="黑体" w:eastAsia="黑体"/>
          <w:b w:val="0"/>
          <w:bCs/>
          <w:sz w:val="32"/>
          <w:szCs w:val="32"/>
        </w:rPr>
      </w:pPr>
      <w:r>
        <w:rPr>
          <w:rFonts w:hint="eastAsia" w:ascii="仿宋_GB2312" w:hAnsi="仿宋" w:eastAsia="仿宋_GB2312"/>
          <w:b w:val="0"/>
          <w:bCs/>
          <w:sz w:val="32"/>
          <w:szCs w:val="32"/>
        </w:rPr>
        <w:t>7、公务费：包括办公费、水电费、邮电费、取暖费、交通费、一般会议费和物业管理费之和。</w:t>
      </w:r>
    </w:p>
    <w:p>
      <w:pPr>
        <w:spacing w:line="500" w:lineRule="exact"/>
        <w:jc w:val="center"/>
        <w:outlineLvl w:val="0"/>
        <w:rPr>
          <w:rFonts w:hint="eastAsia" w:ascii="仿宋" w:hAnsi="仿宋" w:eastAsia="仿宋"/>
          <w:b w:val="0"/>
          <w:bCs/>
          <w:sz w:val="32"/>
          <w:szCs w:val="32"/>
        </w:rPr>
      </w:pPr>
      <w:r>
        <w:rPr>
          <w:rFonts w:hint="eastAsia" w:ascii="黑体" w:hAnsi="黑体" w:eastAsia="黑体"/>
          <w:b w:val="0"/>
          <w:bCs/>
          <w:sz w:val="32"/>
          <w:szCs w:val="32"/>
        </w:rPr>
        <w:t>第九部分：其他需说明的事项</w:t>
      </w:r>
    </w:p>
    <w:p>
      <w:pPr>
        <w:spacing w:line="500" w:lineRule="exact"/>
        <w:ind w:firstLine="640" w:firstLineChars="200"/>
        <w:jc w:val="left"/>
        <w:outlineLvl w:val="0"/>
        <w:rPr>
          <w:rFonts w:hint="eastAsia" w:ascii="仿宋_GB2312" w:hAnsi="黑体" w:eastAsia="仿宋_GB2312"/>
          <w:b w:val="0"/>
          <w:bCs/>
          <w:sz w:val="32"/>
          <w:szCs w:val="32"/>
        </w:rPr>
      </w:pPr>
      <w:r>
        <w:rPr>
          <w:rFonts w:hint="eastAsia" w:ascii="仿宋_GB2312" w:hAnsi="仿宋" w:eastAsia="仿宋_GB2312"/>
          <w:b w:val="0"/>
          <w:bCs/>
          <w:sz w:val="32"/>
          <w:szCs w:val="32"/>
        </w:rPr>
        <w:t>无其他需说明的事项。</w:t>
      </w:r>
    </w:p>
    <w:p>
      <w:pPr>
        <w:ind w:firstLine="800" w:firstLineChars="250"/>
        <w:rPr>
          <w:rFonts w:hint="eastAsia" w:ascii="仿宋" w:hAnsi="仿宋" w:eastAsia="仿宋"/>
          <w:b w:val="0"/>
          <w:bCs/>
          <w:sz w:val="32"/>
          <w:szCs w:val="32"/>
        </w:rPr>
      </w:pPr>
    </w:p>
    <w:p>
      <w:pPr>
        <w:rPr>
          <w:rFonts w:hint="eastAsia" w:ascii="仿宋" w:hAnsi="仿宋" w:eastAsia="仿宋"/>
          <w:b w:val="0"/>
          <w:bCs/>
          <w:sz w:val="32"/>
          <w:szCs w:val="32"/>
        </w:rPr>
      </w:pPr>
      <w:r>
        <w:rPr>
          <w:rFonts w:hint="eastAsia" w:ascii="仿宋" w:hAnsi="仿宋" w:eastAsia="仿宋"/>
          <w:b w:val="0"/>
          <w:bCs/>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6F8"/>
    <w:rsid w:val="00052414"/>
    <w:rsid w:val="00055CD9"/>
    <w:rsid w:val="0008496D"/>
    <w:rsid w:val="000965D0"/>
    <w:rsid w:val="000C535C"/>
    <w:rsid w:val="000E0D6E"/>
    <w:rsid w:val="000F5250"/>
    <w:rsid w:val="000F6FB9"/>
    <w:rsid w:val="0015437F"/>
    <w:rsid w:val="001938EB"/>
    <w:rsid w:val="001B0667"/>
    <w:rsid w:val="001C5C17"/>
    <w:rsid w:val="001D079C"/>
    <w:rsid w:val="002E2737"/>
    <w:rsid w:val="00375D9E"/>
    <w:rsid w:val="0039514F"/>
    <w:rsid w:val="0043756B"/>
    <w:rsid w:val="00461A24"/>
    <w:rsid w:val="00491B23"/>
    <w:rsid w:val="004C368B"/>
    <w:rsid w:val="004E2251"/>
    <w:rsid w:val="004F202D"/>
    <w:rsid w:val="005C54B6"/>
    <w:rsid w:val="005F1F79"/>
    <w:rsid w:val="00615783"/>
    <w:rsid w:val="00657DAE"/>
    <w:rsid w:val="00667DCD"/>
    <w:rsid w:val="006F44BC"/>
    <w:rsid w:val="007917B6"/>
    <w:rsid w:val="007A2612"/>
    <w:rsid w:val="007B1568"/>
    <w:rsid w:val="007F34A3"/>
    <w:rsid w:val="007F3652"/>
    <w:rsid w:val="00801A49"/>
    <w:rsid w:val="00803289"/>
    <w:rsid w:val="00871FB2"/>
    <w:rsid w:val="00876406"/>
    <w:rsid w:val="008A7D17"/>
    <w:rsid w:val="009354C6"/>
    <w:rsid w:val="00943439"/>
    <w:rsid w:val="00954C89"/>
    <w:rsid w:val="00973DD2"/>
    <w:rsid w:val="00A50B6D"/>
    <w:rsid w:val="00AB3D8B"/>
    <w:rsid w:val="00AB5EC1"/>
    <w:rsid w:val="00B43097"/>
    <w:rsid w:val="00B910F0"/>
    <w:rsid w:val="00BA7252"/>
    <w:rsid w:val="00BB0341"/>
    <w:rsid w:val="00BB328C"/>
    <w:rsid w:val="00C01A57"/>
    <w:rsid w:val="00C12953"/>
    <w:rsid w:val="00C70D36"/>
    <w:rsid w:val="00C917ED"/>
    <w:rsid w:val="00CA7FA9"/>
    <w:rsid w:val="00CD5F5A"/>
    <w:rsid w:val="00CE0231"/>
    <w:rsid w:val="00D65046"/>
    <w:rsid w:val="00DF736B"/>
    <w:rsid w:val="00E14F6D"/>
    <w:rsid w:val="00E64F83"/>
    <w:rsid w:val="00E668C3"/>
    <w:rsid w:val="00EC32B2"/>
    <w:rsid w:val="00EE17ED"/>
    <w:rsid w:val="00EF2396"/>
    <w:rsid w:val="00F333C2"/>
    <w:rsid w:val="00F73122"/>
    <w:rsid w:val="00FC4B3D"/>
    <w:rsid w:val="07987CB7"/>
    <w:rsid w:val="1057360A"/>
    <w:rsid w:val="5D847072"/>
    <w:rsid w:val="6AAB79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Indent"/>
    <w:basedOn w:val="1"/>
    <w:link w:val="10"/>
    <w:uiPriority w:val="0"/>
    <w:pPr>
      <w:spacing w:line="420" w:lineRule="exact"/>
      <w:ind w:firstLine="630"/>
    </w:pPr>
    <w:rPr>
      <w:rFonts w:ascii="Times New Roman" w:hAnsi="Times New Roman" w:eastAsia="仿宋_GB2312"/>
      <w:sz w:val="32"/>
      <w:szCs w:val="24"/>
    </w:rPr>
  </w:style>
  <w:style w:type="paragraph" w:styleId="3">
    <w:name w:val="Balloon Text"/>
    <w:basedOn w:val="1"/>
    <w:link w:val="11"/>
    <w:uiPriority w:val="0"/>
    <w:rPr>
      <w:sz w:val="18"/>
      <w:szCs w:val="18"/>
    </w:rPr>
  </w:style>
  <w:style w:type="paragraph" w:styleId="4">
    <w:name w:val="footer"/>
    <w:basedOn w:val="1"/>
    <w:link w:val="12"/>
    <w:uiPriority w:val="0"/>
    <w:pPr>
      <w:tabs>
        <w:tab w:val="center" w:pos="4153"/>
        <w:tab w:val="right" w:pos="8306"/>
      </w:tabs>
      <w:snapToGrid w:val="0"/>
      <w:jc w:val="left"/>
    </w:pPr>
    <w:rPr>
      <w:kern w:val="0"/>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iPriority w:val="0"/>
  </w:style>
  <w:style w:type="paragraph" w:styleId="7">
    <w:name w:val="toc 2"/>
    <w:basedOn w:val="1"/>
    <w:next w:val="1"/>
    <w:uiPriority w:val="0"/>
    <w:pPr>
      <w:ind w:left="420" w:leftChars="200"/>
    </w:pPr>
  </w:style>
  <w:style w:type="character" w:customStyle="1" w:styleId="10">
    <w:name w:val="正文文本缩进 Char"/>
    <w:link w:val="2"/>
    <w:uiPriority w:val="0"/>
    <w:rPr>
      <w:rFonts w:ascii="Times New Roman" w:hAnsi="Times New Roman" w:eastAsia="仿宋_GB2312"/>
      <w:kern w:val="2"/>
      <w:sz w:val="32"/>
      <w:szCs w:val="24"/>
    </w:rPr>
  </w:style>
  <w:style w:type="character" w:customStyle="1" w:styleId="11">
    <w:name w:val="批注框文本 Char"/>
    <w:link w:val="3"/>
    <w:uiPriority w:val="0"/>
    <w:rPr>
      <w:kern w:val="2"/>
      <w:sz w:val="18"/>
      <w:szCs w:val="18"/>
    </w:rPr>
  </w:style>
  <w:style w:type="character" w:customStyle="1" w:styleId="12">
    <w:name w:val="页脚 Char"/>
    <w:link w:val="4"/>
    <w:uiPriority w:val="0"/>
    <w:rPr>
      <w:sz w:val="18"/>
      <w:szCs w:val="18"/>
    </w:rPr>
  </w:style>
  <w:style w:type="character" w:customStyle="1" w:styleId="13">
    <w:name w:val="页眉 Char"/>
    <w:link w:val="5"/>
    <w:uiPriority w:val="0"/>
    <w:rPr>
      <w:sz w:val="18"/>
      <w:szCs w:val="18"/>
    </w:rPr>
  </w:style>
  <w:style w:type="paragraph" w:customStyle="1" w:styleId="14">
    <w:name w:val="[Normal]"/>
    <w:uiPriority w:val="0"/>
    <w:pPr>
      <w:widowControl w:val="0"/>
      <w:autoSpaceDE w:val="0"/>
      <w:autoSpaceDN w:val="0"/>
      <w:adjustRightInd w:val="0"/>
    </w:pPr>
    <w:rPr>
      <w:rFonts w:ascii="宋体" w:hAnsi="Times New Roman" w:cs="宋体"/>
      <w:sz w:val="24"/>
      <w:szCs w:val="24"/>
      <w:lang w:val="en-US" w:eastAsia="zh-CN" w:bidi="ar-SA"/>
    </w:rPr>
  </w:style>
  <w:style w:type="paragraph" w:styleId="15">
    <w:name w:val="List Paragraph"/>
    <w:basedOn w:val="1"/>
    <w:qFormat/>
    <w:uiPriority w:val="0"/>
    <w:pPr>
      <w:widowControl/>
      <w:adjustRightInd w:val="0"/>
      <w:snapToGrid w:val="0"/>
      <w:spacing w:after="200" w:afterLines="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522</Words>
  <Characters>2982</Characters>
  <Lines>24</Lines>
  <Paragraphs>6</Paragraphs>
  <TotalTime>4</TotalTime>
  <ScaleCrop>false</ScaleCrop>
  <LinksUpToDate>false</LinksUpToDate>
  <CharactersWithSpaces>3498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2020-02-14T09:56:00Z</dcterms:created>
  <dc:creator>suix</dc:creator>
  <cp:lastModifiedBy>Administrator</cp:lastModifiedBy>
  <cp:lastPrinted>2017-06-21T08:26:00Z</cp:lastPrinted>
  <dcterms:modified xsi:type="dcterms:W3CDTF">2024-01-11T08:57:34Z</dcterms:modified>
  <dc:title>中共保定市满城区委统战部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C39D6BA2A1CA447E800C7A70E0EA01A9</vt:lpwstr>
  </property>
</Properties>
</file>