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保定市满城区文物管理所</w:t>
      </w:r>
    </w:p>
    <w:p>
      <w:pPr>
        <w:jc w:val="center"/>
        <w:rPr>
          <w:rFonts w:ascii="宋体" w:hAnsi="宋体"/>
          <w:b/>
          <w:sz w:val="44"/>
          <w:szCs w:val="44"/>
        </w:rPr>
      </w:pPr>
      <w:r>
        <w:rPr>
          <w:rFonts w:hint="eastAsia" w:ascii="宋体" w:hAnsi="宋体"/>
          <w:b/>
          <w:sz w:val="44"/>
          <w:szCs w:val="44"/>
        </w:rPr>
        <w:t>2019年部门预算信息公开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宋体" w:hAnsi="宋体" w:cs="仿宋_GB2312"/>
          <w:sz w:val="32"/>
          <w:szCs w:val="32"/>
        </w:rPr>
      </w:pPr>
      <w:r>
        <w:rPr>
          <w:rFonts w:hint="eastAsia" w:ascii="宋体" w:hAnsi="宋体" w:cs="仿宋_GB2312"/>
          <w:sz w:val="32"/>
          <w:szCs w:val="32"/>
        </w:rPr>
        <w:t>按照</w:t>
      </w:r>
      <w:bookmarkStart w:id="1" w:name="_GoBack"/>
      <w:bookmarkEnd w:id="1"/>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规定，现将保定市满城区文物管理所2019年部门预算公开如下：</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ascii="宋体" w:hAnsi="宋体"/>
          <w:sz w:val="32"/>
          <w:szCs w:val="32"/>
        </w:rPr>
      </w:pPr>
    </w:p>
    <w:p>
      <w:pPr>
        <w:ind w:firstLine="643" w:firstLineChars="200"/>
        <w:rPr>
          <w:rFonts w:ascii="宋体" w:hAnsi="宋体"/>
          <w:b/>
          <w:sz w:val="32"/>
          <w:szCs w:val="32"/>
        </w:rPr>
      </w:pPr>
      <w:r>
        <w:rPr>
          <w:rFonts w:hint="eastAsia" w:ascii="宋体" w:hAnsi="宋体"/>
          <w:b/>
          <w:sz w:val="32"/>
          <w:szCs w:val="32"/>
        </w:rPr>
        <w:t>一、部门职责</w:t>
      </w:r>
    </w:p>
    <w:p>
      <w:pPr>
        <w:widowControl/>
        <w:spacing w:line="540" w:lineRule="exact"/>
        <w:ind w:firstLine="640" w:firstLineChars="200"/>
        <w:rPr>
          <w:rFonts w:ascii="宋体" w:hAnsi="宋体" w:cs="宋体"/>
          <w:kern w:val="0"/>
          <w:sz w:val="24"/>
          <w:szCs w:val="24"/>
        </w:rPr>
      </w:pPr>
      <w:r>
        <w:rPr>
          <w:rFonts w:hint="eastAsia" w:ascii="宋体" w:hAnsi="宋体" w:cs="宋体"/>
          <w:kern w:val="0"/>
          <w:sz w:val="32"/>
          <w:szCs w:val="32"/>
        </w:rPr>
        <w:t>保定市满城区文物管理所由事业编制组成。</w:t>
      </w:r>
      <w:r>
        <w:rPr>
          <w:rFonts w:hint="eastAsia" w:ascii="宋体" w:hAnsi="宋体"/>
          <w:sz w:val="32"/>
          <w:szCs w:val="32"/>
        </w:rPr>
        <w:t>根据《保定市满城区文物管理所职能配置、内设机构和人员编制方案》</w:t>
      </w:r>
      <w:r>
        <w:rPr>
          <w:rFonts w:hint="eastAsia" w:ascii="宋体" w:hAnsi="宋体" w:cs="宋体"/>
          <w:kern w:val="0"/>
          <w:sz w:val="32"/>
          <w:szCs w:val="32"/>
        </w:rPr>
        <w:t>的通知要求，满城区文物管理所主要职责是：</w:t>
      </w:r>
    </w:p>
    <w:p>
      <w:pPr>
        <w:spacing w:line="480" w:lineRule="exact"/>
        <w:ind w:firstLine="560"/>
        <w:rPr>
          <w:rFonts w:ascii="宋体" w:hAnsi="宋体"/>
          <w:sz w:val="32"/>
          <w:szCs w:val="32"/>
        </w:rPr>
      </w:pPr>
      <w:r>
        <w:rPr>
          <w:rFonts w:hint="eastAsia" w:ascii="方正仿宋_GBK" w:eastAsia="方正仿宋_GBK"/>
          <w:sz w:val="32"/>
          <w:szCs w:val="32"/>
        </w:rPr>
        <w:t>负责全区行政区域内的文物业务工作；负责对全区范围内各级文物保护单位保护、管理工作；负责对地上、地下文物以及古建筑、古刻、古代艺术品的收集、修复、鉴定、保护、管理工作；负责并指导在基本建设中地下文物勘探；负责文物市场执法，宣传贯彻《中华人民共和国文物保护法》以及有关的法律、法规；负责全区文物的安全保卫工作。</w:t>
      </w:r>
    </w:p>
    <w:p>
      <w:pPr>
        <w:widowControl/>
        <w:spacing w:line="540" w:lineRule="exact"/>
        <w:ind w:firstLine="480" w:firstLineChars="200"/>
        <w:rPr>
          <w:rFonts w:ascii="宋体" w:hAnsi="宋体" w:cs="宋体"/>
          <w:kern w:val="0"/>
          <w:sz w:val="24"/>
          <w:szCs w:val="24"/>
        </w:rPr>
      </w:pPr>
    </w:p>
    <w:p>
      <w:pPr>
        <w:spacing w:line="620" w:lineRule="exact"/>
        <w:ind w:firstLine="643" w:firstLineChars="200"/>
        <w:rPr>
          <w:rFonts w:ascii="宋体" w:hAnsi="宋体"/>
          <w:b/>
          <w:bCs/>
          <w:sz w:val="32"/>
          <w:szCs w:val="32"/>
        </w:rPr>
      </w:pPr>
      <w:r>
        <w:rPr>
          <w:rFonts w:hint="eastAsia" w:ascii="宋体" w:hAnsi="宋体"/>
          <w:b/>
          <w:bCs/>
          <w:sz w:val="32"/>
          <w:szCs w:val="32"/>
        </w:rPr>
        <w:t>二、机构设置</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2127"/>
        <w:gridCol w:w="1984"/>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2376" w:type="dxa"/>
            <w:noWrap w:val="0"/>
            <w:vAlign w:val="top"/>
          </w:tcPr>
          <w:p>
            <w:pPr>
              <w:jc w:val="center"/>
              <w:rPr>
                <w:rFonts w:ascii="宋体" w:hAnsi="宋体"/>
                <w:sz w:val="24"/>
                <w:szCs w:val="24"/>
              </w:rPr>
            </w:pPr>
            <w:r>
              <w:rPr>
                <w:rFonts w:hint="eastAsia" w:ascii="宋体" w:hAnsi="宋体"/>
                <w:sz w:val="24"/>
                <w:szCs w:val="24"/>
              </w:rPr>
              <w:t>单位名称</w:t>
            </w:r>
          </w:p>
        </w:tc>
        <w:tc>
          <w:tcPr>
            <w:tcW w:w="2127" w:type="dxa"/>
            <w:noWrap w:val="0"/>
            <w:vAlign w:val="top"/>
          </w:tcPr>
          <w:p>
            <w:pPr>
              <w:jc w:val="center"/>
              <w:rPr>
                <w:rFonts w:ascii="宋体" w:hAnsi="宋体"/>
                <w:sz w:val="24"/>
                <w:szCs w:val="24"/>
              </w:rPr>
            </w:pPr>
            <w:r>
              <w:rPr>
                <w:rFonts w:hint="eastAsia" w:ascii="宋体" w:hAnsi="宋体"/>
                <w:sz w:val="24"/>
                <w:szCs w:val="24"/>
              </w:rPr>
              <w:t>单位性质</w:t>
            </w:r>
          </w:p>
        </w:tc>
        <w:tc>
          <w:tcPr>
            <w:tcW w:w="1984" w:type="dxa"/>
            <w:noWrap w:val="0"/>
            <w:vAlign w:val="top"/>
          </w:tcPr>
          <w:p>
            <w:pPr>
              <w:jc w:val="center"/>
              <w:rPr>
                <w:rFonts w:ascii="宋体" w:hAnsi="宋体"/>
                <w:sz w:val="24"/>
                <w:szCs w:val="24"/>
              </w:rPr>
            </w:pPr>
            <w:r>
              <w:rPr>
                <w:rFonts w:hint="eastAsia" w:ascii="宋体" w:hAnsi="宋体"/>
                <w:sz w:val="24"/>
                <w:szCs w:val="24"/>
              </w:rPr>
              <w:t>单位规格</w:t>
            </w:r>
          </w:p>
        </w:tc>
        <w:tc>
          <w:tcPr>
            <w:tcW w:w="3119" w:type="dxa"/>
            <w:noWrap w:val="0"/>
            <w:vAlign w:val="top"/>
          </w:tcPr>
          <w:p>
            <w:pPr>
              <w:jc w:val="center"/>
              <w:rPr>
                <w:rFonts w:ascii="宋体" w:hAnsi="宋体"/>
                <w:sz w:val="24"/>
                <w:szCs w:val="24"/>
              </w:rPr>
            </w:pPr>
            <w:r>
              <w:rPr>
                <w:rFonts w:hint="eastAsia" w:ascii="宋体" w:hAnsi="宋体"/>
                <w:sz w:val="24"/>
                <w:szCs w:val="24"/>
              </w:rPr>
              <w:t>经费保障形式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376" w:type="dxa"/>
            <w:noWrap w:val="0"/>
            <w:vAlign w:val="top"/>
          </w:tcPr>
          <w:p>
            <w:pPr>
              <w:ind w:firstLine="360" w:firstLineChars="150"/>
              <w:jc w:val="center"/>
              <w:rPr>
                <w:rFonts w:ascii="宋体" w:hAnsi="宋体"/>
                <w:sz w:val="24"/>
                <w:szCs w:val="24"/>
              </w:rPr>
            </w:pPr>
            <w:r>
              <w:rPr>
                <w:rFonts w:hint="eastAsia" w:ascii="宋体" w:hAnsi="宋体"/>
                <w:sz w:val="24"/>
                <w:szCs w:val="24"/>
              </w:rPr>
              <w:t>中共保定市</w:t>
            </w:r>
          </w:p>
          <w:p>
            <w:pPr>
              <w:jc w:val="center"/>
              <w:rPr>
                <w:rFonts w:ascii="宋体" w:hAnsi="宋体"/>
                <w:sz w:val="24"/>
                <w:szCs w:val="24"/>
              </w:rPr>
            </w:pPr>
            <w:r>
              <w:rPr>
                <w:rFonts w:hint="eastAsia" w:ascii="宋体" w:hAnsi="宋体"/>
                <w:sz w:val="24"/>
                <w:szCs w:val="24"/>
              </w:rPr>
              <w:t>满城区文物管理所</w:t>
            </w:r>
          </w:p>
        </w:tc>
        <w:tc>
          <w:tcPr>
            <w:tcW w:w="2127" w:type="dxa"/>
            <w:noWrap w:val="0"/>
            <w:vAlign w:val="top"/>
          </w:tcPr>
          <w:p>
            <w:pPr>
              <w:jc w:val="center"/>
              <w:rPr>
                <w:rFonts w:ascii="宋体" w:hAnsi="宋体"/>
                <w:sz w:val="24"/>
                <w:szCs w:val="24"/>
              </w:rPr>
            </w:pPr>
            <w:r>
              <w:rPr>
                <w:rFonts w:hint="eastAsia" w:ascii="宋体" w:hAnsi="宋体"/>
                <w:sz w:val="24"/>
                <w:szCs w:val="24"/>
              </w:rPr>
              <w:t>事业</w:t>
            </w:r>
          </w:p>
        </w:tc>
        <w:tc>
          <w:tcPr>
            <w:tcW w:w="1984" w:type="dxa"/>
            <w:noWrap w:val="0"/>
            <w:vAlign w:val="top"/>
          </w:tcPr>
          <w:p>
            <w:pPr>
              <w:jc w:val="center"/>
              <w:rPr>
                <w:rFonts w:ascii="宋体" w:hAnsi="宋体"/>
                <w:sz w:val="24"/>
                <w:szCs w:val="24"/>
              </w:rPr>
            </w:pPr>
            <w:r>
              <w:rPr>
                <w:rFonts w:hint="eastAsia" w:ascii="宋体" w:hAnsi="宋体"/>
                <w:sz w:val="24"/>
                <w:szCs w:val="24"/>
              </w:rPr>
              <w:t>股级</w:t>
            </w:r>
          </w:p>
        </w:tc>
        <w:tc>
          <w:tcPr>
            <w:tcW w:w="3119" w:type="dxa"/>
            <w:noWrap w:val="0"/>
            <w:vAlign w:val="top"/>
          </w:tcPr>
          <w:p>
            <w:pPr>
              <w:jc w:val="center"/>
              <w:rPr>
                <w:rFonts w:ascii="宋体" w:hAnsi="宋体"/>
                <w:sz w:val="24"/>
                <w:szCs w:val="24"/>
              </w:rPr>
            </w:pPr>
            <w:r>
              <w:rPr>
                <w:rFonts w:hint="eastAsia" w:ascii="宋体" w:hAnsi="宋体"/>
                <w:sz w:val="24"/>
                <w:szCs w:val="24"/>
              </w:rPr>
              <w:t>财政性资金基本保证</w:t>
            </w:r>
          </w:p>
        </w:tc>
      </w:tr>
    </w:tbl>
    <w:p>
      <w:pPr>
        <w:spacing w:line="620" w:lineRule="exact"/>
        <w:ind w:firstLine="643" w:firstLineChars="200"/>
        <w:rPr>
          <w:rFonts w:ascii="宋体" w:hAnsi="宋体"/>
          <w:b/>
          <w:bCs/>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第二部分：部门预算安排的总体情况</w:t>
      </w:r>
    </w:p>
    <w:p>
      <w:pPr>
        <w:ind w:firstLine="800" w:firstLineChars="250"/>
        <w:rPr>
          <w:rFonts w:ascii="宋体" w:hAnsi="宋体"/>
          <w:sz w:val="32"/>
          <w:szCs w:val="32"/>
        </w:rPr>
      </w:pPr>
    </w:p>
    <w:p>
      <w:pPr>
        <w:ind w:firstLine="630" w:firstLineChars="196"/>
        <w:rPr>
          <w:rFonts w:ascii="宋体" w:hAnsi="宋体"/>
          <w:b/>
          <w:sz w:val="32"/>
          <w:szCs w:val="32"/>
        </w:rPr>
      </w:pPr>
      <w:r>
        <w:rPr>
          <w:rFonts w:hint="eastAsia" w:ascii="宋体" w:hAnsi="宋体"/>
          <w:b/>
          <w:sz w:val="32"/>
          <w:szCs w:val="32"/>
        </w:rPr>
        <w:t>一、收入说明</w:t>
      </w:r>
    </w:p>
    <w:p>
      <w:pPr>
        <w:ind w:firstLine="630" w:firstLineChars="196"/>
        <w:rPr>
          <w:rFonts w:ascii="宋体" w:hAnsi="宋体"/>
          <w:b/>
          <w:sz w:val="32"/>
          <w:szCs w:val="32"/>
        </w:rPr>
      </w:pPr>
    </w:p>
    <w:p>
      <w:pPr>
        <w:ind w:firstLine="640" w:firstLineChars="200"/>
        <w:rPr>
          <w:rFonts w:ascii="宋体" w:hAnsi="宋体"/>
          <w:sz w:val="32"/>
          <w:szCs w:val="32"/>
        </w:rPr>
      </w:pPr>
      <w:r>
        <w:rPr>
          <w:rFonts w:hint="eastAsia" w:ascii="宋体" w:hAnsi="宋体"/>
          <w:sz w:val="32"/>
          <w:szCs w:val="32"/>
        </w:rPr>
        <w:t>2019年文物管理所及所属事业单位年初部门收入预算总额为32.4万元。其中：一般公共预算收入32.4万元。</w:t>
      </w:r>
    </w:p>
    <w:p>
      <w:pPr>
        <w:ind w:firstLine="640" w:firstLineChars="200"/>
        <w:rPr>
          <w:rFonts w:ascii="宋体" w:hAnsi="宋体"/>
          <w:sz w:val="32"/>
          <w:szCs w:val="32"/>
        </w:rPr>
      </w:pPr>
    </w:p>
    <w:p>
      <w:pPr>
        <w:ind w:firstLine="643" w:firstLineChars="200"/>
        <w:rPr>
          <w:rFonts w:ascii="宋体" w:hAnsi="宋体"/>
          <w:b/>
          <w:sz w:val="32"/>
          <w:szCs w:val="32"/>
        </w:rPr>
      </w:pPr>
      <w:r>
        <w:rPr>
          <w:rFonts w:hint="eastAsia" w:ascii="宋体" w:hAnsi="宋体"/>
          <w:b/>
          <w:sz w:val="32"/>
          <w:szCs w:val="32"/>
        </w:rPr>
        <w:t>二、支出说明</w:t>
      </w:r>
    </w:p>
    <w:p>
      <w:pPr>
        <w:ind w:firstLine="643" w:firstLineChars="200"/>
        <w:rPr>
          <w:rFonts w:ascii="宋体" w:hAnsi="宋体"/>
          <w:b/>
          <w:sz w:val="32"/>
          <w:szCs w:val="32"/>
        </w:rPr>
      </w:pPr>
    </w:p>
    <w:p>
      <w:pPr>
        <w:ind w:firstLine="640" w:firstLineChars="200"/>
        <w:rPr>
          <w:rFonts w:ascii="宋体" w:hAnsi="宋体"/>
          <w:sz w:val="32"/>
          <w:szCs w:val="32"/>
        </w:rPr>
      </w:pPr>
      <w:r>
        <w:rPr>
          <w:rFonts w:hint="eastAsia" w:ascii="宋体" w:hAnsi="宋体"/>
          <w:sz w:val="32"/>
          <w:szCs w:val="32"/>
        </w:rPr>
        <w:t>2019年部门支出安排预算总额：32.4万元</w:t>
      </w:r>
    </w:p>
    <w:p>
      <w:pPr>
        <w:ind w:firstLine="640" w:firstLineChars="200"/>
        <w:rPr>
          <w:rFonts w:ascii="宋体" w:hAnsi="宋体"/>
          <w:sz w:val="32"/>
          <w:szCs w:val="32"/>
        </w:rPr>
      </w:pPr>
      <w:r>
        <w:rPr>
          <w:rFonts w:hint="eastAsia" w:ascii="宋体" w:hAnsi="宋体"/>
          <w:sz w:val="32"/>
          <w:szCs w:val="32"/>
        </w:rPr>
        <w:t xml:space="preserve">    基本支出32.4万元</w:t>
      </w:r>
    </w:p>
    <w:p>
      <w:pPr>
        <w:ind w:firstLine="640" w:firstLineChars="200"/>
        <w:rPr>
          <w:rFonts w:ascii="宋体" w:hAnsi="宋体"/>
          <w:sz w:val="32"/>
          <w:szCs w:val="32"/>
        </w:rPr>
      </w:pPr>
      <w:r>
        <w:rPr>
          <w:rFonts w:hint="eastAsia" w:ascii="宋体" w:hAnsi="宋体"/>
          <w:sz w:val="32"/>
          <w:szCs w:val="32"/>
        </w:rPr>
        <w:t xml:space="preserve">    其中： 人员经费30.16万元</w:t>
      </w:r>
    </w:p>
    <w:p>
      <w:pPr>
        <w:ind w:firstLine="640" w:firstLineChars="200"/>
        <w:rPr>
          <w:rFonts w:ascii="宋体" w:hAnsi="宋体"/>
          <w:sz w:val="32"/>
          <w:szCs w:val="32"/>
        </w:rPr>
      </w:pPr>
      <w:r>
        <w:rPr>
          <w:rFonts w:hint="eastAsia" w:ascii="宋体" w:hAnsi="宋体"/>
          <w:sz w:val="32"/>
          <w:szCs w:val="32"/>
        </w:rPr>
        <w:t xml:space="preserve">           日常公用经费 2.24万元</w:t>
      </w:r>
    </w:p>
    <w:p>
      <w:pPr>
        <w:ind w:firstLine="630" w:firstLineChars="196"/>
        <w:rPr>
          <w:rFonts w:ascii="宋体" w:hAnsi="宋体"/>
          <w:b/>
          <w:sz w:val="32"/>
          <w:szCs w:val="32"/>
        </w:rPr>
      </w:pPr>
      <w:r>
        <w:rPr>
          <w:rFonts w:hint="eastAsia" w:ascii="宋体" w:hAnsi="宋体"/>
          <w:b/>
          <w:sz w:val="32"/>
          <w:szCs w:val="32"/>
        </w:rPr>
        <w:t>三、比上年增减情况</w:t>
      </w:r>
    </w:p>
    <w:p>
      <w:pPr>
        <w:ind w:firstLine="800" w:firstLineChars="250"/>
        <w:rPr>
          <w:rFonts w:ascii="宋体" w:hAnsi="宋体"/>
          <w:sz w:val="32"/>
          <w:szCs w:val="32"/>
        </w:rPr>
      </w:pPr>
    </w:p>
    <w:p>
      <w:pPr>
        <w:ind w:firstLine="640" w:firstLineChars="200"/>
        <w:rPr>
          <w:rFonts w:ascii="宋体" w:hAnsi="宋体"/>
          <w:sz w:val="32"/>
          <w:szCs w:val="32"/>
        </w:rPr>
      </w:pPr>
      <w:r>
        <w:rPr>
          <w:rFonts w:hint="eastAsia" w:ascii="宋体" w:hAnsi="宋体" w:cs="宋体"/>
          <w:kern w:val="0"/>
          <w:sz w:val="32"/>
          <w:szCs w:val="32"/>
        </w:rPr>
        <w:t>2019年文物管理所基本支出32.4万元，与2018年预算比减少6.91万元,主要原因</w:t>
      </w:r>
      <w:r>
        <w:rPr>
          <w:rFonts w:hint="eastAsia" w:ascii="宋体" w:hAnsi="宋体"/>
          <w:sz w:val="32"/>
          <w:szCs w:val="32"/>
        </w:rPr>
        <w:t>为2018年10月有退休人员。</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2019年文物管理所基本支出32.4万元，低于2018年决算136.42万元，主要原因为没有纳入财政预算文物保护专项经费。</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2019年我所的各项支出以将全面贯彻党和国家的有关政策、认真遵守财经纪律为准则，严格按预算规定的标准、用途执行，做到经费按进度，专款要专用，力争全面提高文物管理所资金的使用效率。</w:t>
      </w:r>
    </w:p>
    <w:p>
      <w:pPr>
        <w:spacing w:line="500" w:lineRule="exact"/>
        <w:ind w:firstLine="630" w:firstLineChars="196"/>
        <w:jc w:val="left"/>
        <w:outlineLvl w:val="0"/>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第三部分：机关运行经费安排情况</w:t>
      </w:r>
    </w:p>
    <w:p>
      <w:pPr>
        <w:ind w:firstLine="643" w:firstLineChars="200"/>
        <w:jc w:val="center"/>
        <w:rPr>
          <w:rFonts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2019年行政运行经费安排0.2万元，其中办公费0.12万元，公务接待费0.08万元。</w:t>
      </w: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5"/>
        <w:tblW w:w="0" w:type="auto"/>
        <w:tblInd w:w="534" w:type="dxa"/>
        <w:tblLayout w:type="fixed"/>
        <w:tblCellMar>
          <w:top w:w="0" w:type="dxa"/>
          <w:left w:w="108" w:type="dxa"/>
          <w:bottom w:w="0" w:type="dxa"/>
          <w:right w:w="108" w:type="dxa"/>
        </w:tblCellMar>
      </w:tblPr>
      <w:tblGrid>
        <w:gridCol w:w="2268"/>
        <w:gridCol w:w="911"/>
        <w:gridCol w:w="931"/>
        <w:gridCol w:w="646"/>
        <w:gridCol w:w="672"/>
        <w:gridCol w:w="383"/>
        <w:gridCol w:w="1418"/>
        <w:gridCol w:w="1134"/>
        <w:gridCol w:w="567"/>
      </w:tblGrid>
      <w:tr>
        <w:tblPrEx>
          <w:tblCellMar>
            <w:top w:w="0" w:type="dxa"/>
            <w:left w:w="108" w:type="dxa"/>
            <w:bottom w:w="0" w:type="dxa"/>
            <w:right w:w="108" w:type="dxa"/>
          </w:tblCellMar>
        </w:tblPrEx>
        <w:trPr>
          <w:gridAfter w:val="1"/>
          <w:wBefore w:w="0" w:type="dxa"/>
          <w:wAfter w:w="567" w:type="dxa"/>
          <w:trHeight w:val="405" w:hRule="atLeast"/>
        </w:trPr>
        <w:tc>
          <w:tcPr>
            <w:tcW w:w="8363" w:type="dxa"/>
            <w:gridSpan w:val="8"/>
            <w:noWrap w:val="0"/>
            <w:vAlign w:val="center"/>
          </w:tcPr>
          <w:p>
            <w:pPr>
              <w:widowControl/>
              <w:spacing w:before="100" w:beforeAutospacing="1" w:after="100" w:afterAutospacing="1"/>
              <w:ind w:firstLine="160" w:firstLineChars="50"/>
              <w:rPr>
                <w:rFonts w:ascii="宋体" w:hAnsi="宋体" w:cs="宋体"/>
                <w:color w:val="000000"/>
                <w:kern w:val="0"/>
                <w:sz w:val="24"/>
                <w:szCs w:val="24"/>
              </w:rPr>
            </w:pPr>
            <w:r>
              <w:rPr>
                <w:rFonts w:hint="eastAsia" w:ascii="宋体" w:hAnsi="宋体"/>
                <w:sz w:val="32"/>
                <w:szCs w:val="32"/>
              </w:rPr>
              <w:t>我单位财政拨款无“三公”经费</w:t>
            </w:r>
          </w:p>
        </w:tc>
      </w:tr>
      <w:tr>
        <w:tblPrEx>
          <w:tblCellMar>
            <w:top w:w="0" w:type="dxa"/>
            <w:left w:w="108" w:type="dxa"/>
            <w:bottom w:w="0" w:type="dxa"/>
            <w:right w:w="108" w:type="dxa"/>
          </w:tblCellMar>
        </w:tblPrEx>
        <w:trPr>
          <w:gridAfter w:val="1"/>
          <w:wBefore w:w="0" w:type="dxa"/>
          <w:wAfter w:w="567" w:type="dxa"/>
          <w:trHeight w:val="285" w:hRule="atLeast"/>
        </w:trPr>
        <w:tc>
          <w:tcPr>
            <w:tcW w:w="2268"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911"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72"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935" w:type="dxa"/>
            <w:gridSpan w:val="3"/>
            <w:noWrap w:val="0"/>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wBefore w:w="0" w:type="dxa"/>
          <w:trHeight w:val="688" w:hRule="atLeast"/>
        </w:trPr>
        <w:tc>
          <w:tcPr>
            <w:tcW w:w="226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1842" w:type="dxa"/>
            <w:gridSpan w:val="2"/>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2018年度预算</w:t>
            </w:r>
          </w:p>
        </w:tc>
        <w:tc>
          <w:tcPr>
            <w:tcW w:w="1701" w:type="dxa"/>
            <w:gridSpan w:val="3"/>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2019年度预算</w:t>
            </w:r>
          </w:p>
        </w:tc>
        <w:tc>
          <w:tcPr>
            <w:tcW w:w="1418"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1701" w:type="dxa"/>
            <w:gridSpan w:val="2"/>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wBefore w:w="0" w:type="dxa"/>
          <w:trHeight w:val="398"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因公出国经费</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wBefore w:w="0" w:type="dxa"/>
          <w:trHeight w:val="292"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wBefore w:w="0" w:type="dxa"/>
          <w:trHeight w:val="382"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wBefore w:w="0" w:type="dxa"/>
          <w:trHeight w:val="259"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wBefore w:w="0" w:type="dxa"/>
          <w:trHeight w:val="364"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pStyle w:val="4"/>
              <w:rPr>
                <w:rFonts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无增减变化</w:t>
            </w:r>
          </w:p>
        </w:tc>
      </w:tr>
    </w:tbl>
    <w:p>
      <w:pPr>
        <w:spacing w:line="240" w:lineRule="exact"/>
        <w:ind w:firstLine="630" w:firstLineChars="196"/>
        <w:jc w:val="center"/>
        <w:outlineLvl w:val="0"/>
        <w:rPr>
          <w:rFonts w:ascii="宋体" w:hAnsi="宋体"/>
          <w:b/>
          <w:sz w:val="32"/>
          <w:szCs w:val="32"/>
        </w:rPr>
      </w:pPr>
    </w:p>
    <w:p>
      <w:pPr>
        <w:spacing w:line="440" w:lineRule="exact"/>
        <w:ind w:firstLine="640" w:firstLineChars="200"/>
        <w:rPr>
          <w:rFonts w:ascii="宋体" w:hAnsi="宋体"/>
          <w:sz w:val="32"/>
          <w:szCs w:val="32"/>
        </w:rPr>
      </w:pPr>
    </w:p>
    <w:p>
      <w:pPr>
        <w:jc w:val="center"/>
        <w:rPr>
          <w:rFonts w:ascii="宋体" w:hAnsi="宋体"/>
          <w:b/>
          <w:sz w:val="32"/>
          <w:szCs w:val="32"/>
        </w:rPr>
      </w:pPr>
      <w:r>
        <w:rPr>
          <w:rFonts w:hint="eastAsia" w:ascii="宋体" w:hAnsi="宋体"/>
          <w:b/>
          <w:sz w:val="32"/>
          <w:szCs w:val="32"/>
        </w:rPr>
        <w:t>第五部分：绩效预算信息</w:t>
      </w:r>
    </w:p>
    <w:p>
      <w:pPr>
        <w:spacing w:line="240" w:lineRule="exact"/>
        <w:jc w:val="left"/>
        <w:rPr>
          <w:rFonts w:ascii="宋体" w:hAnsi="宋体"/>
          <w:sz w:val="32"/>
          <w:szCs w:val="32"/>
        </w:rPr>
      </w:pPr>
    </w:p>
    <w:p>
      <w:pPr>
        <w:ind w:firstLine="560" w:firstLineChars="200"/>
        <w:jc w:val="left"/>
        <w:rPr>
          <w:rFonts w:ascii="方正黑体_GBK" w:eastAsia="方正黑体_GBK"/>
          <w:sz w:val="28"/>
        </w:rPr>
      </w:pPr>
      <w:r>
        <w:rPr>
          <w:rFonts w:hint="eastAsia" w:ascii="方正黑体_GBK" w:eastAsia="方正黑体_GBK"/>
          <w:sz w:val="28"/>
        </w:rPr>
        <w:t>一、年度发展规划目标</w:t>
      </w:r>
    </w:p>
    <w:p>
      <w:pPr>
        <w:jc w:val="left"/>
        <w:rPr>
          <w:rFonts w:ascii="黑体" w:hAnsi="黑体" w:eastAsia="黑体"/>
          <w:sz w:val="28"/>
        </w:rPr>
      </w:pPr>
      <w:r>
        <w:rPr>
          <w:rFonts w:hint="eastAsia" w:ascii="方正楷体_GBK" w:eastAsia="方正楷体_GBK"/>
          <w:b/>
          <w:sz w:val="28"/>
        </w:rPr>
        <w:t xml:space="preserve">    </w:t>
      </w:r>
      <w:r>
        <w:rPr>
          <w:rFonts w:hint="eastAsia" w:ascii="黑体" w:hAnsi="黑体" w:eastAsia="黑体"/>
          <w:sz w:val="28"/>
        </w:rPr>
        <w:t>（一）总体目标：</w:t>
      </w:r>
    </w:p>
    <w:p>
      <w:pPr>
        <w:spacing w:line="500" w:lineRule="exact"/>
        <w:ind w:firstLine="560"/>
        <w:rPr>
          <w:rFonts w:ascii="方正仿宋_GBK" w:eastAsia="方正仿宋_GBK"/>
          <w:sz w:val="28"/>
        </w:rPr>
      </w:pPr>
      <w:r>
        <w:rPr>
          <w:rFonts w:ascii="方正仿宋_GBK" w:eastAsia="方正仿宋_GBK"/>
          <w:sz w:val="28"/>
        </w:rPr>
        <w:t>申报要庄遗址保护规划和张柔墓保护工程立项报告，进行科学保护利用。</w:t>
      </w:r>
    </w:p>
    <w:p>
      <w:pPr>
        <w:spacing w:line="500" w:lineRule="exact"/>
        <w:ind w:firstLine="560"/>
        <w:rPr>
          <w:rFonts w:ascii="方正仿宋_GBK" w:eastAsia="方正仿宋_GBK"/>
          <w:sz w:val="28"/>
        </w:rPr>
      </w:pPr>
      <w:r>
        <w:rPr>
          <w:rFonts w:ascii="方正仿宋_GBK" w:eastAsia="方正仿宋_GBK"/>
          <w:sz w:val="28"/>
        </w:rPr>
        <w:t>加强全区文物保护单位安全巡查，结合公安部门打击各类文物犯罪，保证文物安全。</w:t>
      </w:r>
    </w:p>
    <w:p>
      <w:pPr>
        <w:spacing w:line="500" w:lineRule="exact"/>
        <w:ind w:firstLine="560"/>
        <w:rPr>
          <w:rFonts w:ascii="方正仿宋_GBK" w:eastAsia="方正仿宋_GBK"/>
          <w:sz w:val="28"/>
        </w:rPr>
      </w:pPr>
      <w:r>
        <w:rPr>
          <w:rFonts w:ascii="方正仿宋_GBK" w:eastAsia="方正仿宋_GBK"/>
          <w:sz w:val="28"/>
        </w:rPr>
        <w:t>加强业务及</w:t>
      </w:r>
      <w:r>
        <w:rPr>
          <w:rFonts w:hint="eastAsia" w:ascii="方正仿宋_GBK" w:eastAsia="方正仿宋_GBK"/>
          <w:sz w:val="28"/>
          <w:lang w:eastAsia="zh-CN"/>
        </w:rPr>
        <w:t>党的</w:t>
      </w:r>
      <w:r>
        <w:rPr>
          <w:rFonts w:ascii="方正仿宋_GBK" w:eastAsia="方正仿宋_GBK"/>
          <w:sz w:val="28"/>
        </w:rPr>
        <w:t>十九大精神的学习，在</w:t>
      </w:r>
      <w:r>
        <w:rPr>
          <w:rFonts w:hint="eastAsia" w:ascii="方正仿宋_GBK" w:eastAsia="方正仿宋_GBK"/>
          <w:sz w:val="28"/>
          <w:lang w:eastAsia="zh-CN"/>
        </w:rPr>
        <w:t>党的</w:t>
      </w:r>
      <w:r>
        <w:rPr>
          <w:rFonts w:ascii="方正仿宋_GBK" w:eastAsia="方正仿宋_GBK"/>
          <w:sz w:val="28"/>
        </w:rPr>
        <w:t>十九大精神的指引下，开拓创新，锐意进取，认真完成旅发会各项工作。</w:t>
      </w:r>
    </w:p>
    <w:p>
      <w:pPr>
        <w:ind w:firstLine="280" w:firstLineChars="100"/>
        <w:jc w:val="left"/>
        <w:rPr>
          <w:rFonts w:ascii="黑体" w:hAnsi="黑体" w:eastAsia="黑体"/>
          <w:sz w:val="28"/>
        </w:rPr>
      </w:pPr>
    </w:p>
    <w:p>
      <w:pPr>
        <w:ind w:firstLine="700" w:firstLineChars="250"/>
        <w:jc w:val="left"/>
        <w:rPr>
          <w:rFonts w:ascii="黑体" w:hAnsi="黑体" w:eastAsia="黑体"/>
          <w:sz w:val="28"/>
        </w:rPr>
      </w:pPr>
      <w:r>
        <w:rPr>
          <w:rFonts w:hint="eastAsia" w:ascii="黑体" w:hAnsi="黑体" w:eastAsia="黑体"/>
          <w:sz w:val="28"/>
        </w:rPr>
        <w:t>（二）职责分类绩效目标：</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1、文物保护</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坚持</w:t>
      </w:r>
      <w:r>
        <w:rPr>
          <w:rFonts w:ascii="方正仿宋_GBK" w:eastAsia="方正仿宋_GBK"/>
          <w:sz w:val="28"/>
        </w:rPr>
        <w:t>“</w:t>
      </w:r>
      <w:r>
        <w:rPr>
          <w:rFonts w:hint="eastAsia" w:ascii="方正仿宋_GBK" w:hAnsi="宋体" w:eastAsia="方正仿宋_GBK" w:cs="宋体"/>
          <w:sz w:val="28"/>
        </w:rPr>
        <w:t>保护为主、抢救第一、合理利用、加强管理</w:t>
      </w:r>
      <w:r>
        <w:rPr>
          <w:rFonts w:ascii="方正仿宋_GBK" w:eastAsia="方正仿宋_GBK"/>
          <w:sz w:val="28"/>
        </w:rPr>
        <w:t>”</w:t>
      </w:r>
      <w:r>
        <w:rPr>
          <w:rFonts w:hint="eastAsia" w:ascii="方正仿宋_GBK" w:hAnsi="宋体" w:eastAsia="方正仿宋_GBK" w:cs="宋体"/>
          <w:sz w:val="28"/>
        </w:rPr>
        <w:t>的文物工作方针，做好文物保护、管理和利用等工作，提高全社会的文物保护意识，发挥文物工作在促进全县经济和社会发展中的重要作用；</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加强文物保护，促进文物事业可持续发展。</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确保文物与文化遗产得到有效保护。完工及时率</w:t>
      </w:r>
      <w:r>
        <w:rPr>
          <w:rFonts w:ascii="方正仿宋_GBK" w:eastAsia="方正仿宋_GBK"/>
          <w:sz w:val="28"/>
        </w:rPr>
        <w:t>85%</w:t>
      </w:r>
      <w:r>
        <w:rPr>
          <w:rFonts w:hint="eastAsia" w:ascii="方正仿宋_GBK" w:hAnsi="宋体" w:eastAsia="方正仿宋_GBK" w:cs="宋体"/>
          <w:sz w:val="28"/>
        </w:rPr>
        <w:t>以上为优，</w:t>
      </w:r>
      <w:r>
        <w:rPr>
          <w:rFonts w:ascii="方正仿宋_GBK" w:eastAsia="方正仿宋_GBK"/>
          <w:sz w:val="28"/>
        </w:rPr>
        <w:t>85%</w:t>
      </w:r>
      <w:r>
        <w:rPr>
          <w:rFonts w:hint="eastAsia" w:ascii="方正仿宋_GBK" w:hAnsi="宋体" w:eastAsia="方正仿宋_GBK" w:cs="宋体"/>
          <w:sz w:val="28"/>
        </w:rPr>
        <w:t>及以上为良，</w:t>
      </w:r>
      <w:r>
        <w:rPr>
          <w:rFonts w:ascii="方正仿宋_GBK" w:eastAsia="方正仿宋_GBK"/>
          <w:sz w:val="28"/>
        </w:rPr>
        <w:t>75%</w:t>
      </w:r>
      <w:r>
        <w:rPr>
          <w:rFonts w:hint="eastAsia" w:ascii="方正仿宋_GBK" w:hAnsi="宋体" w:eastAsia="方正仿宋_GBK" w:cs="宋体"/>
          <w:sz w:val="28"/>
        </w:rPr>
        <w:t>及以上为中，</w:t>
      </w:r>
      <w:r>
        <w:rPr>
          <w:rFonts w:ascii="方正仿宋_GBK" w:eastAsia="方正仿宋_GBK"/>
          <w:sz w:val="28"/>
        </w:rPr>
        <w:t>75%</w:t>
      </w:r>
      <w:r>
        <w:rPr>
          <w:rFonts w:hint="eastAsia" w:ascii="方正仿宋_GBK" w:hAnsi="宋体" w:eastAsia="方正仿宋_GBK" w:cs="宋体"/>
          <w:sz w:val="28"/>
        </w:rPr>
        <w:t>以下为差。</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2、文物普查</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采取统一组织，由专业部门利用现代信息手段集中调查统计的方式，对可移动文物、不可移动文物进行调查、认定和登记，掌握文物现状等基本信息，为科学制定文物保护政策和规划提供依据。完成年度省属国有单位普查可移动文物信息采集登录工作任务。符合可移动文物普查信息采集登录数据标准的数据量。</w:t>
      </w:r>
      <w:r>
        <w:rPr>
          <w:rFonts w:ascii="方正仿宋_GBK" w:eastAsia="方正仿宋_GBK"/>
          <w:sz w:val="28"/>
        </w:rPr>
        <w:t>10</w:t>
      </w:r>
      <w:r>
        <w:rPr>
          <w:rFonts w:hint="eastAsia" w:ascii="方正仿宋_GBK" w:hAnsi="宋体" w:eastAsia="方正仿宋_GBK" w:cs="宋体"/>
          <w:sz w:val="28"/>
        </w:rPr>
        <w:t>万条以上为优，</w:t>
      </w:r>
      <w:r>
        <w:rPr>
          <w:rFonts w:ascii="方正仿宋_GBK" w:eastAsia="方正仿宋_GBK"/>
          <w:sz w:val="28"/>
        </w:rPr>
        <w:t>8</w:t>
      </w:r>
      <w:r>
        <w:rPr>
          <w:rFonts w:hint="eastAsia" w:ascii="方正仿宋_GBK" w:hAnsi="宋体" w:eastAsia="方正仿宋_GBK" w:cs="宋体"/>
          <w:sz w:val="28"/>
        </w:rPr>
        <w:t>万至</w:t>
      </w:r>
      <w:r>
        <w:rPr>
          <w:rFonts w:ascii="方正仿宋_GBK" w:eastAsia="方正仿宋_GBK"/>
          <w:sz w:val="28"/>
        </w:rPr>
        <w:t>10</w:t>
      </w:r>
      <w:r>
        <w:rPr>
          <w:rFonts w:hint="eastAsia" w:ascii="方正仿宋_GBK" w:hAnsi="宋体" w:eastAsia="方正仿宋_GBK" w:cs="宋体"/>
          <w:sz w:val="28"/>
        </w:rPr>
        <w:t>万条为良，</w:t>
      </w:r>
      <w:r>
        <w:rPr>
          <w:rFonts w:ascii="方正仿宋_GBK" w:eastAsia="方正仿宋_GBK"/>
          <w:sz w:val="28"/>
        </w:rPr>
        <w:t>5</w:t>
      </w:r>
      <w:r>
        <w:rPr>
          <w:rFonts w:hint="eastAsia" w:ascii="方正仿宋_GBK" w:hAnsi="宋体" w:eastAsia="方正仿宋_GBK" w:cs="宋体"/>
          <w:sz w:val="28"/>
        </w:rPr>
        <w:t>至</w:t>
      </w:r>
      <w:r>
        <w:rPr>
          <w:rFonts w:ascii="方正仿宋_GBK" w:eastAsia="方正仿宋_GBK"/>
          <w:sz w:val="28"/>
        </w:rPr>
        <w:t>8</w:t>
      </w:r>
      <w:r>
        <w:rPr>
          <w:rFonts w:hint="eastAsia" w:ascii="方正仿宋_GBK" w:hAnsi="宋体" w:eastAsia="方正仿宋_GBK" w:cs="宋体"/>
          <w:sz w:val="28"/>
        </w:rPr>
        <w:t>万条为中，</w:t>
      </w:r>
      <w:r>
        <w:rPr>
          <w:rFonts w:ascii="方正仿宋_GBK" w:eastAsia="方正仿宋_GBK"/>
          <w:sz w:val="28"/>
        </w:rPr>
        <w:t>5</w:t>
      </w:r>
      <w:r>
        <w:rPr>
          <w:rFonts w:hint="eastAsia" w:ascii="方正仿宋_GBK" w:hAnsi="宋体" w:eastAsia="方正仿宋_GBK" w:cs="宋体"/>
          <w:sz w:val="28"/>
        </w:rPr>
        <w:t>万条以下为差。</w:t>
      </w:r>
      <w:r>
        <w:rPr>
          <w:rFonts w:ascii="方正仿宋_GBK" w:eastAsia="方正仿宋_GBK"/>
          <w:sz w:val="28"/>
        </w:rPr>
        <w:t xml:space="preserve"> </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3、综合事务管理</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拟定全县文物和博物馆事业发展规划及政策制度，开展文物宣传、交流合作、教育培训、考核等文物管理相关工作，开展信息化建设、基础设施维修等保障工作。做好综合事务管理工作，保证机关与直属单位工作正常高效运转，工作按计划完成程度，完成计划的</w:t>
      </w:r>
      <w:r>
        <w:rPr>
          <w:rFonts w:ascii="方正仿宋_GBK" w:eastAsia="方正仿宋_GBK"/>
          <w:sz w:val="28"/>
        </w:rPr>
        <w:t>85%</w:t>
      </w:r>
      <w:r>
        <w:rPr>
          <w:rFonts w:hint="eastAsia" w:ascii="方正仿宋_GBK" w:hAnsi="宋体" w:eastAsia="方正仿宋_GBK" w:cs="宋体"/>
          <w:sz w:val="28"/>
        </w:rPr>
        <w:t>以上为优，完成计划的</w:t>
      </w:r>
      <w:r>
        <w:rPr>
          <w:rFonts w:ascii="方正仿宋_GBK" w:eastAsia="方正仿宋_GBK"/>
          <w:sz w:val="28"/>
        </w:rPr>
        <w:t>85%-75%</w:t>
      </w:r>
      <w:r>
        <w:rPr>
          <w:rFonts w:hint="eastAsia" w:ascii="方正仿宋_GBK" w:hAnsi="宋体" w:eastAsia="方正仿宋_GBK" w:cs="宋体"/>
          <w:sz w:val="28"/>
        </w:rPr>
        <w:t>为良，完成计划的</w:t>
      </w:r>
      <w:r>
        <w:rPr>
          <w:rFonts w:ascii="方正仿宋_GBK" w:eastAsia="方正仿宋_GBK"/>
          <w:sz w:val="28"/>
        </w:rPr>
        <w:t>75%-60%</w:t>
      </w:r>
      <w:r>
        <w:rPr>
          <w:rFonts w:hint="eastAsia" w:ascii="方正仿宋_GBK" w:hAnsi="宋体" w:eastAsia="方正仿宋_GBK" w:cs="宋体"/>
          <w:sz w:val="28"/>
        </w:rPr>
        <w:t>为中，完成计划的</w:t>
      </w:r>
      <w:r>
        <w:rPr>
          <w:rFonts w:ascii="方正仿宋_GBK" w:eastAsia="方正仿宋_GBK"/>
          <w:sz w:val="28"/>
        </w:rPr>
        <w:t>60%</w:t>
      </w:r>
      <w:r>
        <w:rPr>
          <w:rFonts w:hint="eastAsia" w:ascii="方正仿宋_GBK" w:hAnsi="宋体" w:eastAsia="方正仿宋_GBK" w:cs="宋体"/>
          <w:sz w:val="28"/>
        </w:rPr>
        <w:t>以下为差。</w:t>
      </w:r>
    </w:p>
    <w:p>
      <w:pPr>
        <w:spacing w:line="500" w:lineRule="exact"/>
        <w:ind w:firstLine="560"/>
        <w:rPr>
          <w:rFonts w:ascii="方正仿宋_GBK" w:eastAsia="方正仿宋_GBK"/>
          <w:sz w:val="28"/>
        </w:rPr>
      </w:pPr>
    </w:p>
    <w:p>
      <w:pPr>
        <w:jc w:val="left"/>
        <w:rPr>
          <w:rFonts w:ascii="方正黑体_GBK" w:eastAsia="方正黑体_GBK"/>
          <w:sz w:val="28"/>
        </w:rPr>
      </w:pPr>
      <w:r>
        <w:rPr>
          <w:rFonts w:hint="eastAsia" w:ascii="方正黑体_GBK" w:eastAsia="方正黑体_GBK"/>
          <w:sz w:val="28"/>
        </w:rPr>
        <w:t xml:space="preserve"> </w:t>
      </w:r>
      <w:r>
        <w:rPr>
          <w:rFonts w:hint="eastAsia" w:ascii="方正黑体_GBK"/>
          <w:sz w:val="28"/>
        </w:rPr>
        <w:t xml:space="preserve">    </w:t>
      </w:r>
      <w:r>
        <w:rPr>
          <w:rFonts w:hint="eastAsia" w:ascii="方正黑体_GBK" w:eastAsia="方正黑体_GBK"/>
          <w:sz w:val="28"/>
        </w:rPr>
        <w:t>二、实现年度发展规划目标的保障措施</w:t>
      </w:r>
    </w:p>
    <w:p>
      <w:pPr>
        <w:spacing w:line="500" w:lineRule="exact"/>
        <w:ind w:firstLine="560"/>
        <w:rPr>
          <w:rFonts w:ascii="方正仿宋_GBK" w:eastAsia="方正仿宋_GBK"/>
          <w:sz w:val="28"/>
        </w:rPr>
      </w:pPr>
      <w:r>
        <w:rPr>
          <w:rFonts w:ascii="方正仿宋_GBK" w:eastAsia="方正仿宋_GBK"/>
          <w:sz w:val="28"/>
        </w:rPr>
        <w:t xml:space="preserve">    文物所首先从自身做起，经常加强文物法律法规知识的学习与宣传，积极参加省市举办的各类文物工作培训和学习活动，不断提高职工的法律水平和执法能力。在5.18“博物馆日”及其它宣传活动中，通过多种形式，大力宣传《中华人民共和国文物保护法》、河北省实施《中华人民共和国文物保护法》实施办法等文物法律知识，使全区广大干部群众的文物保护意识明显增强。</w:t>
      </w:r>
    </w:p>
    <w:p>
      <w:pPr>
        <w:spacing w:line="500" w:lineRule="exact"/>
        <w:ind w:firstLine="560"/>
        <w:rPr>
          <w:rFonts w:ascii="方正仿宋_GBK" w:eastAsia="方正仿宋_GBK"/>
          <w:sz w:val="28"/>
        </w:rPr>
      </w:pPr>
      <w:r>
        <w:rPr>
          <w:rFonts w:ascii="方正仿宋_GBK" w:eastAsia="方正仿宋_GBK"/>
          <w:sz w:val="28"/>
        </w:rPr>
        <w:t xml:space="preserve">    根据国家及省文物局工作通知，认真落实国家文物局关于开展全国文物安全状况大排查工作方案，对全区文物保护工作进行了仔细排查，对存在的安全隐患及时整改，落实了一对一的文物义务保护员制度，完备了安全消防设施，印发了《满城区关于加强全区文物保护工作的意见》的文件，落实文物保护工作属地责任制，与各乡（镇）签订了文物保护工作责任书。</w:t>
      </w:r>
    </w:p>
    <w:p>
      <w:pPr>
        <w:spacing w:line="500" w:lineRule="exact"/>
        <w:ind w:firstLine="560"/>
        <w:rPr>
          <w:rFonts w:ascii="方正仿宋_GBK" w:eastAsia="方正仿宋_GBK"/>
          <w:sz w:val="28"/>
        </w:rPr>
      </w:pPr>
    </w:p>
    <w:p>
      <w:pPr>
        <w:jc w:val="left"/>
        <w:rPr>
          <w:rFonts w:ascii="方正楷体_GBK" w:eastAsia="方正楷体_GBK"/>
          <w:b/>
          <w:sz w:val="28"/>
        </w:rPr>
        <w:sectPr>
          <w:pgSz w:w="11907" w:h="16839"/>
          <w:pgMar w:top="1531" w:right="1134" w:bottom="1474" w:left="1134" w:header="851" w:footer="992" w:gutter="0"/>
          <w:cols w:space="720" w:num="1"/>
          <w:docGrid w:linePitch="312" w:charSpace="0"/>
        </w:sectPr>
      </w:pPr>
    </w:p>
    <w:p>
      <w:pPr>
        <w:jc w:val="center"/>
        <w:outlineLvl w:val="0"/>
        <w:rPr>
          <w:rFonts w:ascii="方正小标宋_GBK" w:eastAsia="方正小标宋_GBK"/>
          <w:sz w:val="32"/>
        </w:rPr>
      </w:pPr>
      <w:bookmarkStart w:id="0" w:name="_Toc477963878"/>
    </w:p>
    <w:p>
      <w:pPr>
        <w:jc w:val="center"/>
        <w:outlineLvl w:val="0"/>
        <w:rPr>
          <w:rFonts w:ascii="方正小标宋_GBK" w:eastAsia="方正小标宋_GBK"/>
          <w:sz w:val="32"/>
        </w:rPr>
      </w:pPr>
      <w:r>
        <w:rPr>
          <w:rFonts w:hint="eastAsia" w:ascii="方正小标宋_GBK" w:eastAsia="方正小标宋_GBK"/>
          <w:sz w:val="32"/>
        </w:rPr>
        <w:t>一、部门职责</w:t>
      </w:r>
      <w:r>
        <w:rPr>
          <w:rFonts w:ascii="方正小标宋_GBK" w:eastAsia="方正小标宋_GBK"/>
          <w:sz w:val="32"/>
        </w:rPr>
        <w:t>-</w:t>
      </w:r>
      <w:r>
        <w:rPr>
          <w:rFonts w:hint="eastAsia" w:ascii="方正小标宋_GBK" w:eastAsia="方正小标宋_GBK"/>
          <w:sz w:val="32"/>
        </w:rPr>
        <w:t>工作活动绩效目标</w:t>
      </w:r>
      <w:bookmarkEnd w:id="0"/>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453</w:t>
            </w:r>
            <w:r>
              <w:rPr>
                <w:rFonts w:hint="eastAsia" w:ascii="方正小标宋_GBK" w:eastAsia="方正小标宋_GBK"/>
                <w:sz w:val="24"/>
              </w:rPr>
              <w:t>保定市满城区文物管理所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文物保护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坚持</w:t>
            </w:r>
            <w:r>
              <w:rPr>
                <w:rFonts w:hint="cs" w:ascii="方正书宋_GBK" w:eastAsia="方正书宋_GBK"/>
                <w:cs/>
              </w:rPr>
              <w:t>“</w:t>
            </w:r>
            <w:r>
              <w:rPr>
                <w:rFonts w:hint="eastAsia" w:ascii="方正书宋_GBK" w:eastAsia="方正书宋_GBK"/>
              </w:rPr>
              <w:t>保护为主、抢救第一、合理利用、加强管理</w:t>
            </w:r>
            <w:r>
              <w:rPr>
                <w:rFonts w:hint="cs" w:ascii="方正书宋_GBK" w:eastAsia="方正书宋_GBK"/>
                <w:cs/>
              </w:rPr>
              <w:t>”</w:t>
            </w:r>
            <w:r>
              <w:rPr>
                <w:rFonts w:hint="eastAsia" w:ascii="方正书宋_GBK" w:eastAsia="方正书宋_GBK"/>
              </w:rPr>
              <w:t>的文物工作方针，做好文物保护、管理和利用等工作，提高全社会的文物保护意识，发挥文物工作在促进全县经济和社会发展中的重要作用。</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加强文物保护，促进文物事业可持续发展。</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jc w:val="center"/>
        </w:trPr>
        <w:tc>
          <w:tcPr>
            <w:tcW w:w="2341" w:type="dxa"/>
            <w:vMerge w:val="restart"/>
            <w:noWrap w:val="0"/>
            <w:vAlign w:val="center"/>
          </w:tcPr>
          <w:p>
            <w:pPr>
              <w:spacing w:line="300" w:lineRule="exact"/>
              <w:jc w:val="left"/>
              <w:rPr>
                <w:rFonts w:ascii="方正书宋_GBK" w:eastAsia="方正书宋_GBK"/>
                <w:b/>
              </w:rPr>
            </w:pPr>
            <w:r>
              <w:rPr>
                <w:rFonts w:hint="eastAsia" w:ascii="方正书宋_GBK" w:eastAsia="方正书宋_GBK"/>
                <w:b/>
              </w:rPr>
              <w:t>　　文物普查</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采取统一组织，由专业部门利用现代信息手段集中调查统计的方式，对可移动文物、不可移动文物进行调查、认定和登记，掌握文物现状等基本信息，为科学制定文物保护政策和规划提供依据。</w:t>
            </w: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确保文物与文化遗产得到有效保护</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符合可移动文物普查信息采集登录数据标准的数据量</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万条以上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w:t>
            </w:r>
            <w:r>
              <w:rPr>
                <w:rFonts w:hint="eastAsia" w:ascii="方正书宋_GBK" w:eastAsia="方正书宋_GBK"/>
              </w:rPr>
              <w:t>万至</w:t>
            </w:r>
            <w:r>
              <w:rPr>
                <w:rFonts w:ascii="方正书宋_GBK" w:eastAsia="方正书宋_GBK"/>
              </w:rPr>
              <w:t>10</w:t>
            </w:r>
            <w:r>
              <w:rPr>
                <w:rFonts w:hint="eastAsia" w:ascii="方正书宋_GBK" w:eastAsia="方正书宋_GBK"/>
              </w:rPr>
              <w:t>万条</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至</w:t>
            </w:r>
            <w:r>
              <w:rPr>
                <w:rFonts w:ascii="方正书宋_GBK" w:eastAsia="方正书宋_GBK"/>
              </w:rPr>
              <w:t>8</w:t>
            </w:r>
            <w:r>
              <w:rPr>
                <w:rFonts w:hint="eastAsia" w:ascii="方正书宋_GBK" w:eastAsia="方正书宋_GBK"/>
              </w:rPr>
              <w:t>万条</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万条以下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工程质量（专家意见）</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良</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中</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文物保护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确保文物与文化遗产得到有效保护</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完工及时率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及以上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负责机关综合事务管理。</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做好综合事务管理工作，保证机关与直属单位工作正常高效运转。</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拟定全县文物和博物馆事业发展规划及政策制度，开展文物宣传、交流合作、教育培训、考核等文物管理相关工作，开展信息化建设、基础设施维修等保障工作。</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做好综合事务管理工作，保证机关与直属单位工作正常高效运转。</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工作按计划完成程度</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85%-75%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75%-60%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60%</w:t>
            </w:r>
            <w:r>
              <w:rPr>
                <w:rFonts w:hint="eastAsia" w:ascii="方正书宋_GBK" w:eastAsia="方正书宋_GBK"/>
              </w:rPr>
              <w:t>以下</w:t>
            </w:r>
          </w:p>
        </w:tc>
      </w:tr>
    </w:tbl>
    <w:p>
      <w:pPr>
        <w:jc w:val="center"/>
        <w:outlineLvl w:val="0"/>
        <w:rPr>
          <w:rFonts w:ascii="方正小标宋_GBK" w:eastAsia="方正小标宋_GBK"/>
          <w:sz w:val="32"/>
        </w:rPr>
      </w:pPr>
    </w:p>
    <w:p>
      <w:pPr>
        <w:jc w:val="center"/>
        <w:outlineLvl w:val="0"/>
        <w:rPr>
          <w:rFonts w:ascii="方正小标宋_GBK" w:eastAsia="方正小标宋_GBK"/>
          <w:sz w:val="32"/>
        </w:rPr>
        <w:sectPr>
          <w:pgSz w:w="16839" w:h="11907" w:orient="landscape"/>
          <w:pgMar w:top="1134" w:right="1531" w:bottom="1134" w:left="1474" w:header="851" w:footer="992" w:gutter="0"/>
          <w:cols w:space="720" w:num="1"/>
          <w:docGrid w:linePitch="312" w:charSpace="0"/>
        </w:sectPr>
      </w:pPr>
    </w:p>
    <w:p>
      <w:pPr>
        <w:jc w:val="center"/>
        <w:rPr>
          <w:rFonts w:ascii="宋体" w:hAnsi="宋体"/>
          <w:b/>
          <w:sz w:val="32"/>
          <w:szCs w:val="32"/>
        </w:rPr>
      </w:pPr>
      <w:r>
        <w:rPr>
          <w:rFonts w:hint="eastAsia" w:ascii="宋体" w:hAnsi="宋体"/>
          <w:b/>
          <w:sz w:val="32"/>
          <w:szCs w:val="32"/>
        </w:rPr>
        <w:t>第六部分 政府采购预算情况</w:t>
      </w:r>
    </w:p>
    <w:p>
      <w:pPr>
        <w:spacing w:line="440" w:lineRule="exact"/>
        <w:ind w:firstLine="1280" w:firstLineChars="400"/>
        <w:rPr>
          <w:rFonts w:ascii="宋体" w:hAnsi="宋体"/>
          <w:sz w:val="32"/>
          <w:szCs w:val="32"/>
        </w:rPr>
      </w:pPr>
      <w:r>
        <w:rPr>
          <w:rFonts w:hint="eastAsia" w:ascii="宋体" w:hAnsi="宋体"/>
          <w:sz w:val="32"/>
          <w:szCs w:val="32"/>
        </w:rPr>
        <w:t>我部门2019年无政府采购预算，空表列示: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wBefore w:w="0" w:type="auto"/>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wBefore w:w="0" w:type="auto"/>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wBefore w:w="0" w:type="auto"/>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wBefore w:w="0" w:type="auto"/>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wBefore w:w="0" w:type="auto"/>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spacing w:line="520" w:lineRule="exact"/>
        <w:ind w:firstLine="640" w:firstLineChars="200"/>
        <w:rPr>
          <w:rFonts w:hint="eastAsia" w:ascii="仿宋_GB2312" w:hAnsi="仿宋" w:eastAsia="仿宋_GB2312"/>
          <w:sz w:val="32"/>
          <w:szCs w:val="32"/>
        </w:rPr>
      </w:pPr>
    </w:p>
    <w:p>
      <w:pPr>
        <w:spacing w:line="440" w:lineRule="exact"/>
        <w:ind w:firstLine="1285" w:firstLineChars="400"/>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第七部分 国有资产信息情况说明</w:t>
      </w:r>
    </w:p>
    <w:p>
      <w:pPr>
        <w:spacing w:line="520" w:lineRule="exact"/>
        <w:ind w:firstLine="640" w:firstLineChars="200"/>
        <w:rPr>
          <w:rFonts w:ascii="宋体" w:hAnsi="宋体"/>
          <w:sz w:val="32"/>
          <w:szCs w:val="32"/>
        </w:rPr>
      </w:pPr>
      <w:r>
        <w:rPr>
          <w:rFonts w:hint="eastAsia" w:ascii="宋体" w:hAnsi="宋体" w:cs="宋体"/>
          <w:kern w:val="0"/>
          <w:sz w:val="32"/>
          <w:szCs w:val="32"/>
        </w:rPr>
        <w:t>保定市满城区文物管理所</w:t>
      </w:r>
      <w:r>
        <w:rPr>
          <w:rFonts w:hint="eastAsia" w:ascii="宋体" w:hAnsi="宋体"/>
          <w:sz w:val="32"/>
          <w:szCs w:val="32"/>
        </w:rPr>
        <w:t>2018年末固定资产总金额5.87万元（详见下表）。 2019年没有购买固定资产预算。</w:t>
      </w:r>
    </w:p>
    <w:tbl>
      <w:tblPr>
        <w:tblStyle w:val="5"/>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dxa"/>
          <w:trHeight w:val="675" w:hRule="atLeast"/>
        </w:trPr>
        <w:tc>
          <w:tcPr>
            <w:tcW w:w="8804" w:type="dxa"/>
            <w:gridSpan w:val="3"/>
            <w:tcBorders>
              <w:top w:val="nil"/>
              <w:left w:val="nil"/>
              <w:bottom w:val="nil"/>
              <w:right w:val="nil"/>
            </w:tcBorders>
            <w:noWrap w:val="0"/>
            <w:vAlign w:val="center"/>
          </w:tcPr>
          <w:p>
            <w:pPr>
              <w:widowControl/>
              <w:jc w:val="center"/>
              <w:rPr>
                <w:rFonts w:ascii="宋体" w:hAnsi="宋体" w:cs="宋体"/>
                <w:b/>
                <w:color w:val="000000"/>
                <w:kern w:val="0"/>
                <w:sz w:val="28"/>
                <w:szCs w:val="28"/>
              </w:rPr>
            </w:pPr>
            <w:r>
              <w:rPr>
                <w:rFonts w:hint="eastAsia" w:ascii="宋体" w:hAnsi="宋体"/>
                <w:b/>
                <w:sz w:val="32"/>
                <w:szCs w:val="32"/>
              </w:rPr>
              <w:t>保定市满城区文物管理所固定资产占用情况表</w:t>
            </w:r>
          </w:p>
        </w:tc>
      </w:tr>
      <w:tr>
        <w:tblPrEx>
          <w:tblCellMar>
            <w:top w:w="0" w:type="dxa"/>
            <w:left w:w="108" w:type="dxa"/>
            <w:bottom w:w="0" w:type="dxa"/>
            <w:right w:w="108" w:type="dxa"/>
          </w:tblCellMar>
        </w:tblPrEx>
        <w:trPr>
          <w:wBefore w:w="0" w:type="dxa"/>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ascii="宋体" w:hAnsi="宋体" w:cs="宋体"/>
                <w:color w:val="000000"/>
                <w:kern w:val="0"/>
                <w:sz w:val="32"/>
                <w:szCs w:val="32"/>
              </w:rPr>
            </w:pPr>
            <w:r>
              <w:rPr>
                <w:rFonts w:hint="eastAsia" w:ascii="宋体" w:hAnsi="宋体" w:cs="宋体"/>
                <w:bCs/>
                <w:color w:val="000000"/>
                <w:kern w:val="0"/>
                <w:sz w:val="32"/>
                <w:szCs w:val="32"/>
              </w:rPr>
              <w:t xml:space="preserve">                           截止时间：2018年12月31日</w:t>
            </w:r>
          </w:p>
        </w:tc>
      </w:tr>
      <w:tr>
        <w:tblPrEx>
          <w:tblCellMar>
            <w:top w:w="0" w:type="dxa"/>
            <w:left w:w="108" w:type="dxa"/>
            <w:bottom w:w="0" w:type="dxa"/>
            <w:right w:w="108" w:type="dxa"/>
          </w:tblCellMar>
        </w:tblPrEx>
        <w:trPr>
          <w:wBefore w:w="0" w:type="dxa"/>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5.87</w:t>
            </w:r>
          </w:p>
        </w:tc>
      </w:tr>
      <w:tr>
        <w:tblPrEx>
          <w:tblCellMar>
            <w:top w:w="0" w:type="dxa"/>
            <w:left w:w="108" w:type="dxa"/>
            <w:bottom w:w="0" w:type="dxa"/>
            <w:right w:w="108" w:type="dxa"/>
          </w:tblCellMar>
        </w:tblPrEx>
        <w:trPr>
          <w:wBefore w:w="0" w:type="dxa"/>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4.92</w:t>
            </w:r>
          </w:p>
        </w:tc>
      </w:tr>
      <w:tr>
        <w:tblPrEx>
          <w:tblCellMar>
            <w:top w:w="0" w:type="dxa"/>
            <w:left w:w="108" w:type="dxa"/>
            <w:bottom w:w="0" w:type="dxa"/>
            <w:right w:w="108" w:type="dxa"/>
          </w:tblCellMar>
        </w:tblPrEx>
        <w:trPr>
          <w:wBefore w:w="0" w:type="dxa"/>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4.92</w:t>
            </w:r>
          </w:p>
        </w:tc>
      </w:tr>
      <w:tr>
        <w:tblPrEx>
          <w:tblCellMar>
            <w:top w:w="0" w:type="dxa"/>
            <w:left w:w="108" w:type="dxa"/>
            <w:bottom w:w="0" w:type="dxa"/>
            <w:right w:w="108" w:type="dxa"/>
          </w:tblCellMar>
        </w:tblPrEx>
        <w:trPr>
          <w:wBefore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wBefore w:w="0" w:type="dxa"/>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wBefore w:w="0" w:type="dxa"/>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0.95</w:t>
            </w:r>
          </w:p>
        </w:tc>
      </w:tr>
    </w:tbl>
    <w:p>
      <w:pPr>
        <w:rPr>
          <w:rFonts w:ascii="宋体" w:hAnsi="宋体"/>
          <w:sz w:val="32"/>
          <w:szCs w:val="32"/>
        </w:rPr>
      </w:pP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宋体" w:hAnsi="宋体"/>
          <w:sz w:val="32"/>
          <w:szCs w:val="32"/>
        </w:rPr>
      </w:pPr>
      <w:r>
        <w:rPr>
          <w:rFonts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ascii="宋体" w:hAnsi="宋体"/>
          <w:sz w:val="32"/>
          <w:szCs w:val="32"/>
        </w:rPr>
      </w:pPr>
    </w:p>
    <w:p>
      <w:pPr>
        <w:ind w:firstLine="803" w:firstLineChars="250"/>
        <w:jc w:val="center"/>
        <w:rPr>
          <w:rFonts w:ascii="宋体" w:hAnsi="宋体"/>
          <w:b/>
          <w:sz w:val="32"/>
          <w:szCs w:val="32"/>
        </w:rPr>
      </w:pPr>
      <w:r>
        <w:rPr>
          <w:rFonts w:hint="eastAsia" w:ascii="宋体" w:hAnsi="宋体"/>
          <w:b/>
          <w:sz w:val="32"/>
          <w:szCs w:val="32"/>
        </w:rPr>
        <w:t>第九部分：其他需说明的事项</w:t>
      </w:r>
    </w:p>
    <w:p>
      <w:pPr>
        <w:ind w:firstLine="800" w:firstLineChars="250"/>
        <w:rPr>
          <w:rFonts w:ascii="宋体" w:hAnsi="宋体"/>
          <w:sz w:val="32"/>
          <w:szCs w:val="32"/>
        </w:rPr>
      </w:pPr>
    </w:p>
    <w:p>
      <w:r>
        <w:rPr>
          <w:rFonts w:hint="eastAsia" w:ascii="宋体" w:hAnsi="宋体"/>
          <w:sz w:val="32"/>
          <w:szCs w:val="32"/>
        </w:rPr>
        <w:t xml:space="preserve">无其他需说明的事项。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roman"/>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2000000000000000000"/>
    <w:charset w:val="86"/>
    <w:family w:val="roman"/>
    <w:pitch w:val="default"/>
    <w:sig w:usb0="A00002BF" w:usb1="38CF7CFA" w:usb2="00082016" w:usb3="00000000" w:csb0="00040001" w:csb1="00000000"/>
  </w:font>
  <w:font w:name="方正楷体_GBK">
    <w:altName w:val="微软雅黑"/>
    <w:panose1 w:val="02000000000000000000"/>
    <w:charset w:val="86"/>
    <w:family w:val="roman"/>
    <w:pitch w:val="default"/>
    <w:sig w:usb0="A00002BF" w:usb1="38CF7CFA" w:usb2="00082016" w:usb3="00000000" w:csb0="00040001" w:csb1="00000000"/>
  </w:font>
  <w:font w:name="方正小标宋_GBK">
    <w:altName w:val="微软雅黑"/>
    <w:panose1 w:val="02000000000000000000"/>
    <w:charset w:val="86"/>
    <w:family w:val="script"/>
    <w:pitch w:val="default"/>
    <w:sig w:usb0="A00002BF" w:usb1="38CF7CFA" w:usb2="00082016" w:usb3="00000000" w:csb0="00040001" w:csb1="00000000"/>
  </w:font>
  <w:font w:name="方正书宋_GBK">
    <w:altName w:val="微软雅黑"/>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C2780"/>
    <w:rsid w:val="00027EDC"/>
    <w:rsid w:val="00087A5D"/>
    <w:rsid w:val="002B06C4"/>
    <w:rsid w:val="003D1B2B"/>
    <w:rsid w:val="00470283"/>
    <w:rsid w:val="004B73F1"/>
    <w:rsid w:val="004E44F7"/>
    <w:rsid w:val="006738BF"/>
    <w:rsid w:val="006A1760"/>
    <w:rsid w:val="006D6F5C"/>
    <w:rsid w:val="007A2AB2"/>
    <w:rsid w:val="007D1E6B"/>
    <w:rsid w:val="00857E44"/>
    <w:rsid w:val="008C26EF"/>
    <w:rsid w:val="008E3110"/>
    <w:rsid w:val="009752EA"/>
    <w:rsid w:val="00C13473"/>
    <w:rsid w:val="00C67D25"/>
    <w:rsid w:val="00D37363"/>
    <w:rsid w:val="00D96D16"/>
    <w:rsid w:val="00F84A5F"/>
    <w:rsid w:val="00FC4510"/>
    <w:rsid w:val="05416834"/>
    <w:rsid w:val="08545528"/>
    <w:rsid w:val="4636098A"/>
    <w:rsid w:val="500948E4"/>
    <w:rsid w:val="621C2780"/>
    <w:rsid w:val="679242C7"/>
    <w:rsid w:val="6A1F4ACF"/>
    <w:rsid w:val="765D0CC7"/>
    <w:rsid w:val="7DA720F2"/>
    <w:rsid w:val="7DF01A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Calibri Light" w:hAnsi="Calibri Light"/>
      <w:b/>
      <w:bCs/>
      <w:sz w:val="32"/>
      <w:szCs w:val="32"/>
    </w:rPr>
  </w:style>
  <w:style w:type="character" w:customStyle="1" w:styleId="7">
    <w:name w:val="页脚 Char"/>
    <w:link w:val="2"/>
    <w:uiPriority w:val="0"/>
    <w:rPr>
      <w:kern w:val="2"/>
      <w:sz w:val="18"/>
      <w:szCs w:val="18"/>
    </w:rPr>
  </w:style>
  <w:style w:type="character" w:customStyle="1" w:styleId="8">
    <w:name w:val="页眉 Char"/>
    <w:link w:val="3"/>
    <w:uiPriority w:val="0"/>
    <w:rPr>
      <w:kern w:val="2"/>
      <w:sz w:val="18"/>
      <w:szCs w:val="18"/>
    </w:rPr>
  </w:style>
  <w:style w:type="character" w:customStyle="1" w:styleId="9">
    <w:name w:val="标题 Char"/>
    <w:link w:val="4"/>
    <w:uiPriority w:val="0"/>
    <w:rPr>
      <w:rFonts w:ascii="Calibri Light" w:hAnsi="Calibri Light" w:cs="Times New Roman"/>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603</Words>
  <Characters>3440</Characters>
  <Lines>28</Lines>
  <Paragraphs>8</Paragraphs>
  <TotalTime>2</TotalTime>
  <ScaleCrop>false</ScaleCrop>
  <LinksUpToDate>false</LinksUpToDate>
  <CharactersWithSpaces>4035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2021-05-31T01:42:00Z</dcterms:created>
  <dc:creator>七号的雨</dc:creator>
  <cp:lastModifiedBy>Administrator</cp:lastModifiedBy>
  <dcterms:modified xsi:type="dcterms:W3CDTF">2024-01-11T09:42:59Z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0D39676117324DE4AEC437632A6E2295</vt:lpwstr>
  </property>
</Properties>
</file>