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lef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保定市满城区三届人大</w:t>
      </w:r>
    </w:p>
    <w:p>
      <w:pPr>
        <w:pStyle w:val="4"/>
        <w:spacing w:line="500" w:lineRule="exact"/>
        <w:jc w:val="lef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pacing w:val="8"/>
          <w:sz w:val="28"/>
        </w:rPr>
        <w:t>第二次会议文件</w:t>
      </w:r>
      <w:r>
        <w:rPr>
          <w:rFonts w:hint="eastAsia" w:ascii="黑体" w:eastAsia="黑体"/>
          <w:bCs/>
          <w:sz w:val="28"/>
        </w:rPr>
        <w:t>（</w:t>
      </w:r>
      <w:r>
        <w:rPr>
          <w:rFonts w:ascii="黑体" w:eastAsia="黑体"/>
          <w:bCs/>
          <w:sz w:val="28"/>
        </w:rPr>
        <w:t>1</w:t>
      </w:r>
      <w:r>
        <w:rPr>
          <w:rFonts w:hint="eastAsia" w:ascii="黑体" w:eastAsia="黑体"/>
          <w:bCs/>
          <w:sz w:val="28"/>
        </w:rPr>
        <w:t>6）</w:t>
      </w:r>
    </w:p>
    <w:p>
      <w:pPr>
        <w:tabs>
          <w:tab w:val="left" w:pos="567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N w:val="0"/>
        <w:spacing w:line="570" w:lineRule="exact"/>
        <w:jc w:val="center"/>
        <w:rPr>
          <w:rFonts w:ascii="黑体" w:hAnsi="仿宋" w:eastAsia="黑体"/>
          <w:bCs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保定市满城区</w:t>
      </w:r>
      <w:r>
        <w:rPr>
          <w:rFonts w:asci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21年财政预算执行情况和</w:t>
      </w:r>
      <w:r>
        <w:rPr>
          <w:rFonts w:asci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22年财政预算（草案）的报告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宋体" w:hAnsi="宋体"/>
          <w:sz w:val="32"/>
          <w:szCs w:val="32"/>
        </w:rPr>
        <w:t>——</w:t>
      </w:r>
      <w:r>
        <w:rPr>
          <w:rFonts w:ascii="楷体_GB2312" w:eastAsia="楷体_GB2312"/>
          <w:sz w:val="32"/>
          <w:szCs w:val="32"/>
        </w:rPr>
        <w:t>2022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1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ascii="楷体_GB2312" w:eastAsia="楷体_GB2312"/>
          <w:sz w:val="32"/>
          <w:szCs w:val="32"/>
        </w:rPr>
        <w:t>27</w:t>
      </w:r>
      <w:r>
        <w:rPr>
          <w:rFonts w:hint="eastAsia" w:ascii="楷体_GB2312" w:eastAsia="楷体_GB2312"/>
          <w:sz w:val="32"/>
          <w:szCs w:val="32"/>
        </w:rPr>
        <w:t>日在保定市满城区</w:t>
      </w:r>
    </w:p>
    <w:p>
      <w:pPr>
        <w:spacing w:line="560" w:lineRule="exact"/>
        <w:ind w:firstLine="57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第三届人民代表大会第二次会议上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</w:p>
    <w:p>
      <w:pPr>
        <w:spacing w:line="600" w:lineRule="exact"/>
        <w:jc w:val="center"/>
        <w:rPr>
          <w:rFonts w:ascii="黑体" w:hAnsi="宋体" w:eastAsia="黑体" w:cs="宋体"/>
          <w:color w:val="000000"/>
          <w:spacing w:val="-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pacing w:val="-8"/>
          <w:kern w:val="0"/>
          <w:sz w:val="32"/>
          <w:szCs w:val="32"/>
        </w:rPr>
        <w:t>保定市满城区财政局</w:t>
      </w:r>
      <w:r>
        <w:rPr>
          <w:rFonts w:ascii="楷体_GB2312" w:hAnsi="宋体" w:eastAsia="楷体_GB2312" w:cs="宋体"/>
          <w:color w:val="000000"/>
          <w:spacing w:val="-8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color w:val="000000"/>
          <w:spacing w:val="-8"/>
          <w:kern w:val="0"/>
          <w:sz w:val="32"/>
          <w:szCs w:val="32"/>
        </w:rPr>
        <w:t>李文利</w:t>
      </w:r>
    </w:p>
    <w:p>
      <w:pPr>
        <w:adjustRightInd w:val="0"/>
        <w:snapToGrid w:val="0"/>
        <w:spacing w:line="3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</w:p>
    <w:p>
      <w:pPr>
        <w:adjustRightInd w:val="0"/>
        <w:snapToGrid w:val="0"/>
        <w:spacing w:line="570" w:lineRule="exact"/>
        <w:rPr>
          <w:rFonts w:hint="eastAsia" w:ascii="黑体" w:hAnsi="黑体" w:eastAsia="黑体"/>
          <w:snapToGrid w:val="0"/>
          <w:spacing w:val="-8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kern w:val="0"/>
          <w:sz w:val="32"/>
          <w:szCs w:val="32"/>
        </w:rPr>
        <w:t>各位代表：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受区人民政府委托，我向大会报告我区2021年财政预算执行情况和2022年预算草案，请予审议，并请区政协委员和其他列席会议的同志提出意见。</w:t>
      </w:r>
    </w:p>
    <w:p>
      <w:pPr>
        <w:spacing w:line="570" w:lineRule="exact"/>
        <w:ind w:firstLine="608" w:firstLineChars="200"/>
        <w:rPr>
          <w:rFonts w:hint="eastAsia" w:ascii="黑体" w:hAnsi="黑体" w:eastAsia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8"/>
          <w:sz w:val="32"/>
          <w:szCs w:val="32"/>
        </w:rPr>
        <w:t>一、2021年财政预算执行情况</w:t>
      </w:r>
    </w:p>
    <w:p>
      <w:pPr>
        <w:pStyle w:val="7"/>
        <w:shd w:val="clear" w:color="auto" w:fill="FFFFFF"/>
        <w:spacing w:beforeAutospacing="0" w:afterAutospacing="0" w:line="570" w:lineRule="exact"/>
        <w:ind w:firstLine="640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年，区财政部门在区委的正确领导下，在区人大、区政协的监督支持下，深入学习党的十九大和十九届二中、三中、四中、五中、六中全会精神，坚持稳中求进总基调，贯彻新发展理念，以供给侧结构性改革为主线，以改革开放为动力，全面落实“六保”，推动高质量发展，落实积极财政政策，着力深化财政改革，加强政府性债务管理，有效防范财政金融风险，为全区“十四五”开好局，起好步提供了坚实的财力保障。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（一）全区财政收支预算执行情况</w:t>
      </w:r>
    </w:p>
    <w:p>
      <w:pPr>
        <w:spacing w:line="570" w:lineRule="exact"/>
        <w:ind w:firstLine="608" w:firstLineChars="200"/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  <w:t>1.一般公共预算：2021年全部财政收入完成136004万元，占调整预算的100 %，可比增长10.3%。其中，一般公共预算收入完成82941万元，占调整预算的100.5%，可比增长10.3%。一般公共预算收入中，税收收入完成52398万元，占比63.2%。</w:t>
      </w:r>
    </w:p>
    <w:p>
      <w:pPr>
        <w:spacing w:line="570" w:lineRule="exact"/>
        <w:ind w:firstLine="608" w:firstLineChars="200"/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  <w:t>一般公共预算收入、上年结转、上级补助收入、调入资金、新增地方政府债券收入等总收入预计为249502万元（待与市局核对完成后调整）。一般公共预算支出为220428万元（占调整预算的95.7%，同比减少10.6%），上解支出10833万元，结转下年支出9991万元，债务还本支出8250万元，一般公共预算总支出预计249502万元，当年实现收支平衡。</w:t>
      </w:r>
    </w:p>
    <w:p>
      <w:pPr>
        <w:spacing w:line="570" w:lineRule="exact"/>
        <w:ind w:firstLine="608" w:firstLineChars="200"/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  <w:t>2.政府性基金预算：2021年全区政府性基金收入完成40853万元，占调整预算的95.4%，同比增长103.3%。其中：国有土地使用权出让收入完成39368万元，同比增长142.6%。</w:t>
      </w:r>
    </w:p>
    <w:p>
      <w:pPr>
        <w:spacing w:line="570" w:lineRule="exact"/>
        <w:ind w:firstLine="608" w:firstLineChars="200"/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  <w:t>政府性基金预算收入、上年结转、上级补助收入、地方政府债券等总收入预计为81618万元（待与市局核对完成后调整）；政府性基金预算支出为78685万元(占调整预算的96.4%，同比增长87.6%)，调出资金148万元，结转下年支出2785万元，政府性基金总支出预计81618万元，当年实现收支平衡。</w:t>
      </w:r>
    </w:p>
    <w:p>
      <w:pPr>
        <w:spacing w:line="570" w:lineRule="exact"/>
        <w:ind w:firstLine="608" w:firstLineChars="200"/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pacing w:val="-8"/>
          <w:kern w:val="0"/>
          <w:sz w:val="32"/>
          <w:szCs w:val="32"/>
          <w:shd w:val="clear" w:color="auto" w:fill="FFFFFF"/>
        </w:rPr>
        <w:t>3.社会保险基金预算：2021年全区社会保险基金收入预计完成50596万元，占年初预算的62.4%。因城乡居民基本医疗保险基金在预算执行过程中上划至市统筹，调减收入预算30540万元。扣除该因素后，完成预算的100.2%；社保基金支出预计完成43548万元，占年初预算的60.3%。扣除上划因素，完成预算的100%。收支相抵后，社会保险基金当年结余7048万元。　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（二）财政重点工作开展情况</w:t>
      </w:r>
    </w:p>
    <w:p>
      <w:pPr>
        <w:pStyle w:val="7"/>
        <w:shd w:val="clear" w:color="auto" w:fill="FFFFFF"/>
        <w:spacing w:beforeAutospacing="0" w:afterAutospacing="0" w:line="570" w:lineRule="exact"/>
        <w:ind w:firstLine="640"/>
        <w:jc w:val="both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各位代表，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年，是实现第一个百年奋斗目标的收官之年，是“十四五”规划开局之年，区财政部门认真落实区二届人大五次会议关于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年预算草案的决议、审查报告，不断完善制度机制，强化政策落实和预算约束，全力以赴抓收入，强化调度保支出，加快改革提效能，较好地服务了全区经济社会发展大局。</w:t>
      </w:r>
    </w:p>
    <w:p>
      <w:pPr>
        <w:pStyle w:val="7"/>
        <w:shd w:val="clear" w:color="auto" w:fill="FFFFFF"/>
        <w:spacing w:beforeAutospacing="0" w:afterAutospacing="0" w:line="570" w:lineRule="exact"/>
        <w:ind w:firstLine="643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1.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聚焦组织收入，多管齐下增强保障能力</w:t>
      </w:r>
    </w:p>
    <w:p>
      <w:pPr>
        <w:pStyle w:val="7"/>
        <w:shd w:val="clear" w:color="auto" w:fill="FFFFFF"/>
        <w:spacing w:beforeAutospacing="0" w:afterAutospacing="0" w:line="570" w:lineRule="exact"/>
        <w:ind w:firstLine="610"/>
        <w:jc w:val="both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一是强化收入征管。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积极应对经济下行压力，严格落实减税降费政策，坚持依法依规组织收入。持续加强重点税源和重点税种监控，深挖增收潜力，增值税、个人所得税、土地增值税、房产税增幅显著，2021年税收收入同比增长22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。同时进一步加强国有土地有偿出让等收入的征收管理，全力挖掘非税收入潜力，确保非税收入及时足额入库。全年政府性基金收入完成40853万元，有效弥补公共预算的财力缺口。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二是积极向上争取资金。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围绕扎实做好“六稳”工作、全面落实“六保”任务的工作思路，紧抓政策机遇，主动对接、加大力度争取中央、省、市资金支持，共向上争取资金160645万元（含新增一般债券7000万元、再融资债券7400万元、专项债券30000万元），为全区经济和社会事业发展提供有力保障，有效缓解财政压力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三是盘活财政存量资金。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加强财政资金动态监控，建立“定期清理、限期使用、超期收回”长效机制，共盘活财政存量资金28344万元,清理回收的资金主要用于为民办实事、城市建设和重点项目建设，进一步增强财政保障能力。</w:t>
      </w:r>
    </w:p>
    <w:p>
      <w:pPr>
        <w:pStyle w:val="7"/>
        <w:shd w:val="clear" w:color="auto" w:fill="FFFFFF"/>
        <w:spacing w:beforeAutospacing="0" w:afterAutospacing="0" w:line="570" w:lineRule="exact"/>
        <w:ind w:right="105" w:firstLine="647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2.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聚焦服务供给，点面共进深化民生福祉</w:t>
      </w:r>
    </w:p>
    <w:p>
      <w:pPr>
        <w:pStyle w:val="7"/>
        <w:shd w:val="clear" w:color="auto" w:fill="FFFFFF"/>
        <w:spacing w:beforeAutospacing="0" w:afterAutospacing="0" w:line="570" w:lineRule="exact"/>
        <w:ind w:firstLine="640"/>
        <w:textAlignment w:val="baseline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不折不扣落实过“紧日子”要求，兜牢“三保”底线，2021年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1-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12月与民生密切相关的支出183062万元，占一般预算支出比重达83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一是教育均衡发展再上新台阶。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全年教育经费支出55263万元，比去年同期增支4694万元，占一般预算支出比重为25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。主要用于完善教育经费保障机制，逐步提高教师生活待遇和教育基础设施建设。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二是公共卫生体系建设有了新提升。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2021年卫生健康支出21235万元。投入1782万元，及时建立疫情防控资金保障机制，畅通防疫物资采购渠道，全面落实疫情隔离防控费用、一线医务人员临时性工作补助、防疫物资采购经费、发热门诊改造完善、新冠病毒疫苗接种等，全力支持打赢疫情防控阻击战；投入260万元，落实区级公立医院改革补助，改善基层医疗卫生条件；投入3136万元，基本公共卫生服务经费政府补助标准从年人均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74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元提高到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79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元，新增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5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元部分统筹用于加强基层疫情防控经费保障，进一步提升了公共卫生服务效能，提高应对突发公共卫生事件和重大疾病的防控能力。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三是社会保障体系建设取得新进展。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2021年社会保障支出40759万元，比上年同期增支7645万元，增长23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。其中，投入6182万元，用于行政事业单位养老金支出；投入9655万元，用于发放城乡居民基本养老保险金；投入2145万元，用于发放城乡最低生活保障金、城乡特困人员救助；投入435万元，做好高校毕业生、下岗失业人员、就业困难人员等重点群体就业工作。全年城镇新增就业人数2600人，全区就业形势保持稳定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四是文化社会事业发展取得新成就。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优化配置财政支出结构，补齐文化支出短板，支持文化惠民工程。2021年投入2452万元，切实丰富人民群众的文化生活。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五是城乡基础设施得到新夯实。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全年积极筹措建设资金10688万元，用于城区管网、老旧小区改造、棚户区改造、水源区保护等，不断优化城乡居住环境，提升人民群众的获得感和幸福感。</w:t>
      </w:r>
    </w:p>
    <w:p>
      <w:pPr>
        <w:pStyle w:val="7"/>
        <w:shd w:val="clear" w:color="auto" w:fill="FFFFFF"/>
        <w:spacing w:beforeAutospacing="0" w:afterAutospacing="0" w:line="570" w:lineRule="exact"/>
        <w:ind w:firstLine="643"/>
        <w:textAlignment w:val="baseline"/>
        <w:rPr>
          <w:rFonts w:hint="eastAsia" w:ascii="微软雅黑" w:hAnsi="微软雅黑" w:eastAsia="仿宋_GB2312" w:cs="微软雅黑"/>
          <w:color w:val="000000"/>
          <w:spacing w:val="-8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3.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聚焦重点难点，精准施策助力攻坚战果</w:t>
      </w:r>
    </w:p>
    <w:p>
      <w:pPr>
        <w:pStyle w:val="7"/>
        <w:shd w:val="clear" w:color="auto" w:fill="FFFFFF"/>
        <w:spacing w:beforeAutospacing="0" w:afterAutospacing="0" w:line="570" w:lineRule="exact"/>
        <w:ind w:firstLine="643"/>
        <w:textAlignment w:val="baseline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一是巩固脱贫成果，乡村振兴战略有效落实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。以“产业兴旺、生态宜居、乡风文明、治理有效、生活富裕”为导向，促进农民增收，农业增效、农村美丽为重点。2021年全年农业支出19401万元，主要用于耕地力保护、农机购置补贴、高标准农田建设、种粮农民一次性补贴等，确保粮食供应和市场稳定；投入7671万元，用于农村环境综合整治、农村基础设施建设，不断改善农村生产生活条件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二是加大污染防治，生态环境明显改善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。践行绿水青山就是金山银山理念，2021年环保支出14175万元，主要用于支持大气污染防治、水环境治理及矿山恢复治理。积极申报推进山水林田湖草沙综合治理项目。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三是科学防范风险，政府债务风险总体可控。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结合我区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年到期债券和新增债券实际需求，主动与省财政厅沟通衔接，争取再融资债券7400万元，有效缓解了我区到期政府债务还债压力。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年共筹集资金偿还地方政府债务本息14760万元，其中：本金8250万元，利息6510万元。</w:t>
      </w:r>
    </w:p>
    <w:p>
      <w:pPr>
        <w:pStyle w:val="7"/>
        <w:shd w:val="clear" w:color="auto" w:fill="FFFFFF"/>
        <w:spacing w:beforeAutospacing="0" w:afterAutospacing="0" w:line="570" w:lineRule="exact"/>
        <w:ind w:firstLine="643"/>
        <w:jc w:val="both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4.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聚焦纾困惠企，多措并举推动经济发展</w:t>
      </w:r>
    </w:p>
    <w:p>
      <w:pPr>
        <w:pStyle w:val="7"/>
        <w:shd w:val="clear" w:color="auto" w:fill="FFFFFF"/>
        <w:spacing w:beforeAutospacing="0" w:afterAutospacing="0" w:line="570" w:lineRule="exact"/>
        <w:ind w:firstLine="643"/>
        <w:rPr>
          <w:rFonts w:hint="eastAsia"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一是落实减税降费政策。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全面贯彻落实国家减税降费政策，2021年我区新增落实减税降费政策共减免13500万元。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二是兑现各类惠企政策。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全年兑现惠企资金785万元用于工业企业技改创新及研发费用补助，节能与循环经济支出1330万元，支持工商走出国门发展循环经济支出670万元，推动地方战略性新兴产业发展投入1380万元，鼓励企业深耕主业、争创名牌，推动企业转型升级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三是优化营商环境。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加大向上争取专项债券资金力度，争取8400万元专项债券资金用于完善经济开发区基础设施建设，筑巢引凤。</w:t>
      </w:r>
    </w:p>
    <w:p>
      <w:pPr>
        <w:pStyle w:val="7"/>
        <w:shd w:val="clear" w:color="auto" w:fill="FFFFFF"/>
        <w:spacing w:beforeAutospacing="0" w:afterAutospacing="0" w:line="570" w:lineRule="exact"/>
        <w:ind w:firstLine="643"/>
        <w:jc w:val="both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5.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聚焦改革创新，不断提升财政管理水平</w:t>
      </w:r>
    </w:p>
    <w:p>
      <w:pPr>
        <w:pStyle w:val="7"/>
        <w:shd w:val="clear" w:color="auto" w:fill="FFFFFF"/>
        <w:spacing w:beforeAutospacing="0" w:afterAutospacing="0" w:line="570" w:lineRule="exact"/>
        <w:ind w:firstLine="643"/>
        <w:rPr>
          <w:rFonts w:ascii="微软雅黑" w:hAnsi="微软雅黑" w:eastAsia="微软雅黑" w:cs="微软雅黑"/>
          <w:color w:val="000000"/>
          <w:spacing w:val="-8"/>
          <w:sz w:val="27"/>
          <w:szCs w:val="27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一是预算管理改革步伐加快。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加快推进</w:t>
      </w:r>
      <w:r>
        <w:rPr>
          <w:rFonts w:hint="eastAsia" w:ascii="宋体" w:hAnsi="宋体" w:cs="宋体"/>
          <w:color w:val="000000"/>
          <w:spacing w:val="-8"/>
          <w:sz w:val="21"/>
          <w:szCs w:val="21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业务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+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技术”双轮驱动的新的预算管理一体化系统建设，促进财政监督、绩效管理与预算编制、执行全面深度融合。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二是政府采购和投资评审提质增效。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2021年完成政府采购招标项目41个，涉及采购预算资金7854.17万元，实际采购金额为7419.33万元，节约资金434.84万元，节约率5.54％。持续加大财政投资评审力度，强化对重大项目、重大产业资金的评审和跟踪问效，严控项目随意变更、增加投资。财政投资评审已完结送审金额43652万元，审定金额36041万元，核减金额7611万元，核减率14.7</w:t>
      </w:r>
      <w:r>
        <w:rPr>
          <w:rFonts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微软雅黑" w:eastAsia="仿宋_GB2312" w:cs="仿宋_GB2312"/>
          <w:b/>
          <w:bCs/>
          <w:color w:val="000000"/>
          <w:spacing w:val="-8"/>
          <w:sz w:val="32"/>
          <w:szCs w:val="32"/>
          <w:shd w:val="clear" w:color="auto" w:fill="FFFFFF"/>
        </w:rPr>
        <w:t>三是国有资产管理规范发展。</w:t>
      </w: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对新颁布的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《行政事业性国有资产管理条例》加强学习培训，严格按规定落实审批程序，资产处置收入严格执行“收支两条线”管理规定，实现国有资产保值增值。</w:t>
      </w:r>
    </w:p>
    <w:p>
      <w:pPr>
        <w:spacing w:line="570" w:lineRule="exact"/>
        <w:ind w:firstLine="608" w:firstLineChars="200"/>
        <w:textAlignment w:val="baseline"/>
        <w:rPr>
          <w:rFonts w:eastAsia="楷体_GB2312"/>
          <w:bCs/>
          <w:color w:val="000000"/>
          <w:spacing w:val="-8"/>
          <w:sz w:val="32"/>
        </w:rPr>
      </w:pPr>
      <w:r>
        <w:rPr>
          <w:rFonts w:hint="eastAsia" w:eastAsia="楷体_GB2312"/>
          <w:bCs/>
          <w:color w:val="000000"/>
          <w:spacing w:val="-8"/>
          <w:sz w:val="32"/>
          <w:szCs w:val="32"/>
        </w:rPr>
        <w:t>（三）当前财政运行中存在的困难和问题</w:t>
      </w:r>
    </w:p>
    <w:p>
      <w:pPr>
        <w:spacing w:line="570" w:lineRule="exact"/>
        <w:ind w:firstLine="608" w:firstLineChars="200"/>
        <w:rPr>
          <w:rFonts w:hint="eastAsia" w:eastAsia="仿宋_GB2312"/>
          <w:color w:val="000000"/>
          <w:spacing w:val="-8"/>
          <w:sz w:val="32"/>
          <w:szCs w:val="32"/>
        </w:rPr>
      </w:pPr>
      <w:r>
        <w:rPr>
          <w:rFonts w:hint="eastAsia" w:eastAsia="仿宋_GB2312"/>
          <w:color w:val="000000"/>
          <w:spacing w:val="-8"/>
          <w:sz w:val="32"/>
          <w:szCs w:val="32"/>
        </w:rPr>
        <w:t>成绩来之不易，困难纷繁复杂，一些瓶颈问题需要我们付出更多的努力，采取科学的措施，妥善应对处理。</w:t>
      </w:r>
    </w:p>
    <w:p>
      <w:pPr>
        <w:spacing w:line="570" w:lineRule="exact"/>
        <w:ind w:firstLine="640"/>
        <w:rPr>
          <w:rFonts w:eastAsia="仿宋_GB2312"/>
          <w:color w:val="000000"/>
          <w:spacing w:val="-8"/>
          <w:sz w:val="32"/>
          <w:szCs w:val="32"/>
        </w:rPr>
      </w:pPr>
      <w:r>
        <w:rPr>
          <w:rFonts w:hint="eastAsia" w:eastAsia="仿宋_GB2312"/>
          <w:b/>
          <w:bCs/>
          <w:color w:val="000000"/>
          <w:spacing w:val="-8"/>
          <w:sz w:val="32"/>
          <w:szCs w:val="32"/>
        </w:rPr>
        <w:t>一是财政收入增长乏力。</w:t>
      </w:r>
      <w:r>
        <w:rPr>
          <w:rFonts w:hint="eastAsia" w:eastAsia="仿宋_GB2312"/>
          <w:color w:val="000000"/>
          <w:spacing w:val="-8"/>
          <w:sz w:val="32"/>
          <w:szCs w:val="32"/>
        </w:rPr>
        <w:t>受新冠肺炎疫情以及小微企业普惠性减税、深化增值税改革、个人所得税专项附加扣除等新增减税降费政策减收影响，加之全区经济总量偏小、税源结构单一、缺乏新的收入增长点，财政收入特别是税收增速回落，实现持续增收目标，难度空前。</w:t>
      </w:r>
    </w:p>
    <w:p>
      <w:pPr>
        <w:spacing w:line="570" w:lineRule="exact"/>
        <w:ind w:firstLine="640"/>
        <w:rPr>
          <w:rFonts w:eastAsia="仿宋_GB2312"/>
          <w:color w:val="000000"/>
          <w:spacing w:val="-8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pacing w:val="-8"/>
          <w:sz w:val="32"/>
          <w:szCs w:val="32"/>
        </w:rPr>
        <w:t>二是收支矛盾进一步突出。</w:t>
      </w:r>
      <w:r>
        <w:rPr>
          <w:rFonts w:hint="eastAsia" w:eastAsia="仿宋_GB2312"/>
          <w:color w:val="000000"/>
          <w:spacing w:val="-8"/>
          <w:sz w:val="32"/>
          <w:szCs w:val="32"/>
        </w:rPr>
        <w:t>随着各项改革纵深推进、民生支出政策性提标和乡村振兴全面实施，稳增长、调结构、惠民生、乡村振兴和防风险等方面的刚性支出进一步增加，特别是民生保障、人员经费、债务还本付息等支出增长较快，全区支出需求大幅增加，与收入下行形成明显反差，财政收支矛盾进一步突出，</w:t>
      </w:r>
      <w:r>
        <w:rPr>
          <w:rFonts w:hint="eastAsia" w:eastAsia="仿宋_GB2312"/>
          <w:color w:val="000000"/>
          <w:spacing w:val="-8"/>
          <w:sz w:val="32"/>
          <w:szCs w:val="32"/>
          <w:shd w:val="clear" w:color="auto" w:fill="FFFFFF"/>
        </w:rPr>
        <w:t>预算平衡难度进一步加大。</w:t>
      </w:r>
    </w:p>
    <w:p>
      <w:pPr>
        <w:spacing w:line="570" w:lineRule="exact"/>
        <w:ind w:firstLine="640"/>
        <w:rPr>
          <w:rFonts w:eastAsia="仿宋_GB2312"/>
          <w:color w:val="000000"/>
          <w:spacing w:val="-8"/>
          <w:sz w:val="32"/>
          <w:szCs w:val="32"/>
        </w:rPr>
      </w:pPr>
      <w:r>
        <w:rPr>
          <w:rFonts w:hint="eastAsia" w:eastAsia="仿宋_GB2312"/>
          <w:b/>
          <w:bCs/>
          <w:color w:val="000000"/>
          <w:spacing w:val="-8"/>
          <w:sz w:val="32"/>
          <w:szCs w:val="32"/>
        </w:rPr>
        <w:t>三是政府债务还本付息压力持续加大。</w:t>
      </w:r>
      <w:r>
        <w:rPr>
          <w:rFonts w:hint="eastAsia" w:eastAsia="仿宋_GB2312"/>
          <w:color w:val="000000"/>
          <w:spacing w:val="-8"/>
          <w:sz w:val="32"/>
          <w:szCs w:val="32"/>
        </w:rPr>
        <w:t>近年来，全区政府性债务全部用于公益性基础设施建设项目，偿债资金主要靠本级财政预算安排，但由于我区综合财力小，可用财力有限，造成还本付息逐年累计叠加、压力持续加大。</w:t>
      </w:r>
    </w:p>
    <w:p>
      <w:pPr>
        <w:spacing w:line="570" w:lineRule="exact"/>
        <w:ind w:firstLine="608" w:firstLineChars="200"/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pacing w:val="-8"/>
          <w:sz w:val="32"/>
          <w:szCs w:val="32"/>
          <w:shd w:val="clear" w:color="auto" w:fill="FFFFFF"/>
        </w:rPr>
        <w:t>对此，我们将高度重视，认真研究，切实采取有效措施，努力加以解决。</w:t>
      </w:r>
    </w:p>
    <w:p>
      <w:pPr>
        <w:spacing w:line="570" w:lineRule="exact"/>
        <w:ind w:firstLine="608" w:firstLineChars="200"/>
        <w:rPr>
          <w:rFonts w:hint="eastAsia" w:ascii="黑体" w:eastAsia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8"/>
          <w:sz w:val="32"/>
          <w:szCs w:val="32"/>
        </w:rPr>
        <w:t>二、2022年财政预算（草案）</w:t>
      </w:r>
    </w:p>
    <w:p>
      <w:pPr>
        <w:pStyle w:val="7"/>
        <w:shd w:val="clear" w:color="auto" w:fill="FFFFFF"/>
        <w:spacing w:beforeAutospacing="0" w:afterAutospacing="0" w:line="570" w:lineRule="exact"/>
        <w:ind w:firstLine="640"/>
        <w:rPr>
          <w:rFonts w:hint="eastAsia" w:ascii="仿宋_GB2312" w:hAnsi="Times New Roman" w:eastAsia="仿宋_GB2312"/>
          <w:color w:val="000000"/>
          <w:spacing w:val="-8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pacing w:val="-8"/>
          <w:kern w:val="2"/>
          <w:sz w:val="32"/>
          <w:szCs w:val="32"/>
        </w:rPr>
        <w:t>2022年财政工作的指导思想是：坚持以习近平新时代中国特色社会主义思想为指导，全面贯彻十九届六中全会精神，紧紧围绕区委重点工作，认真贯彻落实中央及省、市财政工作精神，坚持稳字当头，稳中求进，注重实效，继续做好“六稳”、“六保”工作。进一步调整优化财政支出结构，加强重点领域经费保障，提高财政资金配置效益，完善地方政府债务管控，防范系统性风险，促进我区经济社会持续健康发展。2022年财政收支预算如下：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（一）一般公共预算</w:t>
      </w:r>
    </w:p>
    <w:p>
      <w:pPr>
        <w:spacing w:line="570" w:lineRule="exact"/>
        <w:ind w:firstLine="64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一般公共预算收入拟安排89576万元，增长8%以上。其中：税收收入拟安排62703万元，占总任务的70%；非税收入拟安排26873万元，占总任务的30%。</w:t>
      </w:r>
    </w:p>
    <w:p>
      <w:pPr>
        <w:spacing w:line="570" w:lineRule="exact"/>
        <w:ind w:firstLine="64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根据上述安排的收入预算和现行财政体制测算，地方财力包括：财力性补助61507万元、上年结转9991万元、提前下达2022年专项转移支付资金31978万元，调入资金94145万元（调入资金主要是为保平衡，来源为土地出让收益）。2022年公共财政预算总收入预计287197万元。安排一般公共预算支出272476万元，体制上解支出10833万元，一般债券还本支出3888万元， 一般公共预算总支出预计287197万元。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（二）政府性基金预算</w:t>
      </w:r>
    </w:p>
    <w:p>
      <w:pPr>
        <w:spacing w:line="570" w:lineRule="exact"/>
        <w:ind w:firstLine="64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政府性基金预算收入拟安排175258万元，同比增长329%。</w:t>
      </w:r>
    </w:p>
    <w:p>
      <w:pPr>
        <w:spacing w:line="570" w:lineRule="exact"/>
        <w:ind w:firstLine="64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根据当年收入、上级补助收入、上年结转等数据测算，政府性基金预算总收入预计179379万元。按照收支平衡原则，政府性基金预算总支出安排179379万元，其中：政府性基金支出81113万元，上年结余及专款支出安排4121万元，调出资金安排94145万元，由一般公共预算统筹使用。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（三）社会保险基金预算</w:t>
      </w:r>
    </w:p>
    <w:p>
      <w:pPr>
        <w:spacing w:line="570" w:lineRule="exact"/>
        <w:ind w:firstLine="64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社会保险基金收入拟安排40006万元。社保基金预算支出拟安排35028万元。收支相抵后，预计结余4978万元。</w:t>
      </w:r>
    </w:p>
    <w:p>
      <w:pPr>
        <w:spacing w:line="570" w:lineRule="exact"/>
        <w:ind w:firstLine="608" w:firstLineChars="200"/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pacing w:val="-8"/>
          <w:sz w:val="32"/>
          <w:szCs w:val="32"/>
        </w:rPr>
        <w:t>（四）国有资本经营预算</w:t>
      </w:r>
    </w:p>
    <w:p>
      <w:pPr>
        <w:spacing w:line="570" w:lineRule="exact"/>
        <w:ind w:firstLine="640"/>
        <w:rPr>
          <w:rFonts w:hint="eastAsia" w:eastAsia="仿宋_GB2312"/>
          <w:color w:val="000000"/>
          <w:spacing w:val="-8"/>
          <w:sz w:val="32"/>
          <w:szCs w:val="32"/>
        </w:rPr>
      </w:pPr>
      <w:r>
        <w:rPr>
          <w:rFonts w:hint="eastAsia" w:eastAsia="仿宋_GB2312"/>
          <w:color w:val="000000"/>
          <w:spacing w:val="-8"/>
          <w:sz w:val="32"/>
          <w:szCs w:val="32"/>
        </w:rPr>
        <w:t>根据省、市文件精神，结合区属国有企业国有资本经营收益情况，2022年暂不编制国有资本经营预算。</w:t>
      </w:r>
    </w:p>
    <w:p>
      <w:pPr>
        <w:spacing w:line="570" w:lineRule="exact"/>
        <w:ind w:firstLine="608" w:firstLineChars="200"/>
        <w:rPr>
          <w:rFonts w:eastAsia="黑体"/>
          <w:color w:val="000000"/>
          <w:spacing w:val="-8"/>
          <w:sz w:val="32"/>
          <w:szCs w:val="32"/>
        </w:rPr>
      </w:pPr>
      <w:r>
        <w:rPr>
          <w:rFonts w:hint="eastAsia" w:eastAsia="黑体"/>
          <w:color w:val="000000"/>
          <w:spacing w:val="-8"/>
          <w:sz w:val="32"/>
          <w:szCs w:val="32"/>
        </w:rPr>
        <w:t>三、2022年财政工作措施</w:t>
      </w:r>
    </w:p>
    <w:p>
      <w:pPr>
        <w:spacing w:line="570" w:lineRule="exact"/>
        <w:ind w:firstLine="608" w:firstLineChars="200"/>
        <w:textAlignment w:val="baseline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立足</w:t>
      </w:r>
      <w:r>
        <w:rPr>
          <w:rFonts w:hint="eastAsia" w:ascii="仿宋_GB2312" w:eastAsia="仿宋_GB2312"/>
          <w:color w:val="000000"/>
          <w:spacing w:val="-8"/>
          <w:sz w:val="32"/>
          <w:szCs w:val="32"/>
          <w:shd w:val="clear" w:color="auto" w:fill="FFFFFF"/>
        </w:rPr>
        <w:t>区委三届三次全会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“1135”战略，进一步强化责任担当，主动奋发作为，着力破解财政难题，提升保障能力水平，为“激情奋进‘十四五’、再造一个新满城”贡献财政力量。</w:t>
      </w:r>
    </w:p>
    <w:p>
      <w:pPr>
        <w:shd w:val="clear" w:color="auto" w:fill="FFFFFF"/>
        <w:spacing w:line="570" w:lineRule="exact"/>
        <w:ind w:firstLine="572"/>
        <w:rPr>
          <w:rFonts w:hint="eastAsia" w:ascii="楷体_GB2312" w:eastAsia="楷体_GB2312"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-8"/>
          <w:sz w:val="32"/>
          <w:szCs w:val="32"/>
        </w:rPr>
        <w:t>（一）多措并举，挖掘潜力，以更大力度推进财政增收</w:t>
      </w:r>
    </w:p>
    <w:p>
      <w:pPr>
        <w:shd w:val="clear" w:color="auto" w:fill="FFFFFF"/>
        <w:spacing w:line="570" w:lineRule="exact"/>
        <w:ind w:firstLine="572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坚持“向内挖潜、向深统筹”相结合，积极保存量、拓增量，提质量，不断壮大县级财力总量。一是积极培植财源。落实落细减税降费措施，严格执行制度性减税政策，加大中小微企业税收减免力度，清理规范行政事业性收费，全力支持招商引资，持续放大政策叠加效应，培植骨干税源，优化税源结构，厚植增收基础。二是依法综合治税。紧盯全年收入目标，落实部门征管责任，尤其是乡镇机构改革后职能下放问题，乡镇更要主动作为，抓好收入；加强收入预期管理、动态监控和结构分析，以重点税收和零散税种为主，推进税收增长；以土地出让收益和资产收益为主，推动财政收入规模、增幅和质量同步提升。三是统筹盘活存量。健全完善“限期使用、定期清理、超期收回”长效机制，切实压缩资金结余结转规模，减少资源资产闲置浪费；盘活处置闲置国有资产，</w:t>
      </w:r>
      <w:r>
        <w:rPr>
          <w:rFonts w:hint="eastAsia" w:ascii="仿宋_GB2312" w:hAnsi="宋体" w:eastAsia="仿宋_GB2312" w:cs="仿宋_GB2312"/>
          <w:color w:val="000000"/>
          <w:spacing w:val="-8"/>
          <w:sz w:val="32"/>
          <w:szCs w:val="32"/>
        </w:rPr>
        <w:t>深入挖掘可变现的闲置国有资产，增加非税收入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。</w:t>
      </w:r>
    </w:p>
    <w:p>
      <w:pPr>
        <w:shd w:val="clear" w:color="auto" w:fill="FFFFFF"/>
        <w:spacing w:line="570" w:lineRule="exact"/>
        <w:ind w:firstLine="572"/>
        <w:rPr>
          <w:rFonts w:hint="eastAsia" w:ascii="楷体_GB2312" w:eastAsia="楷体_GB2312"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-8"/>
          <w:sz w:val="32"/>
          <w:szCs w:val="32"/>
        </w:rPr>
        <w:t>（二）着眼大局，统筹兼顾，以更强担当推动经济发展</w:t>
      </w:r>
    </w:p>
    <w:p>
      <w:pPr>
        <w:shd w:val="clear" w:color="auto" w:fill="FFFFFF"/>
        <w:spacing w:line="570" w:lineRule="exact"/>
        <w:ind w:firstLine="572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统筹兼顾保重点、集中财力办大事。一是以争取专项为突破口。夯实部门争取责任，发挥有效对接作用，紧盯投资导向，以优势产业、道路交通、水利水电、卫生医疗、生态环保为重点，谋划储备、选择一批打基础、利长远、辐射面广、带动性强的大项目、好项目。二是以政府投资为支撑点。充分发挥财政资金的引导和撬动作用，加大融资支持力度，拓宽资金来源，大力推进公共基础设施和公益性项目建设。三是以重点任务为主抓手。加大“三农”投入力度，加强涉农资金整合，支持实施乡村建设，推动乡村振兴；坚持资金投入同污染防治攻坚任务相匹配，加强保障，确保区委区政府各项决策部署落地落实。</w:t>
      </w:r>
    </w:p>
    <w:p>
      <w:pPr>
        <w:shd w:val="clear" w:color="auto" w:fill="FFFFFF"/>
        <w:spacing w:line="570" w:lineRule="exact"/>
        <w:ind w:firstLine="572"/>
        <w:rPr>
          <w:rFonts w:hint="eastAsia" w:ascii="楷体_GB2312" w:eastAsia="楷体_GB2312"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-8"/>
          <w:sz w:val="32"/>
          <w:szCs w:val="32"/>
        </w:rPr>
        <w:t>（三）有保有压，用情用力，以更深情怀保障改善民生</w:t>
      </w:r>
    </w:p>
    <w:p>
      <w:pPr>
        <w:shd w:val="clear" w:color="auto" w:fill="FFFFFF"/>
        <w:spacing w:line="570" w:lineRule="exact"/>
        <w:ind w:firstLine="572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全面优化财政支出结构，持续推进民生事业发展。严把预算支出关口，进一步压减一般性、非重点支出，严控公务运行、维修购置和会议费、培训费支出，取消低效无效支出。带头“过紧日子”，兜实兜牢“三保”支出底线；聚焦创业就业、教科文卫、社会保障、医疗卫生等民生政策，加大投入力度，用“真金白银、真情实意”增进民生福祉，提升幸福指数。措办民生实事。千方百计筹措资金，争取实施一批民生“补短板”项目，全力保障重大民生项目和民生工程建设，切实办好民生实事好事。</w:t>
      </w:r>
    </w:p>
    <w:p>
      <w:pPr>
        <w:shd w:val="clear" w:color="auto" w:fill="FFFFFF"/>
        <w:spacing w:line="570" w:lineRule="exact"/>
        <w:ind w:firstLine="572"/>
        <w:rPr>
          <w:rFonts w:hint="eastAsia" w:ascii="楷体_GB2312" w:eastAsia="楷体_GB2312"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-8"/>
          <w:sz w:val="32"/>
          <w:szCs w:val="32"/>
        </w:rPr>
        <w:t>（四）依法理财、提质增效，以更实举措完善财政治理</w:t>
      </w:r>
    </w:p>
    <w:p>
      <w:pPr>
        <w:shd w:val="clear" w:color="auto" w:fill="FFFFFF"/>
        <w:spacing w:line="570" w:lineRule="exact"/>
        <w:ind w:firstLine="572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认真贯彻落实《</w:t>
      </w:r>
      <w:r>
        <w:rPr>
          <w:rFonts w:hint="eastAsia" w:ascii="仿宋_GB2312" w:eastAsia="仿宋_GB2312"/>
          <w:color w:val="000000"/>
          <w:spacing w:val="-8"/>
          <w:sz w:val="32"/>
          <w:szCs w:val="32"/>
          <w:lang w:eastAsia="zh-CN"/>
        </w:rPr>
        <w:t>中华人民共和国</w:t>
      </w:r>
      <w:bookmarkStart w:id="1" w:name="_GoBack"/>
      <w:bookmarkEnd w:id="1"/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预算法》及《实施条例》,硬化预算约束，强化执行控制，严禁超预算、无预算支出，预算执行中除疫情防控、民生保障等事项外，原则上不再追加预算；确需新增的支出事项，优先从部门既有预算资金中调剂解决。完善政府债务常态化监控和风险评估预警机制，强化政府债务限额管理，坚决遏制隐性债务增量，坚决杜绝违规举债融资，确保不发生系统性、区域性债务风险。着力发挥预算绩效管理的引导作用，强化绩效结果约束，切实做到花钱必问效，无效必问责。加强会计继续教育，分层次、分批次、分行业开展财政财务管理培训，切实提高会计从业质量和职业道德，确保各类资金安全规范高效运行。</w:t>
      </w:r>
    </w:p>
    <w:p>
      <w:pPr>
        <w:shd w:val="clear" w:color="auto" w:fill="FFFFFF"/>
        <w:spacing w:line="570" w:lineRule="exact"/>
        <w:ind w:firstLine="572"/>
        <w:rPr>
          <w:rFonts w:hint="eastAsia" w:ascii="楷体_GB2312" w:eastAsia="楷体_GB2312"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-8"/>
          <w:sz w:val="32"/>
          <w:szCs w:val="32"/>
        </w:rPr>
        <w:t>（五）创新思维，拓宽思路，以更高标准深化财政改革</w:t>
      </w:r>
    </w:p>
    <w:p>
      <w:pPr>
        <w:shd w:val="clear" w:color="auto" w:fill="FFFFFF"/>
        <w:spacing w:line="570" w:lineRule="exact"/>
        <w:ind w:firstLine="572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坚持以提升财政治理能力、管理效能和资金绩效为关键，深化财政改革，提升运行水平。深化预算管理体制改革，结合财力状况、轻重缓急、绩效情况，综合协调预算平衡，进一步优化财政资源配置，提高财政资金使用效率。立足阳光财政，规范预算公开流程，细化公开内容，创新公开方式，拓宽公开渠道，着力打造财政信息公开新模式。持续加强国有资产管理，加强对闲置资产的统筹利用,逐步实现资产管理与预算管理相结合的模式；加快推进国有企业改革；深化政府采购制度改革，规范政府购买服务行为，不断提高政府购买服务质量和效益；严格执行公务卡强制结算目录，建立公务卡使用、管理、监督、通报制度。</w:t>
      </w:r>
    </w:p>
    <w:p>
      <w:pPr>
        <w:shd w:val="clear" w:color="auto" w:fill="FFFFFF"/>
        <w:spacing w:line="570" w:lineRule="exact"/>
        <w:ind w:firstLine="572"/>
        <w:rPr>
          <w:rFonts w:hint="eastAsia" w:ascii="楷体_GB2312" w:eastAsia="楷体_GB2312"/>
          <w:color w:val="000000"/>
          <w:spacing w:val="-8"/>
          <w:sz w:val="32"/>
          <w:szCs w:val="32"/>
        </w:rPr>
      </w:pPr>
      <w:r>
        <w:rPr>
          <w:rFonts w:hint="eastAsia" w:ascii="楷体_GB2312" w:eastAsia="楷体_GB2312"/>
          <w:color w:val="000000"/>
          <w:spacing w:val="-8"/>
          <w:sz w:val="32"/>
          <w:szCs w:val="32"/>
        </w:rPr>
        <w:t>（六）强化担当，积极作为，以更高站位服务全区大局</w:t>
      </w:r>
    </w:p>
    <w:p>
      <w:pPr>
        <w:shd w:val="clear" w:color="auto" w:fill="FFFFFF"/>
        <w:spacing w:line="570" w:lineRule="exact"/>
        <w:ind w:firstLine="572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深入贯彻落实习近平新时代中国特色社会主义思想，不断增强“四个意识”，坚定“四个自信”，做到“两个维护”。始终坚持“财随政走、政令财行”，把讲政治、顾大局的要求贯穿到财政工作全过程，系统梳理和把握财政工作的基本思路和主要着力点，用实干和担当确保区委各项决策部署不折不扣落实到位。压紧压实全面从严治党“两个责任”，严格执行“一岗双责”，加强内控机制建设,强化财政权力运行制约，不断提高财政服务质量和效率。完善财政干部教育培训机制，健全综合考核评价机制，加大关键岗位干部配备和优秀年轻干部培养选拔力度，着力打造忠诚干净担当的高素质财政干部队伍。</w:t>
      </w:r>
    </w:p>
    <w:p>
      <w:pPr>
        <w:spacing w:line="570" w:lineRule="exact"/>
        <w:ind w:firstLine="608" w:firstLineChars="200"/>
        <w:textAlignment w:val="baseline"/>
        <w:rPr>
          <w:rFonts w:eastAsia="仿宋_GB2312"/>
          <w:color w:val="000000"/>
          <w:spacing w:val="-8"/>
          <w:sz w:val="32"/>
          <w:szCs w:val="32"/>
        </w:rPr>
      </w:pPr>
      <w:r>
        <w:rPr>
          <w:rFonts w:hint="eastAsia" w:eastAsia="仿宋_GB2312"/>
          <w:color w:val="000000"/>
          <w:spacing w:val="-8"/>
          <w:sz w:val="32"/>
          <w:szCs w:val="32"/>
        </w:rPr>
        <w:t>各位代表、同志们。新时代赋予新使命，新征程呼唤新作为。站在满城发展新的历史起点，尽管财政形势依然复杂严峻，困难问题仍然突出，但有新一届区委的领航指引，有区人大、区政协的监督指导，有全区干部群众一如既往的大力支持，我们就有了无比坚定的信心，无比强大的底气，我们一定只争朝夕、不负韶华，一定不负使命、攻克难关，为建设品质生活新区，善美活力满城作出应有的财政贡献。</w:t>
      </w:r>
    </w:p>
    <w:p>
      <w:pPr>
        <w:spacing w:line="570" w:lineRule="exact"/>
        <w:ind w:firstLine="630"/>
        <w:rPr>
          <w:rFonts w:ascii="仿宋_GB2312" w:eastAsia="仿宋_GB2312"/>
          <w:color w:val="000000"/>
          <w:spacing w:val="-8"/>
          <w:sz w:val="32"/>
          <w:szCs w:val="32"/>
        </w:rPr>
      </w:pPr>
    </w:p>
    <w:p>
      <w:pPr>
        <w:spacing w:line="570" w:lineRule="exact"/>
        <w:ind w:firstLine="608" w:firstLineChars="2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附件：</w:t>
      </w:r>
      <w:r>
        <w:rPr>
          <w:rFonts w:ascii="仿宋_GB2312" w:eastAsia="仿宋_GB2312"/>
          <w:color w:val="000000"/>
          <w:spacing w:val="-8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2021年财政收入完成情况表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2021年财政支出完成情况表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2022年一般公共预算收入表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2022年一般公共预算支出表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5.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2022年一般公共预算收支平衡表</w:t>
      </w:r>
    </w:p>
    <w:p>
      <w:pPr>
        <w:spacing w:line="570" w:lineRule="exact"/>
        <w:ind w:firstLine="1520" w:firstLineChars="500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/>
          <w:color w:val="000000"/>
          <w:spacing w:val="-8"/>
          <w:sz w:val="32"/>
          <w:szCs w:val="32"/>
        </w:rPr>
        <w:t>6.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2022年政府性基金预算收入表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7</w:t>
      </w:r>
      <w:r>
        <w:rPr>
          <w:rFonts w:ascii="仿宋_GB2312" w:eastAsia="仿宋_GB2312"/>
          <w:color w:val="000000"/>
          <w:spacing w:val="-8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2022年政府性基金预算收支平衡表</w:t>
      </w:r>
    </w:p>
    <w:p>
      <w:pPr>
        <w:spacing w:line="570" w:lineRule="exact"/>
        <w:ind w:firstLine="1520" w:firstLineChars="50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8</w:t>
      </w:r>
      <w:r>
        <w:rPr>
          <w:rFonts w:ascii="仿宋_GB2312" w:eastAsia="仿宋_GB2312"/>
          <w:color w:val="000000"/>
          <w:spacing w:val="-8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2022年社会保险基金预算收支平衡表</w:t>
      </w:r>
    </w:p>
    <w:p>
      <w:pPr>
        <w:spacing w:line="600" w:lineRule="exact"/>
        <w:rPr>
          <w:rFonts w:hint="eastAsia" w:ascii="黑体" w:hAnsi="宋体" w:eastAsia="黑体" w:cs="宋体"/>
          <w:color w:val="000000"/>
          <w:spacing w:val="-8"/>
          <w:sz w:val="32"/>
          <w:szCs w:val="32"/>
        </w:rPr>
      </w:pPr>
      <w:r>
        <w:rPr>
          <w:rFonts w:ascii="宋体" w:hAnsi="宋体" w:cs="宋体"/>
          <w:color w:val="000000"/>
          <w:spacing w:val="-8"/>
          <w:sz w:val="32"/>
          <w:szCs w:val="32"/>
        </w:rPr>
        <w:br w:type="page"/>
      </w:r>
      <w:r>
        <w:rPr>
          <w:rFonts w:hint="eastAsia" w:ascii="黑体" w:hAnsi="宋体" w:eastAsia="黑体" w:cs="宋体"/>
          <w:color w:val="000000"/>
          <w:spacing w:val="-8"/>
          <w:sz w:val="32"/>
          <w:szCs w:val="32"/>
        </w:rPr>
        <w:t>附件1</w:t>
      </w:r>
    </w:p>
    <w:p>
      <w:pPr>
        <w:spacing w:line="600" w:lineRule="exact"/>
        <w:rPr>
          <w:rFonts w:hint="eastAsia" w:ascii="黑体" w:hAnsi="宋体" w:eastAsia="黑体" w:cs="宋体"/>
          <w:color w:val="000000"/>
          <w:spacing w:val="-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2021年财政收入完成情况表</w:t>
      </w:r>
    </w:p>
    <w:p>
      <w:pPr>
        <w:spacing w:line="600" w:lineRule="exact"/>
        <w:jc w:val="right"/>
        <w:rPr>
          <w:rFonts w:hint="eastAsia" w:ascii="仿宋_GB2312" w:hAnsi="宋体" w:eastAsia="仿宋_GB2312" w:cs="宋体"/>
          <w:color w:val="000000"/>
          <w:spacing w:val="-8"/>
          <w:sz w:val="24"/>
        </w:rPr>
      </w:pPr>
      <w:r>
        <w:rPr>
          <w:rFonts w:hint="eastAsia" w:ascii="仿宋_GB2312" w:hAnsi="宋体" w:eastAsia="仿宋_GB2312"/>
          <w:color w:val="000000"/>
          <w:spacing w:val="-8"/>
          <w:sz w:val="24"/>
        </w:rPr>
        <w:t>单位：万元</w:t>
      </w:r>
    </w:p>
    <w:tbl>
      <w:tblPr>
        <w:tblStyle w:val="8"/>
        <w:tblW w:w="8702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400"/>
        <w:gridCol w:w="1232"/>
        <w:gridCol w:w="1187"/>
        <w:gridCol w:w="1080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color w:val="000000"/>
                <w:spacing w:val="-8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color w:val="000000"/>
                <w:spacing w:val="-8"/>
                <w:sz w:val="24"/>
              </w:rPr>
              <w:t>项  目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4"/>
              </w:rPr>
              <w:t>调整预算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4"/>
              </w:rPr>
              <w:t>累计完成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4"/>
              </w:rPr>
              <w:t>去年同期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4"/>
              </w:rPr>
              <w:t>占预算%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4"/>
              </w:rPr>
              <w:t>可比增长%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8"/>
                <w:sz w:val="24"/>
              </w:rPr>
              <w:t>全部财政收入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136004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136004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145260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100.0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10.3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8"/>
                <w:sz w:val="24"/>
              </w:rPr>
              <w:t>公共财政预算收入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82500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82941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93175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100.5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10.3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8"/>
                <w:sz w:val="24"/>
              </w:rPr>
              <w:t>一、税务系统收入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57750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52398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42949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90.7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22.0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其中：1.增值税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24500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16136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16910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65.9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-4.6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 xml:space="preserve">      2.企业所得税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5440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5039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4695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92.6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 xml:space="preserve">      3.个人所得税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1000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964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824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96.4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 xml:space="preserve">      4.资源税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900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861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835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95.7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 xml:space="preserve">      5.其他各税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25910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29398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19685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113.5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49.3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8"/>
                <w:sz w:val="24"/>
              </w:rPr>
              <w:t>二、政策性退税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-786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8"/>
                <w:sz w:val="24"/>
              </w:rPr>
              <w:t>三、财政组织收入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24750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30543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51012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123.4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-7.5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8"/>
                <w:sz w:val="24"/>
              </w:rPr>
              <w:t>政府性基金收入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42839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40853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20091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95.4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103.3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 xml:space="preserve"> 其中：土地基金收入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39928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39368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16227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98.6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142.6</w:t>
            </w:r>
          </w:p>
        </w:tc>
      </w:tr>
    </w:tbl>
    <w:p/>
    <w:p>
      <w:pPr>
        <w:spacing w:line="570" w:lineRule="exact"/>
        <w:rPr>
          <w:rFonts w:hint="eastAsia" w:ascii="宋体" w:hAnsi="宋体" w:cs="宋体"/>
          <w:color w:val="000000"/>
          <w:spacing w:val="-8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701" w:bottom="1701" w:left="1701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eastAsia="黑体"/>
          <w:color w:val="000000"/>
          <w:spacing w:val="-8"/>
          <w:sz w:val="32"/>
          <w:szCs w:val="32"/>
        </w:rPr>
      </w:pPr>
      <w:r>
        <w:rPr>
          <w:rFonts w:hint="eastAsia" w:ascii="黑体" w:eastAsia="黑体"/>
          <w:color w:val="000000"/>
          <w:spacing w:val="-8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2021年财政支出完成情况表</w:t>
      </w:r>
    </w:p>
    <w:p>
      <w:pPr>
        <w:spacing w:line="600" w:lineRule="exact"/>
        <w:jc w:val="right"/>
        <w:rPr>
          <w:rFonts w:hint="eastAsia" w:ascii="仿宋_GB2312" w:eastAsia="仿宋_GB2312"/>
          <w:spacing w:val="-8"/>
          <w:sz w:val="24"/>
        </w:rPr>
      </w:pPr>
      <w:r>
        <w:rPr>
          <w:rFonts w:hint="eastAsia" w:ascii="仿宋_GB2312" w:hAnsi="宋体" w:eastAsia="仿宋_GB2312" w:cs="??_GB2312"/>
          <w:color w:val="000000"/>
          <w:spacing w:val="-8"/>
          <w:kern w:val="0"/>
          <w:sz w:val="24"/>
          <w:lang w:bidi="ar"/>
        </w:rPr>
        <w:t>单位：万元</w:t>
      </w:r>
    </w:p>
    <w:tbl>
      <w:tblPr>
        <w:tblStyle w:val="8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872"/>
        <w:gridCol w:w="868"/>
        <w:gridCol w:w="754"/>
        <w:gridCol w:w="840"/>
        <w:gridCol w:w="967"/>
        <w:gridCol w:w="868"/>
        <w:gridCol w:w="838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2" w:hRule="atLeast"/>
          <w:jc w:val="center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预算科目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调整预算数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ind w:left="-44" w:leftChars="-21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本年累计</w:t>
            </w:r>
          </w:p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上年</w:t>
            </w:r>
          </w:p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同期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比例%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2" w:hRule="atLeast"/>
          <w:jc w:val="center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年初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预算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上年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结转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left="-23" w:leftChars="-11"/>
              <w:jc w:val="center"/>
              <w:textAlignment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预算</w:t>
            </w:r>
          </w:p>
          <w:p>
            <w:pPr>
              <w:spacing w:line="320" w:lineRule="exact"/>
              <w:ind w:left="-23" w:leftChars="-11"/>
              <w:jc w:val="center"/>
              <w:textAlignment w:val="center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调整</w:t>
            </w:r>
          </w:p>
        </w:tc>
        <w:tc>
          <w:tcPr>
            <w:tcW w:w="96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</w:p>
        </w:tc>
        <w:tc>
          <w:tcPr>
            <w:tcW w:w="86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占预算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同比</w:t>
            </w:r>
          </w:p>
          <w:p>
            <w:pPr>
              <w:spacing w:line="320" w:lineRule="exact"/>
              <w:jc w:val="center"/>
              <w:textAlignment w:val="bottom"/>
              <w:rPr>
                <w:rFonts w:hint="eastAsia" w:ascii="黑体" w:hAnsi="宋体" w:eastAsia="黑体" w:cs="??_GB2312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黑体" w:hAnsi="宋体" w:eastAsia="黑体" w:cs="??_GB2312"/>
                <w:bCs/>
                <w:color w:val="000000"/>
                <w:spacing w:val="-10"/>
                <w:kern w:val="0"/>
                <w:szCs w:val="21"/>
                <w:lang w:bidi="ar"/>
              </w:rPr>
              <w:t>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黑体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一、一般预算支出小计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230419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270671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17339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-57591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220428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246580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95.7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1、一般公共服务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22742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24450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-1713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22742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20073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2、国防支出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-60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38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3、公共安全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13093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11286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1370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12361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9330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94.4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4、教育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56943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64510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1863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-9430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55263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50569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97.0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5、科学技术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4492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135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4147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4492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156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2779.5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6、文化旅游体育与传媒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2452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2079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2452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6296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-61.1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7、社会保障和就业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42329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41479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6418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-5568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40759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33114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96.3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8、卫生健康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21303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21909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-706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21235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34824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99.7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-39.0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9、节能环保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14298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23178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2452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-11332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14175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23037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99.1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10、城乡社区事务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10688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9139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1549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10688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17984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-40.6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11、农林水事务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18851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19901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2563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-3613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16756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24483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88.9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-31.6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12、交通运输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2668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3213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-626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1784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6531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66.9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-72.7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13、资源勘探信息等事务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451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162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2572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14、商业服务等事务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1946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2816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-1137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165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32.5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15、自然资源海洋气象等事务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5670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16258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-11077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4788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6083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84.4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-21.3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16、住房保障支出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9185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7422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8599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6313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93.6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6"/>
                <w:kern w:val="0"/>
                <w:szCs w:val="21"/>
                <w:lang w:bidi="ar"/>
              </w:rPr>
              <w:t>17、粮油物资储备管理事务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1516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18、灾害防治及应急管理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2007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2202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-281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1949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1678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97.1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19、债务付息支出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3254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3172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82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3254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2798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20、其他支出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-2024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17236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-19325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-2024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-980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黑体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二、基金支出小计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81618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88813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5908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-13103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78685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41932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96.4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87.6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textAlignment w:val="bottom"/>
              <w:rPr>
                <w:rFonts w:hint="eastAsia" w:ascii="仿宋_GB2312" w:hAnsi="宋体" w:eastAsia="仿宋_GB2312" w:cs="??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??_GB2312"/>
                <w:color w:val="000000"/>
                <w:spacing w:val="-10"/>
                <w:kern w:val="0"/>
                <w:szCs w:val="21"/>
                <w:lang w:bidi="ar"/>
              </w:rPr>
              <w:t>政府性基金支出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81618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88813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5908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-13103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78685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color w:val="000000"/>
                <w:spacing w:val="-10"/>
                <w:kern w:val="0"/>
                <w:szCs w:val="21"/>
                <w:lang w:bidi="ar"/>
              </w:rPr>
              <w:t>41932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96.4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Verdana" w:eastAsia="仿宋_GB2312" w:cs="Verdana"/>
                <w:b/>
                <w:bCs/>
                <w:color w:val="000000"/>
                <w:spacing w:val="-10"/>
                <w:kern w:val="0"/>
                <w:szCs w:val="21"/>
                <w:lang w:bidi="ar"/>
              </w:rPr>
              <w:t>87.6</w:t>
            </w:r>
          </w:p>
        </w:tc>
      </w:tr>
    </w:tbl>
    <w:p>
      <w:pPr>
        <w:rPr>
          <w:rFonts w:ascii="Calibri" w:hAnsi="Calibri"/>
        </w:rPr>
      </w:pP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2022年一般公共预算收入预算表</w:t>
      </w:r>
    </w:p>
    <w:p>
      <w:pPr>
        <w:spacing w:line="570" w:lineRule="exact"/>
        <w:jc w:val="right"/>
        <w:rPr>
          <w:rFonts w:ascii="宋体" w:hAnsi="宋体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单位：万元</w:t>
      </w:r>
    </w:p>
    <w:tbl>
      <w:tblPr>
        <w:tblStyle w:val="8"/>
        <w:tblW w:w="86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2365"/>
        <w:gridCol w:w="1764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  <w:jc w:val="center"/>
        </w:trPr>
        <w:tc>
          <w:tcPr>
            <w:tcW w:w="3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2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2021年基数</w:t>
            </w:r>
          </w:p>
        </w:tc>
        <w:tc>
          <w:tcPr>
            <w:tcW w:w="1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2022年预算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增长（%）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  <w:jc w:val="center"/>
        </w:trPr>
        <w:tc>
          <w:tcPr>
            <w:tcW w:w="3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公共预算收入合计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82941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89576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  <w:jc w:val="center"/>
        </w:trPr>
        <w:tc>
          <w:tcPr>
            <w:tcW w:w="3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一、税务系统收入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58059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62703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  <w:jc w:val="center"/>
        </w:trPr>
        <w:tc>
          <w:tcPr>
            <w:tcW w:w="3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二、财政组织收入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24882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26873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</w:tbl>
    <w:p>
      <w:pPr>
        <w:spacing w:line="570" w:lineRule="exact"/>
        <w:rPr>
          <w:rFonts w:ascii="宋体" w:hAnsi="宋体" w:cs="宋体"/>
          <w:color w:val="000000"/>
          <w:spacing w:val="-8"/>
          <w:sz w:val="32"/>
          <w:szCs w:val="32"/>
        </w:rPr>
      </w:pP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spacing w:val="-8"/>
          <w:sz w:val="32"/>
          <w:szCs w:val="32"/>
        </w:rPr>
        <w:br w:type="page"/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附件4</w:t>
      </w: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2022年一般公共预算支出表</w:t>
      </w:r>
    </w:p>
    <w:p>
      <w:pPr>
        <w:spacing w:line="570" w:lineRule="exact"/>
        <w:jc w:val="right"/>
        <w:rPr>
          <w:rFonts w:ascii="宋体" w:hAnsi="宋体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kern w:val="0"/>
          <w:sz w:val="24"/>
        </w:rPr>
        <w:t>单位：万元</w:t>
      </w:r>
    </w:p>
    <w:tbl>
      <w:tblPr>
        <w:tblStyle w:val="8"/>
        <w:tblW w:w="88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7"/>
        <w:gridCol w:w="2140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  <w:t>项      目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  <w:t>预算安排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合计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272476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一、人员工资和办公经费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137653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二、上年结转专款支出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9991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三、上级提前通知专款支出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31978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四、卫生医疗保障专项经费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11865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五、城乡环境专项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16527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六、教育文化旅游专项经费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4804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七、公共安全及维稳经费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3266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八、村级运转和乡镇占地补偿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4818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九、一般公共服务专项经费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8953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十、民政退役军人及社保专项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5996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十一、交通运输及应急管理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835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十二、农林水自然资源专项经费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14790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含财政衔接资金577万元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十三、双代、型煤补助等专项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6304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十四、债券付息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3396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十五、部门专项业务经费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8300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含预留行政事业单位养老金缺口3000万元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4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十六、预备费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3000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宋体" w:hAnsi="宋体" w:cs="宋体"/>
          <w:color w:val="000000"/>
          <w:spacing w:val="-8"/>
          <w:sz w:val="32"/>
          <w:szCs w:val="32"/>
        </w:rPr>
      </w:pP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spacing w:val="-8"/>
          <w:sz w:val="32"/>
          <w:szCs w:val="32"/>
        </w:rPr>
        <w:br w:type="page"/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附件5</w:t>
      </w: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2022年一般公共预算收支平衡表</w:t>
      </w:r>
    </w:p>
    <w:p>
      <w:pPr>
        <w:spacing w:line="570" w:lineRule="exact"/>
        <w:jc w:val="right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8"/>
        <w:tblW w:w="87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7"/>
        <w:gridCol w:w="1319"/>
        <w:gridCol w:w="2376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4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  <w:t>收     入</w:t>
            </w:r>
          </w:p>
        </w:tc>
        <w:tc>
          <w:tcPr>
            <w:tcW w:w="38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本级收入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89576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本级支出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272476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税收返还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7894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上解支出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财力性转移支付收入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50213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一般债券还本支出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专项转移支付收入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31978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上年结转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9991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FF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调入资金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94145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调入预算稳定调节基金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一般债券收入（再融资债券）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3400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3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收入总计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287197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支出总计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287197</w:t>
            </w:r>
          </w:p>
        </w:tc>
      </w:tr>
    </w:tbl>
    <w:p>
      <w:pPr>
        <w:spacing w:line="570" w:lineRule="exact"/>
        <w:rPr>
          <w:rFonts w:ascii="宋体" w:hAnsi="宋体" w:cs="宋体"/>
          <w:color w:val="000000"/>
          <w:spacing w:val="-8"/>
          <w:sz w:val="32"/>
          <w:szCs w:val="32"/>
        </w:rPr>
      </w:pP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spacing w:val="-8"/>
          <w:sz w:val="32"/>
          <w:szCs w:val="32"/>
        </w:rPr>
        <w:br w:type="page"/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附件6</w:t>
      </w: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2022年政府性基金预算收入表</w:t>
      </w:r>
    </w:p>
    <w:p>
      <w:pPr>
        <w:spacing w:line="570" w:lineRule="exact"/>
        <w:jc w:val="right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8"/>
        <w:tblW w:w="87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785"/>
        <w:gridCol w:w="178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2" w:hRule="atLeast"/>
          <w:jc w:val="center"/>
        </w:trPr>
        <w:tc>
          <w:tcPr>
            <w:tcW w:w="3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2021年完成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2022年预算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增长（%）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40853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175258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329.0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1.国有土地收益基金收入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1846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116.7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2.国有土地使用权出让收入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37403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167228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347.1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3.城市基础设施配套费收入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828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201.9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4.彩票公益金收入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92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-2.2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5.农业土地开发资金收入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66. 7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6.污水处理费收入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390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-2.6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7.其他政府性基金收入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174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46" w:hRule="atLeast"/>
          <w:jc w:val="center"/>
        </w:trPr>
        <w:tc>
          <w:tcPr>
            <w:tcW w:w="3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8.其他地方自行试点项目收益专项债券收入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860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ascii="仿宋_GB2312" w:hAnsi="宋体" w:eastAsia="仿宋_GB2312" w:cs="宋体"/>
          <w:color w:val="000000"/>
          <w:spacing w:val="-8"/>
          <w:kern w:val="0"/>
          <w:sz w:val="28"/>
          <w:szCs w:val="28"/>
        </w:rPr>
      </w:pPr>
    </w:p>
    <w:p>
      <w:pPr>
        <w:spacing w:line="36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spacing w:val="-8"/>
          <w:kern w:val="0"/>
          <w:sz w:val="28"/>
          <w:szCs w:val="28"/>
        </w:rPr>
        <w:br w:type="page"/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附件7</w:t>
      </w: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2022年政府性基金预算收支平衡表</w:t>
      </w:r>
    </w:p>
    <w:p>
      <w:pPr>
        <w:spacing w:line="570" w:lineRule="exact"/>
        <w:jc w:val="right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8"/>
        <w:tblW w:w="8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020"/>
        <w:gridCol w:w="220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45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  <w:t>收     入</w:t>
            </w:r>
          </w:p>
        </w:tc>
        <w:tc>
          <w:tcPr>
            <w:tcW w:w="41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8"/>
                <w:kern w:val="0"/>
                <w:sz w:val="28"/>
                <w:szCs w:val="2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8"/>
                <w:kern w:val="0"/>
                <w:sz w:val="28"/>
                <w:szCs w:val="2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本级收入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175258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本级支出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85234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上级补助收入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1336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调出资金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94145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上年结转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2785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专项债券收入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收入总计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179379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支出总计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8"/>
                <w:szCs w:val="28"/>
              </w:rPr>
              <w:t>179379</w:t>
            </w:r>
          </w:p>
        </w:tc>
      </w:tr>
    </w:tbl>
    <w:p>
      <w:pPr>
        <w:spacing w:line="570" w:lineRule="exact"/>
        <w:rPr>
          <w:rFonts w:ascii="宋体" w:hAnsi="宋体" w:cs="宋体"/>
          <w:color w:val="000000"/>
          <w:spacing w:val="-8"/>
          <w:sz w:val="32"/>
          <w:szCs w:val="32"/>
        </w:rPr>
      </w:pP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spacing w:val="-8"/>
          <w:sz w:val="32"/>
          <w:szCs w:val="32"/>
        </w:rPr>
        <w:br w:type="page"/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附件8</w:t>
      </w:r>
    </w:p>
    <w:p>
      <w:pPr>
        <w:spacing w:line="57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2022年社会保险基金预算收支平衡表</w:t>
      </w:r>
    </w:p>
    <w:p>
      <w:pPr>
        <w:spacing w:line="570" w:lineRule="exact"/>
        <w:jc w:val="right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8"/>
        <w:tblW w:w="862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1400"/>
        <w:gridCol w:w="2757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     目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收入预算</w:t>
            </w:r>
          </w:p>
        </w:tc>
        <w:tc>
          <w:tcPr>
            <w:tcW w:w="2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     目</w:t>
            </w: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3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一、城乡居民基本养老保险基金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14964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一、城乡居民基本养老保险基金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3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二、机关事业单位基本养老保险基金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25042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二、机关事业单位基本养老保险基金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3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三、结转下年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30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     计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40006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     计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40006</w:t>
            </w:r>
          </w:p>
        </w:tc>
      </w:tr>
    </w:tbl>
    <w:p>
      <w:pPr>
        <w:spacing w:line="570" w:lineRule="exact"/>
        <w:rPr>
          <w:rFonts w:hint="eastAsia" w:ascii="宋体" w:hAnsi="宋体" w:cs="宋体"/>
          <w:color w:val="000000"/>
          <w:spacing w:val="-8"/>
          <w:sz w:val="32"/>
          <w:szCs w:val="32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  <w:rPr>
          <w:rFonts w:hint="eastAsia"/>
        </w:rPr>
      </w:pPr>
    </w:p>
    <w:p>
      <w:pPr>
        <w:pStyle w:val="17"/>
        <w:spacing w:line="240" w:lineRule="exact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689" w:type="dxa"/>
            <w:noWrap w:val="0"/>
            <w:vAlign w:val="top"/>
          </w:tcPr>
          <w:p>
            <w:pPr>
              <w:spacing w:line="540" w:lineRule="exact"/>
              <w:rPr>
                <w:rFonts w:ascii="仿宋_GB2312" w:hAnsi="仿宋" w:eastAsia="仿宋_GB2312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pacing w:val="-8"/>
                <w:sz w:val="28"/>
                <w:szCs w:val="28"/>
              </w:rPr>
              <w:t>保定市满城区三届人大第二次会议秘书处</w:t>
            </w:r>
            <w:r>
              <w:rPr>
                <w:rFonts w:ascii="仿宋_GB2312" w:hAnsi="仿宋" w:eastAsia="仿宋_GB2312" w:cs="仿宋"/>
                <w:bCs/>
                <w:spacing w:val="-8"/>
                <w:sz w:val="28"/>
                <w:szCs w:val="28"/>
              </w:rPr>
              <w:t xml:space="preserve">             2022</w:t>
            </w:r>
            <w:r>
              <w:rPr>
                <w:rFonts w:hint="eastAsia" w:ascii="仿宋_GB2312" w:hAnsi="仿宋" w:eastAsia="仿宋_GB2312" w:cs="仿宋"/>
                <w:bCs/>
                <w:spacing w:val="-8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bCs/>
                <w:spacing w:val="-8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仿宋"/>
                <w:bCs/>
                <w:spacing w:val="-8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bCs/>
                <w:spacing w:val="-8"/>
                <w:sz w:val="28"/>
                <w:szCs w:val="28"/>
              </w:rPr>
              <w:t>26</w:t>
            </w:r>
            <w:r>
              <w:rPr>
                <w:rFonts w:hint="eastAsia" w:ascii="仿宋_GB2312" w:hAnsi="仿宋" w:eastAsia="仿宋_GB2312" w:cs="仿宋"/>
                <w:bCs/>
                <w:spacing w:val="-8"/>
                <w:sz w:val="28"/>
                <w:szCs w:val="28"/>
              </w:rPr>
              <w:t>日</w:t>
            </w:r>
          </w:p>
        </w:tc>
      </w:tr>
    </w:tbl>
    <w:p>
      <w:pPr>
        <w:spacing w:line="540" w:lineRule="exact"/>
        <w:jc w:val="right"/>
        <w:rPr>
          <w:rFonts w:hint="eastAsia" w:ascii="仿宋_GB2312" w:hAnsi="仿宋" w:eastAsia="仿宋_GB2312" w:cs="仿宋"/>
          <w:bCs/>
          <w:spacing w:val="-8"/>
          <w:sz w:val="28"/>
          <w:szCs w:val="28"/>
        </w:rPr>
      </w:pPr>
      <w:r>
        <w:rPr>
          <w:rFonts w:hint="eastAsia" w:ascii="仿宋_GB2312" w:hAnsi="仿宋" w:eastAsia="仿宋_GB2312" w:cs="仿宋"/>
          <w:bCs/>
          <w:spacing w:val="-8"/>
          <w:sz w:val="28"/>
          <w:szCs w:val="28"/>
        </w:rPr>
        <w:t>（共印</w:t>
      </w:r>
      <w:r>
        <w:rPr>
          <w:rFonts w:ascii="仿宋_GB2312" w:hAnsi="仿宋" w:eastAsia="仿宋_GB2312" w:cs="仿宋"/>
          <w:bCs/>
          <w:spacing w:val="-8"/>
          <w:sz w:val="28"/>
          <w:szCs w:val="28"/>
        </w:rPr>
        <w:t>650</w:t>
      </w:r>
      <w:r>
        <w:rPr>
          <w:rFonts w:hint="eastAsia" w:ascii="仿宋_GB2312" w:hAnsi="仿宋" w:eastAsia="仿宋_GB2312" w:cs="仿宋"/>
          <w:bCs/>
          <w:spacing w:val="-8"/>
          <w:sz w:val="28"/>
          <w:szCs w:val="28"/>
        </w:rPr>
        <w:t>份）</w:t>
      </w:r>
    </w:p>
    <w:sectPr>
      <w:footerReference r:id="rId9" w:type="default"/>
      <w:pgSz w:w="11906" w:h="16838"/>
      <w:pgMar w:top="1701" w:right="1701" w:bottom="1701" w:left="1701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  <w:lang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  <w:lang/>
      </w:rPr>
      <w:t>- 18 -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73"/>
    <w:rsid w:val="000055E4"/>
    <w:rsid w:val="00024EC7"/>
    <w:rsid w:val="0002502C"/>
    <w:rsid w:val="00027BE5"/>
    <w:rsid w:val="00032146"/>
    <w:rsid w:val="00041EA5"/>
    <w:rsid w:val="00043E3C"/>
    <w:rsid w:val="00050E50"/>
    <w:rsid w:val="00094C44"/>
    <w:rsid w:val="000A345A"/>
    <w:rsid w:val="000B10C0"/>
    <w:rsid w:val="000F5757"/>
    <w:rsid w:val="00115645"/>
    <w:rsid w:val="00142372"/>
    <w:rsid w:val="00156704"/>
    <w:rsid w:val="0016287C"/>
    <w:rsid w:val="0016578F"/>
    <w:rsid w:val="00176700"/>
    <w:rsid w:val="0017776D"/>
    <w:rsid w:val="00187F0C"/>
    <w:rsid w:val="001A1A1E"/>
    <w:rsid w:val="001B2744"/>
    <w:rsid w:val="001E1E40"/>
    <w:rsid w:val="001F6259"/>
    <w:rsid w:val="00204EC3"/>
    <w:rsid w:val="002124F2"/>
    <w:rsid w:val="00217376"/>
    <w:rsid w:val="00223E4A"/>
    <w:rsid w:val="00243501"/>
    <w:rsid w:val="00263532"/>
    <w:rsid w:val="00266FDA"/>
    <w:rsid w:val="0027376F"/>
    <w:rsid w:val="00287F9F"/>
    <w:rsid w:val="00295E8F"/>
    <w:rsid w:val="002A41AE"/>
    <w:rsid w:val="002B15AF"/>
    <w:rsid w:val="003122D1"/>
    <w:rsid w:val="00312573"/>
    <w:rsid w:val="00312F33"/>
    <w:rsid w:val="00315ECE"/>
    <w:rsid w:val="00316365"/>
    <w:rsid w:val="00325211"/>
    <w:rsid w:val="003252DC"/>
    <w:rsid w:val="003763B8"/>
    <w:rsid w:val="003A4CEB"/>
    <w:rsid w:val="003B6A0E"/>
    <w:rsid w:val="003D3DFB"/>
    <w:rsid w:val="003D4AA8"/>
    <w:rsid w:val="003D6691"/>
    <w:rsid w:val="003E285D"/>
    <w:rsid w:val="003E2C0F"/>
    <w:rsid w:val="00410ED0"/>
    <w:rsid w:val="00417D8E"/>
    <w:rsid w:val="004217C2"/>
    <w:rsid w:val="00426F14"/>
    <w:rsid w:val="00433210"/>
    <w:rsid w:val="004564D2"/>
    <w:rsid w:val="004579EB"/>
    <w:rsid w:val="00460AE7"/>
    <w:rsid w:val="004A2282"/>
    <w:rsid w:val="004B0CE1"/>
    <w:rsid w:val="004D00AC"/>
    <w:rsid w:val="004D2136"/>
    <w:rsid w:val="00501F52"/>
    <w:rsid w:val="005124B9"/>
    <w:rsid w:val="0052125F"/>
    <w:rsid w:val="00522CC9"/>
    <w:rsid w:val="005524AD"/>
    <w:rsid w:val="005552A1"/>
    <w:rsid w:val="00563242"/>
    <w:rsid w:val="00565C16"/>
    <w:rsid w:val="0057074C"/>
    <w:rsid w:val="0058396F"/>
    <w:rsid w:val="0058446D"/>
    <w:rsid w:val="005B4D54"/>
    <w:rsid w:val="005B4F67"/>
    <w:rsid w:val="005C1F35"/>
    <w:rsid w:val="005E012D"/>
    <w:rsid w:val="005F33BC"/>
    <w:rsid w:val="005F7D5F"/>
    <w:rsid w:val="0061390D"/>
    <w:rsid w:val="00615B01"/>
    <w:rsid w:val="006255C4"/>
    <w:rsid w:val="006331B9"/>
    <w:rsid w:val="0063374C"/>
    <w:rsid w:val="006366D8"/>
    <w:rsid w:val="006524CC"/>
    <w:rsid w:val="00685801"/>
    <w:rsid w:val="00685816"/>
    <w:rsid w:val="006A11BD"/>
    <w:rsid w:val="006B2FF6"/>
    <w:rsid w:val="006B5EF1"/>
    <w:rsid w:val="006C68A2"/>
    <w:rsid w:val="007B48A4"/>
    <w:rsid w:val="007B52B7"/>
    <w:rsid w:val="007B5E27"/>
    <w:rsid w:val="007C1207"/>
    <w:rsid w:val="007C63CE"/>
    <w:rsid w:val="007C7833"/>
    <w:rsid w:val="007D5D0D"/>
    <w:rsid w:val="007E34CC"/>
    <w:rsid w:val="007E6AD7"/>
    <w:rsid w:val="0080257B"/>
    <w:rsid w:val="00820174"/>
    <w:rsid w:val="008232C0"/>
    <w:rsid w:val="00825A8E"/>
    <w:rsid w:val="00857753"/>
    <w:rsid w:val="00886A64"/>
    <w:rsid w:val="008A426E"/>
    <w:rsid w:val="008A442D"/>
    <w:rsid w:val="008A7B9A"/>
    <w:rsid w:val="008B3B29"/>
    <w:rsid w:val="008F6024"/>
    <w:rsid w:val="00903DDD"/>
    <w:rsid w:val="009068CF"/>
    <w:rsid w:val="00911800"/>
    <w:rsid w:val="00937D84"/>
    <w:rsid w:val="00943FF6"/>
    <w:rsid w:val="00957A52"/>
    <w:rsid w:val="009642D6"/>
    <w:rsid w:val="00970083"/>
    <w:rsid w:val="00976887"/>
    <w:rsid w:val="009833D0"/>
    <w:rsid w:val="009A5889"/>
    <w:rsid w:val="009C1AEB"/>
    <w:rsid w:val="009D15E7"/>
    <w:rsid w:val="009D2EC5"/>
    <w:rsid w:val="009D53B8"/>
    <w:rsid w:val="00A154A2"/>
    <w:rsid w:val="00A80B4A"/>
    <w:rsid w:val="00A91583"/>
    <w:rsid w:val="00AC61E7"/>
    <w:rsid w:val="00AD32B2"/>
    <w:rsid w:val="00B145CC"/>
    <w:rsid w:val="00B1569B"/>
    <w:rsid w:val="00B16092"/>
    <w:rsid w:val="00B16D36"/>
    <w:rsid w:val="00B23A46"/>
    <w:rsid w:val="00B44BB3"/>
    <w:rsid w:val="00B45E28"/>
    <w:rsid w:val="00B54DF0"/>
    <w:rsid w:val="00B568BE"/>
    <w:rsid w:val="00B620DA"/>
    <w:rsid w:val="00B6233A"/>
    <w:rsid w:val="00B74FC0"/>
    <w:rsid w:val="00B859F5"/>
    <w:rsid w:val="00B90523"/>
    <w:rsid w:val="00BA4FA8"/>
    <w:rsid w:val="00BA6B5F"/>
    <w:rsid w:val="00BC68A8"/>
    <w:rsid w:val="00BF1488"/>
    <w:rsid w:val="00BF303F"/>
    <w:rsid w:val="00C2500C"/>
    <w:rsid w:val="00C31DEF"/>
    <w:rsid w:val="00C40051"/>
    <w:rsid w:val="00C6386B"/>
    <w:rsid w:val="00C64A24"/>
    <w:rsid w:val="00C826D7"/>
    <w:rsid w:val="00C838CF"/>
    <w:rsid w:val="00CA455C"/>
    <w:rsid w:val="00CF60E7"/>
    <w:rsid w:val="00D03075"/>
    <w:rsid w:val="00D13697"/>
    <w:rsid w:val="00D137CF"/>
    <w:rsid w:val="00D165BB"/>
    <w:rsid w:val="00D40F98"/>
    <w:rsid w:val="00D47702"/>
    <w:rsid w:val="00D815D3"/>
    <w:rsid w:val="00D836F7"/>
    <w:rsid w:val="00D86B32"/>
    <w:rsid w:val="00D91DC8"/>
    <w:rsid w:val="00D91F19"/>
    <w:rsid w:val="00DA3559"/>
    <w:rsid w:val="00DA3B95"/>
    <w:rsid w:val="00DD121D"/>
    <w:rsid w:val="00DE11E6"/>
    <w:rsid w:val="00E41DAC"/>
    <w:rsid w:val="00E7557E"/>
    <w:rsid w:val="00EB38C4"/>
    <w:rsid w:val="00EB5530"/>
    <w:rsid w:val="00EC7285"/>
    <w:rsid w:val="00ED0033"/>
    <w:rsid w:val="00ED6DAC"/>
    <w:rsid w:val="00EE2571"/>
    <w:rsid w:val="00EE7768"/>
    <w:rsid w:val="00EF4756"/>
    <w:rsid w:val="00F01249"/>
    <w:rsid w:val="00F47ED2"/>
    <w:rsid w:val="00F71BF8"/>
    <w:rsid w:val="00F81830"/>
    <w:rsid w:val="00F91ED3"/>
    <w:rsid w:val="00FA019E"/>
    <w:rsid w:val="00FB3238"/>
    <w:rsid w:val="00FB7DE0"/>
    <w:rsid w:val="00FD0FF0"/>
    <w:rsid w:val="00FD22D7"/>
    <w:rsid w:val="00FD270E"/>
    <w:rsid w:val="00FF06D0"/>
    <w:rsid w:val="024D72CC"/>
    <w:rsid w:val="06F4515F"/>
    <w:rsid w:val="07FA72AB"/>
    <w:rsid w:val="11534600"/>
    <w:rsid w:val="12224BE5"/>
    <w:rsid w:val="146263CD"/>
    <w:rsid w:val="14684D35"/>
    <w:rsid w:val="18DD4DAF"/>
    <w:rsid w:val="1900350A"/>
    <w:rsid w:val="1BFC68DC"/>
    <w:rsid w:val="21443C60"/>
    <w:rsid w:val="26026FF5"/>
    <w:rsid w:val="2C261DFC"/>
    <w:rsid w:val="2D627168"/>
    <w:rsid w:val="33B35303"/>
    <w:rsid w:val="37EC1DB2"/>
    <w:rsid w:val="394A768E"/>
    <w:rsid w:val="3A063E66"/>
    <w:rsid w:val="3B3C46C3"/>
    <w:rsid w:val="3D892860"/>
    <w:rsid w:val="3F761E9F"/>
    <w:rsid w:val="40F212D5"/>
    <w:rsid w:val="45452F2C"/>
    <w:rsid w:val="45C52C3C"/>
    <w:rsid w:val="460D4E53"/>
    <w:rsid w:val="46547B65"/>
    <w:rsid w:val="46884F24"/>
    <w:rsid w:val="46FF07D8"/>
    <w:rsid w:val="49463679"/>
    <w:rsid w:val="4AED667C"/>
    <w:rsid w:val="4B157662"/>
    <w:rsid w:val="4BEF7260"/>
    <w:rsid w:val="4CFF4D1F"/>
    <w:rsid w:val="567752B8"/>
    <w:rsid w:val="59F31C76"/>
    <w:rsid w:val="5AB26012"/>
    <w:rsid w:val="5F1151B7"/>
    <w:rsid w:val="622D0E32"/>
    <w:rsid w:val="67C55D50"/>
    <w:rsid w:val="6A651C9E"/>
    <w:rsid w:val="6B80044C"/>
    <w:rsid w:val="6EB835BF"/>
    <w:rsid w:val="6FD73796"/>
    <w:rsid w:val="71BD17CC"/>
    <w:rsid w:val="71DE2E16"/>
    <w:rsid w:val="740D375C"/>
    <w:rsid w:val="773A3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styleId="3">
    <w:name w:val="Body Text"/>
    <w:basedOn w:val="1"/>
    <w:link w:val="13"/>
    <w:uiPriority w:val="0"/>
    <w:pPr>
      <w:jc w:val="center"/>
    </w:pPr>
    <w:rPr>
      <w:rFonts w:ascii="宋体" w:hAnsi="Calibri"/>
      <w:b/>
      <w:sz w:val="44"/>
    </w:rPr>
  </w:style>
  <w:style w:type="paragraph" w:styleId="4">
    <w:name w:val="Plain Text"/>
    <w:basedOn w:val="1"/>
    <w:link w:val="14"/>
    <w:uiPriority w:val="0"/>
    <w:rPr>
      <w:rFonts w:ascii="宋体" w:hAnsi="Courier New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Emphasis"/>
    <w:basedOn w:val="10"/>
    <w:qFormat/>
    <w:uiPriority w:val="0"/>
    <w:rPr>
      <w:i/>
      <w:iCs/>
    </w:rPr>
  </w:style>
  <w:style w:type="character" w:customStyle="1" w:styleId="13">
    <w:name w:val="正文文本 Char"/>
    <w:basedOn w:val="10"/>
    <w:link w:val="3"/>
    <w:semiHidden/>
    <w:locked/>
    <w:uiPriority w:val="0"/>
    <w:rPr>
      <w:rFonts w:ascii="宋体" w:hAnsi="Calibri" w:eastAsia="宋体"/>
      <w:b/>
      <w:kern w:val="2"/>
      <w:sz w:val="44"/>
      <w:szCs w:val="24"/>
      <w:lang w:val="en-US" w:eastAsia="zh-CN" w:bidi="ar-SA"/>
    </w:rPr>
  </w:style>
  <w:style w:type="character" w:customStyle="1" w:styleId="14">
    <w:name w:val="Plain Text Char"/>
    <w:basedOn w:val="10"/>
    <w:link w:val="4"/>
    <w:semiHidden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5">
    <w:name w:val="font01"/>
    <w:basedOn w:val="10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1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7">
    <w:name w:val="Plain Text1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20</Pages>
  <Words>1561</Words>
  <Characters>8900</Characters>
  <Lines>74</Lines>
  <Paragraphs>20</Paragraphs>
  <TotalTime>0</TotalTime>
  <ScaleCrop>false</ScaleCrop>
  <LinksUpToDate>false</LinksUpToDate>
  <CharactersWithSpaces>10441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2022-02-07T01:23:00Z</dcterms:created>
  <dc:creator>admin12</dc:creator>
  <cp:lastModifiedBy>Administrator</cp:lastModifiedBy>
  <cp:lastPrinted>2022-01-19T02:37:00Z</cp:lastPrinted>
  <dcterms:modified xsi:type="dcterms:W3CDTF">2024-01-11T10:04:18Z</dcterms:modified>
  <dc:title>保定市满城区财政局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B8828D1982E444CDB088C90C28B27C9A</vt:lpwstr>
  </property>
</Properties>
</file>