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6432" behindDoc="0" locked="0" layoutInCell="1" allowOverlap="1">
            <wp:simplePos x="0" y="0"/>
            <wp:positionH relativeFrom="column">
              <wp:posOffset>-969010</wp:posOffset>
            </wp:positionH>
            <wp:positionV relativeFrom="paragraph">
              <wp:posOffset>-1379855</wp:posOffset>
            </wp:positionV>
            <wp:extent cx="8646160" cy="10799445"/>
            <wp:effectExtent l="0" t="0" r="10160" b="5715"/>
            <wp:wrapNone/>
            <wp:docPr id="5" name="图片 5"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公开封面"/>
                    <pic:cNvPicPr>
                      <a:picLocks noChangeAspect="1"/>
                    </pic:cNvPicPr>
                  </pic:nvPicPr>
                  <pic:blipFill>
                    <a:blip r:embed="rId14"/>
                    <a:stretch>
                      <a:fillRect/>
                    </a:stretch>
                  </pic:blipFill>
                  <pic:spPr>
                    <a:xfrm>
                      <a:off x="0" y="0"/>
                      <a:ext cx="8646160" cy="1079944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jc w:val="center"/>
        <w:rPr>
          <w:rFonts w:ascii="黑体" w:hAnsi="黑体" w:eastAsia="黑体" w:cs="黑体"/>
          <w:sz w:val="72"/>
          <w:szCs w:val="96"/>
          <w:highlight w:val="yellow"/>
        </w:rPr>
      </w:pPr>
      <w:r>
        <w:rPr>
          <w:rFonts w:hint="eastAsia" w:ascii="黑体" w:hAnsi="黑体" w:eastAsia="黑体" w:cs="黑体"/>
          <w:sz w:val="72"/>
          <w:szCs w:val="96"/>
        </w:rPr>
        <w:t>保定市满城区财政局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jc w:val="center"/>
        <w:rPr>
          <w:rFonts w:ascii="黑体" w:hAnsi="黑体" w:eastAsia="黑体" w:cs="黑体"/>
          <w:sz w:val="56"/>
          <w:szCs w:val="72"/>
          <w:highlight w:val="yellow"/>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满城区财政局是政府的组成部门，是满城区政府主管全区财政收入、财税政策、国有资产管理、农业综合开发工作的综合经济部门，其主要职责是：</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1.宣传贯彻中央，省市财政政策，依据上述财政政策，结合本区实际，代政府起草政策性文件，并加以贯彻落实。</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2.贯彻执行《</w:t>
      </w:r>
      <w:r>
        <w:rPr>
          <w:rFonts w:hint="eastAsia" w:ascii="仿宋_GB2312" w:hAnsi="Times New Roman" w:eastAsia="仿宋_GB2312" w:cs="DengXian-Regular"/>
          <w:sz w:val="32"/>
          <w:szCs w:val="32"/>
          <w:lang w:eastAsia="zh-CN"/>
        </w:rPr>
        <w:t>中华人民共和国</w:t>
      </w:r>
      <w:bookmarkStart w:id="0" w:name="_GoBack"/>
      <w:bookmarkEnd w:id="0"/>
      <w:r>
        <w:rPr>
          <w:rFonts w:hint="eastAsia" w:ascii="仿宋_GB2312" w:hAnsi="Times New Roman" w:eastAsia="仿宋_GB2312" w:cs="DengXian-Regular"/>
          <w:sz w:val="32"/>
          <w:szCs w:val="32"/>
        </w:rPr>
        <w:t>预算法》，编制年度本区预决算草案，汇总年度乡镇预决算，制定区对乡财政管理体制。金库管理制度， 负责预算执行及管理。</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3.制定中长期财政规划，依法管理预算外资金，负责行政性收费（基金、附加）及罚没收入的征收管理。</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4.负责行政、文教财务，社会保障财务，农业财务，国有企业财务，基建财务，涉外企业财务管理。</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5.贯彻执行会计法，负责全区会计管理工作。</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6.加强财政监督检查，查处违反财经纪律和打击报复案件。维护财经纪律。</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7.负责国有资产管理及清产核资工作。</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8.负责农业综合开发工作。</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Times New Roman" w:eastAsia="仿宋_GB2312" w:cs="DengXian-Regular"/>
          <w:sz w:val="32"/>
          <w:szCs w:val="32"/>
        </w:rPr>
        <w:t>9.按制度控制社会集团购买力，实施政府采购。</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 1个，具体情况如下：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UnicodeMS"/>
                <w:kern w:val="0"/>
                <w:sz w:val="28"/>
                <w:szCs w:val="28"/>
              </w:rPr>
            </w:pPr>
            <w:r>
              <w:rPr>
                <w:rFonts w:ascii="仿宋_GB2312" w:hAnsi="Calibri" w:eastAsia="仿宋_GB2312" w:cs="ArialUnicodeMS"/>
                <w:kern w:val="0"/>
                <w:sz w:val="28"/>
                <w:szCs w:val="28"/>
              </w:rPr>
              <w:t>保定市满城区</w:t>
            </w:r>
            <w:r>
              <w:rPr>
                <w:rFonts w:hint="eastAsia" w:ascii="仿宋_GB2312" w:hAnsi="Calibri" w:eastAsia="仿宋_GB2312" w:cs="ArialUnicodeMS"/>
                <w:kern w:val="0"/>
                <w:sz w:val="28"/>
                <w:szCs w:val="28"/>
              </w:rPr>
              <w:t>财政局</w:t>
            </w:r>
          </w:p>
        </w:tc>
        <w:tc>
          <w:tcPr>
            <w:tcW w:w="2404"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22"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B8gCyY+AgAAnQQAAA4AAAAAAAAAAQAg&#10;AAAALAEAAGRycy9lMm9Eb2MueG1sUEsFBgAAAAAGAAYAWQEAANwFA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本部门2020年度收、支总计（含结转和结余）1249.53万元。与2019年度决算相比，收支各减少179.44万元，下降12.56%，主要原因</w:t>
      </w:r>
      <w:r>
        <w:rPr>
          <w:rFonts w:hint="eastAsia" w:ascii="仿宋_GB2312" w:hAnsi="Times New Roman" w:eastAsia="仿宋_GB2312" w:cs="DengXian-Regular"/>
          <w:sz w:val="32"/>
          <w:szCs w:val="32"/>
        </w:rPr>
        <w:t>是2020年度有4名在职人员转为退休，另调出4人调入3人，造成单位养老保险、医疗保险、工伤保险、住房公积金等数额减少；2019年有人员去世抚恤金支出较2020年相对减少等。</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749300</wp:posOffset>
            </wp:positionH>
            <wp:positionV relativeFrom="paragraph">
              <wp:posOffset>2540</wp:posOffset>
            </wp:positionV>
            <wp:extent cx="4156075" cy="2268220"/>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3198"/>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本部门2020年度本年收入合计1249.53万元，其中：财政拨款收入1249.53万元，占100%；事业收入0万元，占0%；经营收入0万元，占0%；其他收入0万元，占0%。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960" w:firstLineChars="3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本部门2020年度本年支出合计1249.53万元，其中：基本支出1176.34万元，占94.14%；项目支出73.19万元，占5.86%；经营支出0万元，占0%</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本部门2020年度财政拨款收支均为一般公共预算财政拨款，其中本年收入1249.53万元,比2019年度减少179.44万元，降低12.56%，主要是</w:t>
      </w:r>
      <w:r>
        <w:rPr>
          <w:rFonts w:hint="eastAsia" w:ascii="仿宋_GB2312" w:hAnsi="Times New Roman" w:eastAsia="仿宋_GB2312" w:cs="DengXian-Regular"/>
          <w:sz w:val="32"/>
          <w:szCs w:val="32"/>
        </w:rPr>
        <w:t>2020年度有4名在职人员转为退休，另调出4人调入3人，造成单位养老保险、职业年金、医疗保险、工伤保险、住房公积金等数额减少；2020年无抚恤金支出较2019年减少等</w:t>
      </w:r>
      <w:r>
        <w:rPr>
          <w:rFonts w:hint="eastAsia" w:ascii="仿宋_GB2312" w:hAnsi="Times New Roman" w:eastAsia="仿宋_GB2312" w:cs="Wingdings"/>
          <w:sz w:val="32"/>
          <w:szCs w:val="32"/>
        </w:rPr>
        <w:t>；本年支出1249.53万元，减少179.44万元，降低12.56%，主要是</w:t>
      </w:r>
      <w:r>
        <w:rPr>
          <w:rFonts w:hint="eastAsia" w:ascii="仿宋_GB2312" w:hAnsi="Times New Roman" w:eastAsia="仿宋_GB2312" w:cs="DengXian-Regular"/>
          <w:sz w:val="32"/>
          <w:szCs w:val="32"/>
        </w:rPr>
        <w:t>2020年度有4名在职人员转为退休，另调出4人调入3人，造成单位养老保险、医疗保险、工伤保险、住房公积金等数额减少；2020年无抚恤金支出较2019年减少等。</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tabs>
          <w:tab w:val="left" w:pos="916"/>
        </w:tabs>
        <w:spacing w:line="560" w:lineRule="exact"/>
        <w:ind w:firstLine="640" w:firstLineChars="200"/>
        <w:jc w:val="left"/>
        <w:rPr>
          <w:rFonts w:ascii="仿宋_GB2312" w:hAnsi="仿宋" w:eastAsia="仿宋_GB2312"/>
          <w:color w:val="000000"/>
          <w:sz w:val="32"/>
          <w:szCs w:val="32"/>
        </w:rPr>
      </w:pPr>
      <w:r>
        <w:rPr>
          <w:rFonts w:hint="eastAsia" w:ascii="仿宋_GB2312" w:hAnsi="Times New Roman" w:eastAsia="仿宋_GB2312" w:cs="Wingdings"/>
          <w:sz w:val="32"/>
          <w:szCs w:val="32"/>
        </w:rPr>
        <w:t>本部门2020年度一般公共预算财政拨款收入1249.53万元，完成年初预算的78.16%,比年初预算减少349.17万元，决算数小于预算数主要原因是人员退休基本支出减少了84</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万元；为</w:t>
      </w:r>
      <w:r>
        <w:rPr>
          <w:rFonts w:hint="eastAsia" w:ascii="仿宋_GB2312" w:hAnsi="仿宋" w:eastAsia="仿宋_GB2312"/>
          <w:color w:val="000000"/>
          <w:sz w:val="32"/>
          <w:szCs w:val="32"/>
        </w:rPr>
        <w:t>保证机关正常运转的情况下视财力状况安排项目支出减少265.17万元。</w:t>
      </w:r>
      <w:r>
        <w:rPr>
          <w:rFonts w:hint="eastAsia" w:ascii="仿宋_GB2312" w:hAnsi="Times New Roman" w:eastAsia="仿宋_GB2312" w:cs="Wingdings"/>
          <w:sz w:val="32"/>
          <w:szCs w:val="32"/>
        </w:rPr>
        <w:t>本年支出1249.53万元，完成年初预算的78.16%,比年初预算减少349.17万元，决算数小于预算数主要原因是人员退休基本支出减少了84</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万元；为</w:t>
      </w:r>
      <w:r>
        <w:rPr>
          <w:rFonts w:hint="eastAsia" w:ascii="仿宋_GB2312" w:hAnsi="仿宋" w:eastAsia="仿宋_GB2312"/>
          <w:color w:val="000000"/>
          <w:sz w:val="32"/>
          <w:szCs w:val="32"/>
        </w:rPr>
        <w:t>保证机关正常运转的情况下视财力状况安排项目支出减少了265.17万元。</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1249.53万元，主要用于以下方面：一般公共服务（类）支出946.57万元，占75.75%，；社会保障和就业（类）支出189.32万元，占15.15%；卫生健康（类）支出51.94万元，占4.16%；住房保障（类）支出61.71万元，占 4.94%。</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年度财政拨款基本支出1176.35万元，其中：人员经费 1072.15万元，主要包括基本工资、津贴补贴、奖金、绩效工资、机关事业单位基本养老保险缴费、职业年金缴费、职工基本医疗保险缴费、住房公积金、其他社会保障缴费、其他工资福利支出、退休费、生活补助、奖励金、其他对个人和家庭的补助支出；公用经费 104.2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万元，主要包括办公费、印刷费、手续费、水费、电费、邮电费、取暖费、差旅费、维修（护）费、劳务费、公务用车运行维护费、其他交通费用、其他商品和服务支出。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本部门2020年度“三公”经费财政拨款支出预算为5</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万元，支出决算为3.98</w:t>
      </w:r>
      <w:r>
        <w:rPr>
          <w:rFonts w:hint="eastAsia" w:ascii="仿宋_GB2312" w:hAnsi="Times New Roman" w:eastAsia="仿宋_GB2312" w:cs="Wingdings"/>
          <w:sz w:val="32"/>
          <w:szCs w:val="32"/>
          <w:lang w:val="en-US" w:eastAsia="zh-CN"/>
        </w:rPr>
        <w:t>万</w:t>
      </w:r>
      <w:r>
        <w:rPr>
          <w:rFonts w:hint="eastAsia" w:ascii="仿宋_GB2312" w:hAnsi="Times New Roman" w:eastAsia="仿宋_GB2312" w:cs="Wingdings"/>
          <w:sz w:val="32"/>
          <w:szCs w:val="32"/>
        </w:rPr>
        <w:t>元，完成预算的79.6</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%,较预算减少1.02万元，降低20.4</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；较2019年度减少1.11万元，降低21.8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本部门2020年公务用车购置及运行维护费支出3.98万元，完成预算的79.6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较预算减少1.02万元，降低20.4</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；较上年减少1.11万元，降低21.8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本部门2020年度公务用车购置量0辆，未发生“公务用车购置”经费支出。</w:t>
      </w:r>
      <w:r>
        <w:rPr>
          <w:rFonts w:hint="eastAsia" w:ascii="仿宋_GB2312" w:hAnsi="Times New Roman" w:eastAsia="仿宋_GB2312" w:cs="Wingdings"/>
          <w:color w:val="000000"/>
          <w:sz w:val="32"/>
          <w:szCs w:val="32"/>
        </w:rPr>
        <w:t>与年初预算0元持平，与2019年度决算支出0元持平。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本部门2020年度单位公务用车保有量2辆,发生运行维护费支出3.98万元。公车运行维护费支出较预算减少1.02万元，降低20.4</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；较上年减少1.11万元，降低21.8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本部门2020年公务接待费支出0万元，完成预算的0%。发生</w:t>
      </w:r>
      <w:r>
        <w:rPr>
          <w:rFonts w:hint="eastAsia" w:ascii="仿宋_GB2312" w:hAnsi="Times New Roman" w:eastAsia="仿宋_GB2312" w:cs="Wingdings"/>
          <w:sz w:val="32"/>
          <w:szCs w:val="32"/>
        </w:rPr>
        <w:t>公务接待共0批次、0人次。公务接待费支出较预算减少0万元，降低0%；较上年度减少0万元，降低0%,。</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根据预算绩效管理要求，本部门组织对2020年度项目支出全面开展绩效自评，其中，一般公共预算一级项目3个，二级项目0个，共涉及资金73.19万元，占一般公共预算项目支出总额的100%。</w:t>
      </w:r>
    </w:p>
    <w:p>
      <w:pPr>
        <w:adjustRightInd w:val="0"/>
        <w:snapToGrid w:val="0"/>
        <w:spacing w:line="600" w:lineRule="exact"/>
        <w:ind w:firstLine="640" w:firstLineChars="200"/>
        <w:rPr>
          <w:rFonts w:ascii="仿宋_GB2312" w:hAnsi="Times New Roman" w:eastAsia="仿宋_GB2312" w:cs="Wingding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组织对“项目投资评审费”一级项目开展了部门评价，涉及一般公共预算支出50万元。从评价情况来看，</w:t>
      </w:r>
      <w:r>
        <w:rPr>
          <w:rFonts w:hint="eastAsia" w:ascii="仿宋_GB2312" w:hAnsi="Times New Roman" w:eastAsia="仿宋_GB2312" w:cs="Wingdings"/>
          <w:color w:val="auto"/>
          <w:sz w:val="32"/>
          <w:szCs w:val="32"/>
          <w:shd w:val="clear" w:color="auto" w:fill="auto"/>
        </w:rPr>
        <w:t>项目投资评审费用的使用加强了政府投资的管理，节约了财政支出，提高了财政资金的使用效益，。</w:t>
      </w:r>
    </w:p>
    <w:p>
      <w:pPr>
        <w:adjustRightInd w:val="0"/>
        <w:snapToGrid w:val="0"/>
        <w:spacing w:line="600" w:lineRule="exact"/>
        <w:ind w:firstLine="643" w:firstLineChars="200"/>
        <w:rPr>
          <w:rFonts w:ascii="楷体_GB2312" w:hAnsi="楷体_GB2312" w:eastAsia="楷体_GB2312" w:cs="楷体_GB2312"/>
          <w:b/>
          <w:bCs/>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（二） 部门决算中项目绩效自评结果。</w:t>
      </w:r>
    </w:p>
    <w:p>
      <w:p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本部门在今年部门决算公开中反映“项目投资评审费” 项目、项目及“农业综合开发勘察设计费用”项目等3个项目绩效自评结果。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项目投资评审费”项目自评综述：根据年初设定的绩效目标，“项目投资评审费”项目绩效自评得分为80分。全年预算数为300万元，执行数为50万元，完成预算的16.67%。项目绩效目标完成情况：一是预算执行16.67%；二是达到了满意的效果。发现的主要问题及原因：一是没有合理安排预算资金。；二是预算执行具有不确定性，导致部分预算没有支出。下一步改进措施：</w:t>
      </w:r>
      <w:r>
        <w:rPr>
          <w:rFonts w:hint="eastAsia" w:ascii="仿宋_GB2312" w:eastAsia="仿宋_GB2312"/>
          <w:color w:val="auto"/>
          <w:kern w:val="0"/>
          <w:sz w:val="32"/>
          <w:szCs w:val="32"/>
          <w:shd w:val="clear" w:color="auto" w:fill="auto"/>
        </w:rPr>
        <w:t>一是</w:t>
      </w:r>
      <w:r>
        <w:rPr>
          <w:rFonts w:hint="eastAsia" w:ascii="仿宋_GB2312" w:hAnsi="仿宋_GB2312" w:eastAsia="仿宋_GB2312" w:cs="仿宋_GB2312"/>
          <w:color w:val="auto"/>
          <w:sz w:val="32"/>
          <w:szCs w:val="32"/>
          <w:shd w:val="clear" w:color="auto" w:fill="auto"/>
        </w:rPr>
        <w:t>科学合理安排预算资金。二是</w:t>
      </w:r>
      <w:r>
        <w:rPr>
          <w:rFonts w:hint="eastAsia" w:ascii="仿宋_GB2312" w:eastAsia="仿宋_GB2312"/>
          <w:color w:val="auto"/>
          <w:kern w:val="0"/>
          <w:sz w:val="32"/>
          <w:szCs w:val="32"/>
          <w:shd w:val="clear" w:color="auto" w:fill="auto"/>
        </w:rPr>
        <w:t>加强预算的执行</w:t>
      </w:r>
      <w:r>
        <w:rPr>
          <w:rFonts w:hint="eastAsia" w:ascii="仿宋_GB2312" w:hAnsi="仿宋_GB2312" w:eastAsia="仿宋_GB2312" w:cs="仿宋_GB2312"/>
          <w:color w:val="auto"/>
          <w:sz w:val="32"/>
          <w:szCs w:val="32"/>
          <w:shd w:val="clear" w:color="auto" w:fill="auto"/>
        </w:rPr>
        <w:t>。</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采购网络安全设备”项目绩效自评综述：根据年初设定的绩效目标，“采购网络安全设备”项目绩效自评得分为100分。全年预算数为14.84万元，执行数为14.84万元，完成预算的100%。项目绩效目标完成情况：一是预算全部执行；二是达到了满意的效果。</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农业综合开发勘察设计费用”项目绩效自评综述：根据年初设定的绩效目标，“农业综合开发勘察设计费用”项目绩效自评得分为100分。全年预算数为4.60万元，执行数为4.60万元，完成预算的100%。项目绩效目标完成情况：一是预算全部执行；二是达到了满意的效果。</w:t>
      </w:r>
    </w:p>
    <w:p>
      <w:pPr>
        <w:adjustRightInd w:val="0"/>
        <w:snapToGrid w:val="0"/>
        <w:spacing w:line="600" w:lineRule="exact"/>
        <w:ind w:firstLine="643" w:firstLineChars="200"/>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（三）财政评价项目绩效评价结果</w:t>
      </w:r>
    </w:p>
    <w:p>
      <w:pPr>
        <w:adjustRightInd w:val="0"/>
        <w:snapToGrid w:val="0"/>
        <w:spacing w:line="600" w:lineRule="exact"/>
        <w:ind w:firstLine="640" w:firstLineChars="200"/>
        <w:rPr>
          <w:rFonts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本部门2020年度机关运行经费支出104.20万元，比2019年度增加36.82万元，增长56.64%。主要原因是增加了违规建筑的看护劳务费以及一体化平台网络费等。</w:t>
      </w: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0万元。授予中小企业合同金0万元，其中授予小微企业合同金额0万元。</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2辆，比上年减少2辆，主要是拍卖了2辆公务车。其中，副部（省）级及以上领导用车0辆，主要领导干部用车0辆，机要通信用车0辆，应急保障用车0辆，执法执勤用车0辆，特种专业技术用车0辆，离退休干部用车0辆，其他用车2辆，其他用车主要是公务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单位价值50万元以上通用设备0台（套），与上年持平 ，单位价值100万元以上专用设备0台（套）与上年持平。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本部门2020年度未发生政府性基金预算收支、国有资金经营预算收支及结转结余情况，故政府性基金预算财政拨款收入支出决算表、国有资金经营预算财政拨款支出决算表以空表列示。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-1050925</wp:posOffset>
                </wp:positionH>
                <wp:positionV relativeFrom="paragraph">
                  <wp:posOffset>379095</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2.75pt;margin-top:29.85pt;height:263.1pt;width:613.65pt;z-index:251661312;v-text-anchor:middle;mso-width-relative:page;mso-height-relative:page;" fillcolor="#7F7F7F" filled="t" stroked="t" coordsize="21600,21600" o:gfxdata="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E7snL2QAAAAwBAAAPAAAAAAAAAAEAIAAAACIAAABkcnMvZG93&#10;bnJldi54bWxQSwECFAAUAAAACACHTuJAg0YwZTgCAACbBAAADgAAAAAAAAABACAAAAAoAQAAZHJz&#10;L2Uyb0RvYy54bWxQSwUGAAAAAAYABgBZAQAA0gUAAAAA&#10;">
                <v:fill type="pattern" on="t" color2="#FFFFFF" o:title="5%" focussize="0,0" r:id="rId15"/>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6"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YQbj3AAAAA0BAAAPAAAAAAAAAAEAIAAAACIA&#10;AABkcnMvZG93bnJldi54bWxQSwECFAAUAAAACACHTuJAU4cijz4CAACcBAAADgAAAAAAAAABACAA&#10;AAArAQAAZHJzL2Uyb0RvYy54bWxQSwUGAAAAAAYABgBZAQAA2wU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7"/>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部门：保定市满城区财政局</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1249.53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946.57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189.32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51.94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61.71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1249.53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1249.53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用事业基金弥补收支差额</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1249.53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1249.53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注：本表反映部门本年度的总收支和年末结转结余情况。</w:t>
            </w:r>
          </w:p>
          <w:p>
            <w:pPr>
              <w:widowControl/>
              <w:jc w:val="left"/>
              <w:textAlignment w:val="center"/>
              <w:rPr>
                <w:rFonts w:ascii="宋体" w:hAnsi="宋体" w:eastAsia="宋体" w:cs="宋体"/>
                <w:color w:val="000000"/>
                <w:kern w:val="0"/>
                <w:sz w:val="18"/>
                <w:szCs w:val="18"/>
              </w:rPr>
            </w:pPr>
          </w:p>
        </w:tc>
      </w:tr>
    </w:tbl>
    <w:tbl>
      <w:tblPr>
        <w:tblStyle w:val="7"/>
        <w:tblW w:w="9580" w:type="dxa"/>
        <w:jc w:val="center"/>
        <w:tblLayout w:type="autofit"/>
        <w:tblCellMar>
          <w:top w:w="0" w:type="dxa"/>
          <w:left w:w="0" w:type="dxa"/>
          <w:bottom w:w="0" w:type="dxa"/>
          <w:right w:w="0" w:type="dxa"/>
        </w:tblCellMar>
      </w:tblPr>
      <w:tblGrid>
        <w:gridCol w:w="718"/>
        <w:gridCol w:w="41"/>
        <w:gridCol w:w="41"/>
        <w:gridCol w:w="3770"/>
        <w:gridCol w:w="999"/>
        <w:gridCol w:w="999"/>
        <w:gridCol w:w="622"/>
        <w:gridCol w:w="622"/>
        <w:gridCol w:w="622"/>
        <w:gridCol w:w="622"/>
        <w:gridCol w:w="625"/>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28"/>
                <w:szCs w:val="28"/>
              </w:rPr>
            </w:pPr>
          </w:p>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rPr>
              <w:t>保定市满城区财政局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1249.53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1249.53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财政事务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信息化建设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财政委托业务支出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其他财政事务支出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189.32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189.32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189.32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189.32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139.90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139.90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tbl>
      <w:tblPr>
        <w:tblStyle w:val="7"/>
        <w:tblpPr w:leftFromText="180" w:rightFromText="180" w:vertAnchor="text" w:horzAnchor="margin" w:tblpY="673"/>
        <w:tblW w:w="9371" w:type="dxa"/>
        <w:tblInd w:w="0" w:type="dxa"/>
        <w:tblLayout w:type="fixed"/>
        <w:tblCellMar>
          <w:top w:w="0" w:type="dxa"/>
          <w:left w:w="0" w:type="dxa"/>
          <w:bottom w:w="0" w:type="dxa"/>
          <w:right w:w="0" w:type="dxa"/>
        </w:tblCellMar>
      </w:tblPr>
      <w:tblGrid>
        <w:gridCol w:w="724"/>
        <w:gridCol w:w="217"/>
        <w:gridCol w:w="53"/>
        <w:gridCol w:w="111"/>
        <w:gridCol w:w="1887"/>
        <w:gridCol w:w="992"/>
        <w:gridCol w:w="993"/>
        <w:gridCol w:w="970"/>
        <w:gridCol w:w="1161"/>
        <w:gridCol w:w="1161"/>
        <w:gridCol w:w="1102"/>
      </w:tblGrid>
      <w:tr>
        <w:tblPrEx>
          <w:tblCellMar>
            <w:top w:w="0" w:type="dxa"/>
            <w:left w:w="0" w:type="dxa"/>
            <w:bottom w:w="0" w:type="dxa"/>
            <w:right w:w="0" w:type="dxa"/>
          </w:tblCellMar>
        </w:tblPrEx>
        <w:trPr>
          <w:trHeight w:val="612" w:hRule="atLeast"/>
        </w:trPr>
        <w:tc>
          <w:tcPr>
            <w:tcW w:w="9371" w:type="dxa"/>
            <w:gridSpan w:val="11"/>
            <w:tcBorders>
              <w:top w:val="nil"/>
              <w:left w:val="nil"/>
              <w:bottom w:val="nil"/>
              <w:right w:val="nil"/>
            </w:tcBorders>
            <w:shd w:val="clear" w:color="auto" w:fill="auto"/>
            <w:noWrap/>
            <w:tcMar>
              <w:top w:w="15" w:type="dxa"/>
              <w:left w:w="15" w:type="dxa"/>
              <w:right w:w="15" w:type="dxa"/>
            </w:tcMar>
            <w:vAlign w:val="center"/>
          </w:tcPr>
          <w:p>
            <w:pPr>
              <w:widowControl/>
              <w:ind w:firstLine="4000" w:firstLineChars="1250"/>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trPr>
        <w:tc>
          <w:tcPr>
            <w:tcW w:w="94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8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0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trPr>
        <w:tc>
          <w:tcPr>
            <w:tcW w:w="9371"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部门：保定市满城区财政局</w:t>
            </w:r>
          </w:p>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trPr>
        <w:tc>
          <w:tcPr>
            <w:tcW w:w="299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9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1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trPr>
        <w:tc>
          <w:tcPr>
            <w:tcW w:w="1105"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88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trPr>
        <w:tc>
          <w:tcPr>
            <w:tcW w:w="1105"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trPr>
        <w:tc>
          <w:tcPr>
            <w:tcW w:w="1105"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8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299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trPr>
        <w:tc>
          <w:tcPr>
            <w:tcW w:w="299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1249.53</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1176.34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73.19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一般公共服务支出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946.57</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873.38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73.19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财政事务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946.57</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873.38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73.19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行政运行</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801.06</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801.06</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2010602</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一般行政管理事务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27.64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23.89</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2010607</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信息化建设</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26.36</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11.52</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14.84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2010608</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财政委托业务支出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54.60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54.60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2010699</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其他财政事务支出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36.91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36.91</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社会保障和就业支出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行政事业单位养老支出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行政单位离退休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9.18</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139.90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139.90</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40.24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40.24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卫生健康支出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行政事业单位医疗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住房保障支出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住房改革支出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72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226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住房公积金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9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trPr>
        <w:tc>
          <w:tcPr>
            <w:tcW w:w="9371"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7"/>
        <w:tblW w:w="9984" w:type="dxa"/>
        <w:jc w:val="center"/>
        <w:tblLayout w:type="fixed"/>
        <w:tblCellMar>
          <w:top w:w="0" w:type="dxa"/>
          <w:left w:w="0" w:type="dxa"/>
          <w:bottom w:w="0" w:type="dxa"/>
          <w:right w:w="0" w:type="dxa"/>
        </w:tblCellMar>
      </w:tblPr>
      <w:tblGrid>
        <w:gridCol w:w="709"/>
        <w:gridCol w:w="459"/>
        <w:gridCol w:w="67"/>
        <w:gridCol w:w="50"/>
        <w:gridCol w:w="1712"/>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14" w:type="dxa"/>
            <w:gridSpan w:val="8"/>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84" w:type="dxa"/>
            <w:gridSpan w:val="9"/>
            <w:tcBorders>
              <w:top w:val="nil"/>
              <w:left w:val="nil"/>
              <w:bottom w:val="nil"/>
              <w:right w:val="nil"/>
            </w:tcBorders>
            <w:shd w:val="clear" w:color="auto" w:fill="auto"/>
            <w:noWrap/>
            <w:tcMar>
              <w:top w:w="15" w:type="dxa"/>
              <w:left w:w="15" w:type="dxa"/>
              <w:right w:w="15" w:type="dxa"/>
            </w:tcMar>
            <w:vAlign w:val="center"/>
          </w:tcPr>
          <w:tbl>
            <w:tblPr>
              <w:tblStyle w:val="7"/>
              <w:tblW w:w="9736" w:type="dxa"/>
              <w:tblInd w:w="0" w:type="dxa"/>
              <w:tblLayout w:type="fixed"/>
              <w:tblCellMar>
                <w:top w:w="0" w:type="dxa"/>
                <w:left w:w="108" w:type="dxa"/>
                <w:bottom w:w="0" w:type="dxa"/>
                <w:right w:w="108" w:type="dxa"/>
              </w:tblCellMar>
            </w:tblPr>
            <w:tblGrid>
              <w:gridCol w:w="2118"/>
              <w:gridCol w:w="199"/>
              <w:gridCol w:w="368"/>
              <w:gridCol w:w="97"/>
              <w:gridCol w:w="753"/>
              <w:gridCol w:w="2451"/>
              <w:gridCol w:w="446"/>
              <w:gridCol w:w="498"/>
              <w:gridCol w:w="291"/>
              <w:gridCol w:w="560"/>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5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rPr>
                    <w:t>保定市满城区财政局</w:t>
                  </w:r>
                </w:p>
              </w:tc>
              <w:tc>
                <w:tcPr>
                  <w:tcW w:w="465"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5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49"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567"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1"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11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67"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1"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1249.53</w:t>
                  </w: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946.57</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946.57</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189.32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189.32</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51.94</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51.94</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61.71</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61.71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1249.53</w:t>
                  </w: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1249.53</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1249.53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567" w:type="dxa"/>
                  <w:gridSpan w:val="2"/>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1249.53</w:t>
                  </w:r>
                </w:p>
              </w:tc>
              <w:tc>
                <w:tcPr>
                  <w:tcW w:w="24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1249.53</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1249.53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3"/>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3"/>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p>
        </w:tc>
      </w:tr>
      <w:tr>
        <w:tblPrEx>
          <w:tblCellMar>
            <w:top w:w="0" w:type="dxa"/>
            <w:left w:w="0" w:type="dxa"/>
            <w:bottom w:w="0" w:type="dxa"/>
            <w:right w:w="0" w:type="dxa"/>
          </w:tblCellMar>
        </w:tblPrEx>
        <w:trPr>
          <w:trHeight w:val="600" w:hRule="atLeast"/>
          <w:jc w:val="center"/>
        </w:trPr>
        <w:tc>
          <w:tcPr>
            <w:tcW w:w="9984" w:type="dxa"/>
            <w:gridSpan w:val="9"/>
            <w:tcBorders>
              <w:top w:val="nil"/>
              <w:left w:val="nil"/>
              <w:bottom w:val="nil"/>
              <w:right w:val="nil"/>
            </w:tcBorders>
            <w:shd w:val="clear" w:color="auto" w:fill="auto"/>
            <w:noWrap/>
            <w:tcMar>
              <w:top w:w="15" w:type="dxa"/>
              <w:left w:w="15" w:type="dxa"/>
              <w:right w:w="15" w:type="dxa"/>
            </w:tcMar>
            <w:vAlign w:val="center"/>
          </w:tcPr>
          <w:tbl>
            <w:tblPr>
              <w:tblStyle w:val="7"/>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554"/>
              <w:gridCol w:w="252"/>
            </w:tblGrid>
            <w:tr>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9484"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1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9984" w:type="dxa"/>
            <w:gridSpan w:val="9"/>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部门：保定市满城区财政局</w:t>
            </w:r>
          </w:p>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299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7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288"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88"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7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88"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299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299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1249.53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1176.34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73.19</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946.57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873.38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73.19</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财政事务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946.57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873.38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73.19</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801.06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801.06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2010602</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27.64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23.89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3.75</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2010607</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信息化建设</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26.36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14.84</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2010608</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财政委托业务支出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54.60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54.60</w:t>
            </w: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2010699</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其他财政事务支出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36.91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36.91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189.32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9.18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139.90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139.90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40.24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40.24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51.94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7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228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0"/>
                <w:szCs w:val="20"/>
              </w:rPr>
            </w:pPr>
            <w:r>
              <w:rPr>
                <w:rFonts w:hint="eastAsia" w:cs="Arial"/>
                <w:color w:val="000000"/>
                <w:sz w:val="20"/>
                <w:szCs w:val="20"/>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61.71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pPr>
        <w:sectPr>
          <w:pgSz w:w="11906" w:h="16838"/>
          <w:pgMar w:top="2098" w:right="1531" w:bottom="1984" w:left="1531" w:header="851" w:footer="992" w:gutter="0"/>
          <w:cols w:space="425" w:num="1"/>
          <w:docGrid w:type="lines" w:linePitch="312" w:charSpace="0"/>
        </w:sectPr>
      </w:pPr>
    </w:p>
    <w:tbl>
      <w:tblPr>
        <w:tblStyle w:val="7"/>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8"/>
                <w:szCs w:val="18"/>
              </w:rPr>
              <w:t>保定市满城区财政局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1057.80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104.20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563.32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71.29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0.34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32.89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78.22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0.98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139.90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6.31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40.24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17.35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51.05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0.42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61.71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17.22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14.46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14.34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9.18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30.93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3.98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6.56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5.44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1072.15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104.20</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部门：保定市满城区财政局</w:t>
            </w:r>
          </w:p>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ind w:right="105"/>
              <w:jc w:val="right"/>
              <w:rPr>
                <w:rFonts w:ascii="宋体" w:hAnsi="宋体" w:eastAsia="宋体" w:cs="宋体"/>
                <w:color w:val="000000"/>
                <w:szCs w:val="22"/>
              </w:rPr>
            </w:pPr>
            <w:r>
              <w:rPr>
                <w:rFonts w:hint="eastAsia" w:ascii="宋体" w:hAnsi="宋体" w:eastAsia="宋体" w:cs="宋体"/>
                <w:color w:val="000000"/>
                <w:szCs w:val="22"/>
              </w:rPr>
              <w:t>5.00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3.98</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3.98</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3.98</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2190"/>
        <w:gridCol w:w="36"/>
        <w:gridCol w:w="36"/>
        <w:gridCol w:w="830"/>
        <w:gridCol w:w="1070"/>
        <w:gridCol w:w="1070"/>
        <w:gridCol w:w="1070"/>
        <w:gridCol w:w="1070"/>
        <w:gridCol w:w="1070"/>
        <w:gridCol w:w="10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ascii="宋体" w:hAnsi="宋体" w:eastAsia="宋体" w:cs="宋体"/>
          <w:sz w:val="20"/>
          <w:szCs w:val="22"/>
        </w:rPr>
      </w:pPr>
      <w:r>
        <w:rPr>
          <w:rFonts w:hint="eastAsia" w:ascii="宋体" w:hAnsi="宋体" w:eastAsia="宋体" w:cs="宋体"/>
          <w:sz w:val="20"/>
          <w:szCs w:val="22"/>
        </w:rPr>
        <w:t>注：本部门本年度无相关收入（或支出、收支及结转结余等）情况，按要求空表列示。</w:t>
      </w:r>
      <w:r>
        <w:rPr>
          <w:rFonts w:ascii="宋体" w:hAnsi="宋体" w:eastAsia="宋体" w:cs="宋体"/>
          <w:sz w:val="20"/>
          <w:szCs w:val="22"/>
        </w:rPr>
        <w:tab/>
      </w:r>
      <w:r>
        <w:rPr>
          <w:rFonts w:ascii="宋体" w:hAnsi="宋体" w:eastAsia="宋体" w:cs="宋体"/>
          <w:sz w:val="20"/>
          <w:szCs w:val="22"/>
        </w:rPr>
        <w:tab/>
      </w:r>
      <w:r>
        <w:rPr>
          <w:rFonts w:ascii="宋体" w:hAnsi="宋体" w:eastAsia="宋体" w:cs="宋体"/>
          <w:sz w:val="20"/>
          <w:szCs w:val="22"/>
        </w:rPr>
        <w:br w:type="page"/>
      </w:r>
    </w:p>
    <w:tbl>
      <w:tblPr>
        <w:tblStyle w:val="7"/>
        <w:tblW w:w="10684" w:type="dxa"/>
        <w:tblInd w:w="0" w:type="dxa"/>
        <w:tblLayout w:type="autofit"/>
        <w:tblCellMar>
          <w:top w:w="0" w:type="dxa"/>
          <w:left w:w="0" w:type="dxa"/>
          <w:bottom w:w="0" w:type="dxa"/>
          <w:right w:w="0" w:type="dxa"/>
        </w:tblCellMar>
      </w:tblPr>
      <w:tblGrid>
        <w:gridCol w:w="2250"/>
        <w:gridCol w:w="661"/>
        <w:gridCol w:w="177"/>
        <w:gridCol w:w="1322"/>
        <w:gridCol w:w="1842"/>
        <w:gridCol w:w="754"/>
        <w:gridCol w:w="947"/>
        <w:gridCol w:w="1560"/>
        <w:gridCol w:w="627"/>
        <w:gridCol w:w="544"/>
      </w:tblGrid>
      <w:tr>
        <w:tblPrEx>
          <w:tblCellMar>
            <w:top w:w="0" w:type="dxa"/>
            <w:left w:w="0" w:type="dxa"/>
            <w:bottom w:w="0" w:type="dxa"/>
            <w:right w:w="0" w:type="dxa"/>
          </w:tblCellMar>
        </w:tblPrEx>
        <w:trPr>
          <w:gridAfter w:val="1"/>
          <w:wAfter w:w="544" w:type="dxa"/>
          <w:trHeight w:val="824" w:hRule="atLeast"/>
        </w:trPr>
        <w:tc>
          <w:tcPr>
            <w:tcW w:w="10140"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保定市满城区财政局</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2"/>
          <w:wAfter w:w="1171" w:type="dxa"/>
          <w:trHeight w:val="302" w:hRule="atLeast"/>
        </w:trPr>
        <w:tc>
          <w:tcPr>
            <w:tcW w:w="44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5103"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2"/>
          <w:wAfter w:w="1171" w:type="dxa"/>
          <w:trHeight w:val="604" w:hRule="atLeast"/>
        </w:trPr>
        <w:tc>
          <w:tcPr>
            <w:tcW w:w="22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16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2"/>
          <w:wAfter w:w="1171" w:type="dxa"/>
          <w:trHeight w:val="302" w:hRule="atLeast"/>
        </w:trPr>
        <w:tc>
          <w:tcPr>
            <w:tcW w:w="44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2"/>
          <w:wAfter w:w="1171" w:type="dxa"/>
          <w:trHeight w:val="302" w:hRule="atLeast"/>
        </w:trPr>
        <w:tc>
          <w:tcPr>
            <w:tcW w:w="44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2"/>
          <w:wAfter w:w="1171" w:type="dxa"/>
          <w:trHeight w:val="302" w:hRule="atLeast"/>
        </w:trPr>
        <w:tc>
          <w:tcPr>
            <w:tcW w:w="22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16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1171" w:type="dxa"/>
          <w:trHeight w:val="302" w:hRule="atLeast"/>
        </w:trPr>
        <w:tc>
          <w:tcPr>
            <w:tcW w:w="22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16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1171" w:type="dxa"/>
          <w:trHeight w:val="302" w:hRule="atLeast"/>
        </w:trPr>
        <w:tc>
          <w:tcPr>
            <w:tcW w:w="22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16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1171" w:type="dxa"/>
          <w:trHeight w:val="302" w:hRule="atLeast"/>
        </w:trPr>
        <w:tc>
          <w:tcPr>
            <w:tcW w:w="22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16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2"/>
          <w:wAfter w:w="1171" w:type="dxa"/>
          <w:trHeight w:val="302" w:hRule="atLeast"/>
        </w:trPr>
        <w:tc>
          <w:tcPr>
            <w:tcW w:w="22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16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8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宋体" w:hAnsi="宋体" w:eastAsia="宋体" w:cs="宋体"/>
        </w:rPr>
      </w:pPr>
      <w:r>
        <w:rPr>
          <w:rFonts w:hint="eastAsia" w:ascii="宋体" w:hAnsi="宋体" w:eastAsia="宋体" w:cs="宋体"/>
        </w:rPr>
        <w:t>注：本部门本年度无相关收入（或支出、收支及结转结余等）情况，按要求空表列示。</w:t>
      </w:r>
    </w:p>
    <w:p>
      <w:pPr>
        <w:rPr>
          <w:rFonts w:ascii="宋体" w:hAnsi="宋体" w:eastAsia="宋体" w:cs="宋体"/>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4"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4384;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Iu5FX6Z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TdAntwAAAAPAQAADwAAAAAAAAABACAAAAAiAAAAZHJzL2Rvd25yZXYueG1sUEsBAhQA&#10;FAAAAAgAh07iQIu5FX6ZAgAAHwUAAA4AAAAAAAAAAQAgAAAAKwEAAGRycy9lMm9Eb2MueG1sUEsF&#10;BgAAAAAGAAYAWQEAADYGA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5F" w:usb2="00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22B83"/>
    <w:rsid w:val="00042A7B"/>
    <w:rsid w:val="00061A05"/>
    <w:rsid w:val="00096316"/>
    <w:rsid w:val="000A6D8A"/>
    <w:rsid w:val="00107E1B"/>
    <w:rsid w:val="0018387D"/>
    <w:rsid w:val="0018668E"/>
    <w:rsid w:val="001B73D2"/>
    <w:rsid w:val="001C031D"/>
    <w:rsid w:val="001E62BF"/>
    <w:rsid w:val="001F76DC"/>
    <w:rsid w:val="00234666"/>
    <w:rsid w:val="00293E7B"/>
    <w:rsid w:val="002B1E24"/>
    <w:rsid w:val="002D1F4F"/>
    <w:rsid w:val="00366D90"/>
    <w:rsid w:val="003A364A"/>
    <w:rsid w:val="003D19D4"/>
    <w:rsid w:val="003D45DF"/>
    <w:rsid w:val="003D678E"/>
    <w:rsid w:val="003F4D52"/>
    <w:rsid w:val="003F70C0"/>
    <w:rsid w:val="004039AB"/>
    <w:rsid w:val="0041150C"/>
    <w:rsid w:val="00427059"/>
    <w:rsid w:val="00442470"/>
    <w:rsid w:val="0046307E"/>
    <w:rsid w:val="00486ED9"/>
    <w:rsid w:val="004A6D26"/>
    <w:rsid w:val="004B1BEA"/>
    <w:rsid w:val="004C42C6"/>
    <w:rsid w:val="004C6CCA"/>
    <w:rsid w:val="004D31AB"/>
    <w:rsid w:val="004E7EE4"/>
    <w:rsid w:val="00532614"/>
    <w:rsid w:val="00542398"/>
    <w:rsid w:val="0058304B"/>
    <w:rsid w:val="005C45CE"/>
    <w:rsid w:val="0061608B"/>
    <w:rsid w:val="00633DAB"/>
    <w:rsid w:val="006B7E8F"/>
    <w:rsid w:val="007A7E08"/>
    <w:rsid w:val="007E61E9"/>
    <w:rsid w:val="00801F66"/>
    <w:rsid w:val="00854B57"/>
    <w:rsid w:val="0085533D"/>
    <w:rsid w:val="0085620B"/>
    <w:rsid w:val="00867757"/>
    <w:rsid w:val="00870AF9"/>
    <w:rsid w:val="00870B60"/>
    <w:rsid w:val="008E377B"/>
    <w:rsid w:val="008F2125"/>
    <w:rsid w:val="009334BF"/>
    <w:rsid w:val="00963312"/>
    <w:rsid w:val="009651B4"/>
    <w:rsid w:val="00967786"/>
    <w:rsid w:val="00973507"/>
    <w:rsid w:val="009951F8"/>
    <w:rsid w:val="00A15FD2"/>
    <w:rsid w:val="00A26440"/>
    <w:rsid w:val="00A344EE"/>
    <w:rsid w:val="00A3547B"/>
    <w:rsid w:val="00A3794C"/>
    <w:rsid w:val="00AC206A"/>
    <w:rsid w:val="00AC6A1F"/>
    <w:rsid w:val="00AE3B2F"/>
    <w:rsid w:val="00AE6777"/>
    <w:rsid w:val="00B213C7"/>
    <w:rsid w:val="00B6203E"/>
    <w:rsid w:val="00B86178"/>
    <w:rsid w:val="00BA110A"/>
    <w:rsid w:val="00BD3D9E"/>
    <w:rsid w:val="00BF402D"/>
    <w:rsid w:val="00C113EE"/>
    <w:rsid w:val="00C14990"/>
    <w:rsid w:val="00C543EB"/>
    <w:rsid w:val="00C60230"/>
    <w:rsid w:val="00C61A0B"/>
    <w:rsid w:val="00C64067"/>
    <w:rsid w:val="00C867C3"/>
    <w:rsid w:val="00CE444B"/>
    <w:rsid w:val="00CF6EE9"/>
    <w:rsid w:val="00D320C4"/>
    <w:rsid w:val="00D37D2A"/>
    <w:rsid w:val="00D759D3"/>
    <w:rsid w:val="00DC60EF"/>
    <w:rsid w:val="00E11CCC"/>
    <w:rsid w:val="00E24DAF"/>
    <w:rsid w:val="00E3699F"/>
    <w:rsid w:val="00E45812"/>
    <w:rsid w:val="00E63B99"/>
    <w:rsid w:val="00E675D6"/>
    <w:rsid w:val="00E93560"/>
    <w:rsid w:val="00EA7667"/>
    <w:rsid w:val="00EE4A42"/>
    <w:rsid w:val="00F15DAC"/>
    <w:rsid w:val="00F9279A"/>
    <w:rsid w:val="00FA59B3"/>
    <w:rsid w:val="00FC4319"/>
    <w:rsid w:val="00FD706D"/>
    <w:rsid w:val="058B71E0"/>
    <w:rsid w:val="0EA325C9"/>
    <w:rsid w:val="1A9F65FE"/>
    <w:rsid w:val="22FB1EBE"/>
    <w:rsid w:val="2FB96948"/>
    <w:rsid w:val="3327616A"/>
    <w:rsid w:val="34C45458"/>
    <w:rsid w:val="35C83C42"/>
    <w:rsid w:val="369D2FDE"/>
    <w:rsid w:val="4D07567A"/>
    <w:rsid w:val="5B954FCA"/>
    <w:rsid w:val="5CC768F4"/>
    <w:rsid w:val="5D0C63C4"/>
    <w:rsid w:val="73D824BD"/>
    <w:rsid w:val="77C0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table of figures"/>
    <w:basedOn w:val="1"/>
    <w:next w:val="1"/>
    <w:qFormat/>
    <w:uiPriority w:val="0"/>
    <w:pPr>
      <w:ind w:left="200" w:leftChars="200" w:hanging="200" w:hangingChars="200"/>
    </w:p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2.bmp"/><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r>
              <a:rPr lang="en-US" altLang="zh-CN">
                <a:latin typeface="楷体_GB2312" pitchFamily="3" charset="-122"/>
                <a:ea typeface="楷体_GB2312" pitchFamily="3" charset="-122"/>
                <a:cs typeface="楷体_GB2312" pitchFamily="3" charset="-122"/>
                <a:sym typeface="楷体_GB2312" pitchFamily="3" charset="-122"/>
              </a:rPr>
              <a:t>2019-2020</a:t>
            </a:r>
            <a:r>
              <a:rPr lang="zh-CN" altLang="en-US">
                <a:latin typeface="楷体_GB2312" pitchFamily="3" charset="-122"/>
                <a:ea typeface="楷体_GB2312" pitchFamily="3" charset="-122"/>
                <a:cs typeface="楷体_GB2312" pitchFamily="3" charset="-122"/>
                <a:sym typeface="楷体_GB2312" pitchFamily="3" charset="-122"/>
              </a:rPr>
              <a:t>年收支总计对比情况（图</a:t>
            </a:r>
            <a:r>
              <a:rPr lang="en-US" altLang="zh-CN">
                <a:latin typeface="楷体_GB2312" pitchFamily="3" charset="-122"/>
                <a:ea typeface="楷体_GB2312" pitchFamily="3" charset="-122"/>
                <a:cs typeface="楷体_GB2312" pitchFamily="3" charset="-122"/>
                <a:sym typeface="楷体_GB2312" pitchFamily="3" charset="-122"/>
              </a:rPr>
              <a:t>1</a:t>
            </a:r>
            <a:r>
              <a:rPr lang="zh-CN" altLang="en-US">
                <a:latin typeface="楷体_GB2312" pitchFamily="3" charset="-122"/>
                <a:ea typeface="楷体_GB2312" pitchFamily="3" charset="-122"/>
                <a:cs typeface="楷体_GB2312" pitchFamily="3" charset="-122"/>
                <a:sym typeface="楷体_GB2312" pitchFamily="3" charset="-122"/>
              </a:rPr>
              <a:t>）</a:t>
            </a:r>
            <a:endParaRPr lang="zh-CN" altLang="en-US">
              <a:latin typeface="楷体_GB2312" pitchFamily="3" charset="-122"/>
              <a:ea typeface="楷体_GB2312" pitchFamily="3" charset="-122"/>
              <a:cs typeface="楷体_GB2312" pitchFamily="3" charset="-122"/>
              <a:sym typeface="楷体_GB2312" pitchFamily="3" charset="-122"/>
            </a:endParaRPr>
          </a:p>
        </c:rich>
      </c:tx>
      <c:layout>
        <c:manualLayout>
          <c:xMode val="edge"/>
          <c:yMode val="edge"/>
          <c:x val="0.209718361608105"/>
          <c:y val="0.846648044692739"/>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r>
                      <a:rPr lang="en-US" altLang="en-US"/>
                      <a:t>1428.97</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r>
                      <a:rPr lang="en-US" altLang="en-US"/>
                      <a:t>1249.53</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1428.97</c:v>
                </c:pt>
                <c:pt idx="1">
                  <c:v>1249.53</c:v>
                </c:pt>
              </c:numCache>
            </c:numRef>
          </c:val>
        </c:ser>
        <c:dLbls>
          <c:showLegendKey val="0"/>
          <c:showVal val="1"/>
          <c:showCatName val="0"/>
          <c:showSerName val="0"/>
          <c:showPercent val="0"/>
          <c:showBubbleSize val="0"/>
        </c:dLbls>
        <c:gapWidth val="219"/>
        <c:overlap val="-27"/>
        <c:axId val="172270336"/>
        <c:axId val="172271872"/>
      </c:barChart>
      <c:catAx>
        <c:axId val="172270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172271872"/>
        <c:crosses val="autoZero"/>
        <c:auto val="1"/>
        <c:lblAlgn val="ctr"/>
        <c:lblOffset val="100"/>
        <c:noMultiLvlLbl val="0"/>
      </c:catAx>
      <c:valAx>
        <c:axId val="172271872"/>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17227033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itchFamily="3" charset="-122"/>
          <a:ea typeface="楷体_GB2312" pitchFamily="3" charset="-122"/>
          <a:cs typeface="楷体_GB2312" pitchFamily="3" charset="-122"/>
          <a:sym typeface="楷体_GB2312" pitchFamily="3"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761DF-990D-4994-84CE-0C6CCCF4020A}">
  <ds:schemaRefs/>
</ds:datastoreItem>
</file>

<file path=docProps/app.xml><?xml version="1.0" encoding="utf-8"?>
<Properties xmlns="http://schemas.openxmlformats.org/officeDocument/2006/extended-properties" xmlns:vt="http://schemas.openxmlformats.org/officeDocument/2006/docPropsVTypes">
  <Template>Normal</Template>
  <Pages>30</Pages>
  <Words>1875</Words>
  <Characters>10689</Characters>
  <Lines>89</Lines>
  <Paragraphs>25</Paragraphs>
  <TotalTime>4</TotalTime>
  <ScaleCrop>false</ScaleCrop>
  <LinksUpToDate>false</LinksUpToDate>
  <CharactersWithSpaces>12539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cp:lastPrinted>2021-10-08T07:22:00Z</cp:lastPrinted>
  <dcterms:modified xsi:type="dcterms:W3CDTF">2024-01-11T10:15:20Z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1ED2D580B6C143868E393F67359898EE</vt:lpwstr>
  </property>
</Properties>
</file>