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sz w:val="36"/>
          <w:szCs w:val="36"/>
        </w:rPr>
      </w:pPr>
      <w:r>
        <w:rPr>
          <w:rFonts w:hint="eastAsia" w:ascii="宋体" w:hAnsi="宋体" w:eastAsia="宋体" w:cs="宋体"/>
          <w:b w:val="0"/>
          <w:bCs w:val="0"/>
          <w:sz w:val="36"/>
          <w:szCs w:val="36"/>
        </w:rPr>
        <w:t>保定市满城区司法局</w:t>
      </w:r>
    </w:p>
    <w:p>
      <w:pPr>
        <w:jc w:val="center"/>
        <w:rPr>
          <w:rFonts w:hint="eastAsia" w:ascii="宋体" w:hAnsi="宋体" w:eastAsia="宋体" w:cs="宋体"/>
          <w:b w:val="0"/>
          <w:bCs w:val="0"/>
          <w:sz w:val="36"/>
          <w:szCs w:val="36"/>
        </w:rPr>
      </w:pPr>
      <w:r>
        <w:rPr>
          <w:rFonts w:hint="eastAsia" w:ascii="宋体" w:hAnsi="宋体" w:eastAsia="宋体" w:cs="宋体"/>
          <w:b w:val="0"/>
          <w:bCs w:val="0"/>
          <w:sz w:val="36"/>
          <w:szCs w:val="36"/>
        </w:rPr>
        <w:t>20</w:t>
      </w:r>
      <w:r>
        <w:rPr>
          <w:rFonts w:hint="eastAsia" w:ascii="宋体" w:hAnsi="宋体" w:eastAsia="宋体" w:cs="宋体"/>
          <w:b w:val="0"/>
          <w:bCs w:val="0"/>
          <w:sz w:val="36"/>
          <w:szCs w:val="36"/>
          <w:lang w:val="en-US" w:eastAsia="zh-CN"/>
        </w:rPr>
        <w:t>21</w:t>
      </w:r>
      <w:r>
        <w:rPr>
          <w:rFonts w:hint="eastAsia" w:ascii="宋体" w:hAnsi="宋体" w:eastAsia="宋体" w:cs="宋体"/>
          <w:b w:val="0"/>
          <w:bCs w:val="0"/>
          <w:sz w:val="36"/>
          <w:szCs w:val="36"/>
        </w:rPr>
        <w:t>年部门预算信息公开</w:t>
      </w:r>
    </w:p>
    <w:p>
      <w:pPr>
        <w:spacing w:line="520" w:lineRule="exact"/>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按照《</w:t>
      </w:r>
      <w:r>
        <w:rPr>
          <w:rFonts w:hint="eastAsia" w:ascii="宋体" w:hAnsi="宋体" w:cs="宋体"/>
          <w:b w:val="0"/>
          <w:bCs w:val="0"/>
          <w:sz w:val="28"/>
          <w:szCs w:val="28"/>
          <w:lang w:eastAsia="zh-CN"/>
        </w:rPr>
        <w:t>中华人民共和国</w:t>
      </w:r>
      <w:r>
        <w:rPr>
          <w:rFonts w:hint="eastAsia" w:ascii="宋体" w:hAnsi="宋体" w:eastAsia="宋体" w:cs="宋体"/>
          <w:b w:val="0"/>
          <w:bCs w:val="0"/>
          <w:sz w:val="28"/>
          <w:szCs w:val="28"/>
        </w:rPr>
        <w:t>预算法》、《地方预决算公开操作规程》和《河北省省级预算公开办法》规定，现将保定市满城区司法局20</w:t>
      </w:r>
      <w:r>
        <w:rPr>
          <w:rFonts w:hint="eastAsia" w:ascii="宋体" w:hAnsi="宋体" w:eastAsia="宋体" w:cs="宋体"/>
          <w:b w:val="0"/>
          <w:bCs w:val="0"/>
          <w:sz w:val="28"/>
          <w:szCs w:val="28"/>
          <w:lang w:val="en-US" w:eastAsia="zh-CN"/>
        </w:rPr>
        <w:t>21</w:t>
      </w:r>
      <w:r>
        <w:rPr>
          <w:rFonts w:hint="eastAsia" w:ascii="宋体" w:hAnsi="宋体" w:eastAsia="宋体" w:cs="宋体"/>
          <w:b w:val="0"/>
          <w:bCs w:val="0"/>
          <w:sz w:val="28"/>
          <w:szCs w:val="28"/>
        </w:rPr>
        <w:t>年部门预算公开如下：</w:t>
      </w:r>
    </w:p>
    <w:p>
      <w:pPr>
        <w:spacing w:line="520" w:lineRule="exact"/>
        <w:ind w:firstLine="640" w:firstLineChars="200"/>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第一部分:部门职责及机构设置情况</w:t>
      </w:r>
    </w:p>
    <w:p>
      <w:pPr>
        <w:pStyle w:val="16"/>
        <w:spacing w:line="56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一、部门职责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（一）承担全面依法治区重大问题的政策研究。组织协调有关方面提出全面依法治区中长期规划建议，负责有关重大决策部署督察工作。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（二）负责组织开展政府规范性文件清理工作。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（三）负责区政府各部门规范性文件的备案审查工作，负责对区政府政策措施、规范性文件和合同协议的合法性审核工作。承办区政府交办的涉法事务。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四）承担统筹推进满城法治政府建设的责任。指导、监督区政府各部门依法行政工作；负责综合协调行政执法，承担推进行政执法体制改革有关工作，推进严格规范公正文明执法；依法承办行政复议案件；受区政府委托，代理行政诉讼案件的应诉；指导、监督全区行政复议和行政应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五）承担统筹规划全区法治社会建设的责任。负责拟订全区法治宣传教育规划，组织实施普法宣传工作；推动全区人民参与和促进法治建设；指导全区依法治理和法治创建工作；指导全区调解工作；负责指导全区司法所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（六）指导、管理全区社区矫正工作；指导、管理全区刑满释放人员帮教安置工作。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（七）负责</w:t>
      </w:r>
      <w:r>
        <w:rPr>
          <w:rFonts w:hint="eastAsia" w:ascii="宋体" w:hAnsi="宋体" w:cs="宋体"/>
          <w:b w:val="0"/>
          <w:bCs w:val="0"/>
          <w:sz w:val="28"/>
          <w:szCs w:val="28"/>
          <w:lang w:eastAsia="zh-CN"/>
        </w:rPr>
        <w:t>制订</w:t>
      </w:r>
      <w:r>
        <w:rPr>
          <w:rFonts w:hint="eastAsia" w:ascii="宋体" w:hAnsi="宋体" w:eastAsia="宋体" w:cs="宋体"/>
          <w:b w:val="0"/>
          <w:bCs w:val="0"/>
          <w:sz w:val="28"/>
          <w:szCs w:val="28"/>
        </w:rPr>
        <w:t>全区公共法律服务体系建设规划并指导实施，统筹和布局城乡、区域法律服务资源。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（八）负责本系统服装和警车等物资装备管理工作；指导、监督本系统财务、装备、设施、场所等保障工作。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（九）规划、协调、指导全区法治人才队伍建设相关工作。指导、监督本系统队伍建设；负责本系统警务管理和警务督察工作；管理局机关及直属单位的机构编制和人事工作。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（十）完成区委、区政府交办的其他任务。</w:t>
      </w:r>
    </w:p>
    <w:p>
      <w:pPr>
        <w:pStyle w:val="18"/>
        <w:spacing w:line="520" w:lineRule="exact"/>
        <w:ind w:firstLine="736" w:firstLineChars="230"/>
        <w:rPr>
          <w:rFonts w:hint="eastAsia" w:ascii="宋体" w:hAnsi="宋体" w:eastAsia="宋体" w:cs="宋体"/>
          <w:b w:val="0"/>
          <w:bCs w:val="0"/>
          <w:sz w:val="32"/>
          <w:szCs w:val="32"/>
        </w:rPr>
      </w:pPr>
      <w:r>
        <w:rPr>
          <w:rFonts w:hint="eastAsia" w:ascii="宋体" w:hAnsi="宋体" w:eastAsia="宋体" w:cs="宋体"/>
          <w:b w:val="0"/>
          <w:bCs w:val="0"/>
          <w:sz w:val="32"/>
          <w:szCs w:val="32"/>
        </w:rPr>
        <w:t>二、机构设置</w:t>
      </w:r>
    </w:p>
    <w:tbl>
      <w:tblPr>
        <w:tblStyle w:val="9"/>
        <w:tblW w:w="979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320"/>
        <w:gridCol w:w="2120"/>
        <w:gridCol w:w="1900"/>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796" w:type="dxa"/>
            <w:gridSpan w:val="5"/>
            <w:vAlign w:val="center"/>
          </w:tcPr>
          <w:p>
            <w:pPr>
              <w:widowControl/>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部门机构设置情况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Merge w:val="restart"/>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序号</w:t>
            </w:r>
          </w:p>
        </w:tc>
        <w:tc>
          <w:tcPr>
            <w:tcW w:w="2320" w:type="dxa"/>
            <w:vMerge w:val="restart"/>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单位名称</w:t>
            </w:r>
          </w:p>
        </w:tc>
        <w:tc>
          <w:tcPr>
            <w:tcW w:w="2120" w:type="dxa"/>
            <w:vMerge w:val="restart"/>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单位性质</w:t>
            </w:r>
          </w:p>
        </w:tc>
        <w:tc>
          <w:tcPr>
            <w:tcW w:w="1900" w:type="dxa"/>
            <w:vMerge w:val="restart"/>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单位规格</w:t>
            </w:r>
          </w:p>
        </w:tc>
        <w:tc>
          <w:tcPr>
            <w:tcW w:w="2376" w:type="dxa"/>
            <w:vMerge w:val="restart"/>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080" w:type="dxa"/>
            <w:vMerge w:val="continue"/>
            <w:vAlign w:val="center"/>
          </w:tcPr>
          <w:p>
            <w:pPr>
              <w:widowControl/>
              <w:jc w:val="left"/>
              <w:rPr>
                <w:rFonts w:hint="eastAsia" w:ascii="宋体" w:hAnsi="宋体" w:eastAsia="宋体" w:cs="宋体"/>
                <w:b w:val="0"/>
                <w:bCs w:val="0"/>
                <w:color w:val="000000"/>
                <w:kern w:val="0"/>
                <w:sz w:val="24"/>
                <w:szCs w:val="24"/>
              </w:rPr>
            </w:pPr>
          </w:p>
        </w:tc>
        <w:tc>
          <w:tcPr>
            <w:tcW w:w="2320" w:type="dxa"/>
            <w:vMerge w:val="continue"/>
            <w:vAlign w:val="center"/>
          </w:tcPr>
          <w:p>
            <w:pPr>
              <w:widowControl/>
              <w:jc w:val="left"/>
              <w:rPr>
                <w:rFonts w:hint="eastAsia" w:ascii="宋体" w:hAnsi="宋体" w:eastAsia="宋体" w:cs="宋体"/>
                <w:b w:val="0"/>
                <w:bCs w:val="0"/>
                <w:color w:val="000000"/>
                <w:kern w:val="0"/>
                <w:sz w:val="24"/>
                <w:szCs w:val="24"/>
              </w:rPr>
            </w:pPr>
          </w:p>
        </w:tc>
        <w:tc>
          <w:tcPr>
            <w:tcW w:w="2120" w:type="dxa"/>
            <w:vMerge w:val="continue"/>
            <w:vAlign w:val="center"/>
          </w:tcPr>
          <w:p>
            <w:pPr>
              <w:widowControl/>
              <w:jc w:val="left"/>
              <w:rPr>
                <w:rFonts w:hint="eastAsia" w:ascii="宋体" w:hAnsi="宋体" w:eastAsia="宋体" w:cs="宋体"/>
                <w:b w:val="0"/>
                <w:bCs w:val="0"/>
                <w:color w:val="000000"/>
                <w:kern w:val="0"/>
                <w:sz w:val="24"/>
                <w:szCs w:val="24"/>
              </w:rPr>
            </w:pPr>
          </w:p>
        </w:tc>
        <w:tc>
          <w:tcPr>
            <w:tcW w:w="1900" w:type="dxa"/>
            <w:vMerge w:val="continue"/>
            <w:vAlign w:val="center"/>
          </w:tcPr>
          <w:p>
            <w:pPr>
              <w:widowControl/>
              <w:jc w:val="left"/>
              <w:rPr>
                <w:rFonts w:hint="eastAsia" w:ascii="宋体" w:hAnsi="宋体" w:eastAsia="宋体" w:cs="宋体"/>
                <w:b w:val="0"/>
                <w:bCs w:val="0"/>
                <w:color w:val="000000"/>
                <w:kern w:val="0"/>
                <w:sz w:val="24"/>
                <w:szCs w:val="24"/>
              </w:rPr>
            </w:pPr>
          </w:p>
        </w:tc>
        <w:tc>
          <w:tcPr>
            <w:tcW w:w="2376" w:type="dxa"/>
            <w:vMerge w:val="continue"/>
            <w:vAlign w:val="center"/>
          </w:tcPr>
          <w:p>
            <w:pPr>
              <w:widowControl/>
              <w:jc w:val="left"/>
              <w:rPr>
                <w:rFonts w:hint="eastAsia" w:ascii="宋体" w:hAnsi="宋体" w:eastAsia="宋体" w:cs="宋体"/>
                <w:b w:val="0"/>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8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w:t>
            </w:r>
          </w:p>
        </w:tc>
        <w:tc>
          <w:tcPr>
            <w:tcW w:w="232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保定市满城区司法局</w:t>
            </w:r>
          </w:p>
        </w:tc>
        <w:tc>
          <w:tcPr>
            <w:tcW w:w="212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行政</w:t>
            </w:r>
          </w:p>
        </w:tc>
        <w:tc>
          <w:tcPr>
            <w:tcW w:w="190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正科级</w:t>
            </w:r>
          </w:p>
        </w:tc>
        <w:tc>
          <w:tcPr>
            <w:tcW w:w="2376"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8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w:t>
            </w:r>
          </w:p>
        </w:tc>
        <w:tc>
          <w:tcPr>
            <w:tcW w:w="232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办公室</w:t>
            </w:r>
          </w:p>
        </w:tc>
        <w:tc>
          <w:tcPr>
            <w:tcW w:w="212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行政</w:t>
            </w:r>
          </w:p>
        </w:tc>
        <w:tc>
          <w:tcPr>
            <w:tcW w:w="190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股级</w:t>
            </w:r>
          </w:p>
        </w:tc>
        <w:tc>
          <w:tcPr>
            <w:tcW w:w="2376"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w:t>
            </w:r>
          </w:p>
        </w:tc>
        <w:tc>
          <w:tcPr>
            <w:tcW w:w="232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政工股</w:t>
            </w:r>
          </w:p>
        </w:tc>
        <w:tc>
          <w:tcPr>
            <w:tcW w:w="212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行政</w:t>
            </w:r>
          </w:p>
        </w:tc>
        <w:tc>
          <w:tcPr>
            <w:tcW w:w="190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股级</w:t>
            </w:r>
          </w:p>
        </w:tc>
        <w:tc>
          <w:tcPr>
            <w:tcW w:w="2376"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w:t>
            </w:r>
          </w:p>
        </w:tc>
        <w:tc>
          <w:tcPr>
            <w:tcW w:w="232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宣教股（挂法援中心牌子）</w:t>
            </w:r>
          </w:p>
        </w:tc>
        <w:tc>
          <w:tcPr>
            <w:tcW w:w="212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行政</w:t>
            </w:r>
          </w:p>
        </w:tc>
        <w:tc>
          <w:tcPr>
            <w:tcW w:w="190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股级</w:t>
            </w:r>
          </w:p>
        </w:tc>
        <w:tc>
          <w:tcPr>
            <w:tcW w:w="2376"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4</w:t>
            </w:r>
          </w:p>
        </w:tc>
        <w:tc>
          <w:tcPr>
            <w:tcW w:w="232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基层工作股（挂社区矫正股牌子）</w:t>
            </w:r>
          </w:p>
        </w:tc>
        <w:tc>
          <w:tcPr>
            <w:tcW w:w="212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行政</w:t>
            </w:r>
          </w:p>
        </w:tc>
        <w:tc>
          <w:tcPr>
            <w:tcW w:w="190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股级</w:t>
            </w:r>
          </w:p>
        </w:tc>
        <w:tc>
          <w:tcPr>
            <w:tcW w:w="2376"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5</w:t>
            </w:r>
          </w:p>
        </w:tc>
        <w:tc>
          <w:tcPr>
            <w:tcW w:w="2320" w:type="dxa"/>
            <w:vAlign w:val="center"/>
          </w:tcPr>
          <w:p>
            <w:pPr>
              <w:widowControl/>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法制复议股</w:t>
            </w:r>
          </w:p>
        </w:tc>
        <w:tc>
          <w:tcPr>
            <w:tcW w:w="2120" w:type="dxa"/>
            <w:vAlign w:val="center"/>
          </w:tcPr>
          <w:p>
            <w:pPr>
              <w:widowControl/>
              <w:jc w:val="center"/>
              <w:rPr>
                <w:rFonts w:hint="eastAsia" w:ascii="宋体" w:hAnsi="宋体" w:eastAsia="宋体" w:cs="宋体"/>
                <w:b w:val="0"/>
                <w:bCs w:val="0"/>
                <w:color w:val="000000"/>
                <w:kern w:val="0"/>
                <w:sz w:val="24"/>
                <w:szCs w:val="24"/>
                <w:lang w:val="en-US" w:eastAsia="zh-CN" w:bidi="ar-SA"/>
              </w:rPr>
            </w:pPr>
            <w:r>
              <w:rPr>
                <w:rFonts w:hint="eastAsia" w:ascii="宋体" w:hAnsi="宋体" w:eastAsia="宋体" w:cs="宋体"/>
                <w:b w:val="0"/>
                <w:bCs w:val="0"/>
                <w:color w:val="000000"/>
                <w:kern w:val="0"/>
                <w:sz w:val="24"/>
                <w:szCs w:val="24"/>
              </w:rPr>
              <w:t>行政</w:t>
            </w:r>
          </w:p>
        </w:tc>
        <w:tc>
          <w:tcPr>
            <w:tcW w:w="1900" w:type="dxa"/>
            <w:vAlign w:val="center"/>
          </w:tcPr>
          <w:p>
            <w:pPr>
              <w:widowControl/>
              <w:jc w:val="center"/>
              <w:rPr>
                <w:rFonts w:hint="eastAsia" w:ascii="宋体" w:hAnsi="宋体" w:eastAsia="宋体" w:cs="宋体"/>
                <w:b w:val="0"/>
                <w:bCs w:val="0"/>
                <w:color w:val="000000"/>
                <w:kern w:val="0"/>
                <w:sz w:val="24"/>
                <w:szCs w:val="24"/>
                <w:lang w:val="en-US" w:eastAsia="zh-CN" w:bidi="ar-SA"/>
              </w:rPr>
            </w:pPr>
            <w:r>
              <w:rPr>
                <w:rFonts w:hint="eastAsia" w:ascii="宋体" w:hAnsi="宋体" w:eastAsia="宋体" w:cs="宋体"/>
                <w:b w:val="0"/>
                <w:bCs w:val="0"/>
                <w:color w:val="000000"/>
                <w:kern w:val="0"/>
                <w:sz w:val="24"/>
                <w:szCs w:val="24"/>
              </w:rPr>
              <w:t>股级</w:t>
            </w:r>
          </w:p>
        </w:tc>
        <w:tc>
          <w:tcPr>
            <w:tcW w:w="2376" w:type="dxa"/>
            <w:vAlign w:val="center"/>
          </w:tcPr>
          <w:p>
            <w:pPr>
              <w:widowControl/>
              <w:jc w:val="center"/>
              <w:rPr>
                <w:rFonts w:hint="eastAsia" w:ascii="宋体" w:hAnsi="宋体" w:eastAsia="宋体" w:cs="宋体"/>
                <w:b w:val="0"/>
                <w:bCs w:val="0"/>
                <w:color w:val="000000"/>
                <w:kern w:val="0"/>
                <w:sz w:val="24"/>
                <w:szCs w:val="24"/>
                <w:lang w:val="en-US" w:eastAsia="zh-CN" w:bidi="ar-SA"/>
              </w:rPr>
            </w:pPr>
            <w:r>
              <w:rPr>
                <w:rFonts w:hint="eastAsia" w:ascii="宋体" w:hAnsi="宋体" w:eastAsia="宋体" w:cs="宋体"/>
                <w:b w:val="0"/>
                <w:bCs w:val="0"/>
                <w:color w:val="000000"/>
                <w:kern w:val="0"/>
                <w:sz w:val="24"/>
                <w:szCs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80" w:type="dxa"/>
            <w:vAlign w:val="center"/>
          </w:tcPr>
          <w:p>
            <w:pPr>
              <w:widowControl/>
              <w:jc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6</w:t>
            </w:r>
          </w:p>
        </w:tc>
        <w:tc>
          <w:tcPr>
            <w:tcW w:w="232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公证处</w:t>
            </w:r>
          </w:p>
        </w:tc>
        <w:tc>
          <w:tcPr>
            <w:tcW w:w="212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差额事业</w:t>
            </w:r>
          </w:p>
        </w:tc>
        <w:tc>
          <w:tcPr>
            <w:tcW w:w="1900"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股级</w:t>
            </w:r>
          </w:p>
        </w:tc>
        <w:tc>
          <w:tcPr>
            <w:tcW w:w="2376" w:type="dxa"/>
            <w:vAlign w:val="center"/>
          </w:tcPr>
          <w:p>
            <w:pPr>
              <w:widowControl/>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财政性资金定额补助</w:t>
            </w:r>
          </w:p>
        </w:tc>
      </w:tr>
    </w:tbl>
    <w:p>
      <w:pPr>
        <w:spacing w:line="520" w:lineRule="exact"/>
        <w:ind w:left="1713" w:firstLine="320" w:firstLineChars="100"/>
        <w:rPr>
          <w:rFonts w:hint="eastAsia" w:ascii="宋体" w:hAnsi="宋体" w:eastAsia="宋体" w:cs="宋体"/>
          <w:b w:val="0"/>
          <w:bCs w:val="0"/>
          <w:sz w:val="32"/>
          <w:szCs w:val="32"/>
        </w:rPr>
      </w:pPr>
      <w:r>
        <w:rPr>
          <w:rFonts w:hint="eastAsia" w:ascii="宋体" w:hAnsi="宋体" w:eastAsia="宋体" w:cs="宋体"/>
          <w:b w:val="0"/>
          <w:bCs w:val="0"/>
          <w:sz w:val="32"/>
          <w:szCs w:val="32"/>
        </w:rPr>
        <w:t>第二部分：部门预算安排的总体情况</w:t>
      </w:r>
    </w:p>
    <w:p>
      <w:pPr>
        <w:spacing w:line="560" w:lineRule="exact"/>
        <w:ind w:firstLine="548" w:firstLineChars="196"/>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一</w:t>
      </w:r>
      <w:r>
        <w:rPr>
          <w:rFonts w:hint="eastAsia" w:ascii="宋体" w:hAnsi="宋体" w:eastAsia="宋体" w:cs="宋体"/>
          <w:b w:val="0"/>
          <w:bCs w:val="0"/>
          <w:kern w:val="0"/>
          <w:sz w:val="28"/>
          <w:szCs w:val="28"/>
        </w:rPr>
        <w:t>、收入说明</w:t>
      </w:r>
    </w:p>
    <w:p>
      <w:pPr>
        <w:spacing w:line="52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20</w:t>
      </w:r>
      <w:r>
        <w:rPr>
          <w:rFonts w:hint="eastAsia" w:ascii="宋体" w:hAnsi="宋体" w:eastAsia="宋体" w:cs="宋体"/>
          <w:b w:val="0"/>
          <w:bCs w:val="0"/>
          <w:sz w:val="28"/>
          <w:szCs w:val="28"/>
          <w:lang w:val="en-US" w:eastAsia="zh-CN"/>
        </w:rPr>
        <w:t>21</w:t>
      </w:r>
      <w:r>
        <w:rPr>
          <w:rFonts w:hint="eastAsia" w:ascii="宋体" w:hAnsi="宋体" w:eastAsia="宋体" w:cs="宋体"/>
          <w:b w:val="0"/>
          <w:bCs w:val="0"/>
          <w:sz w:val="28"/>
          <w:szCs w:val="28"/>
        </w:rPr>
        <w:t>年保定市满城区司法局及所属事业单位年初部门收入预算总额为</w:t>
      </w:r>
      <w:r>
        <w:rPr>
          <w:rFonts w:hint="eastAsia" w:ascii="宋体" w:hAnsi="宋体" w:eastAsia="宋体" w:cs="宋体"/>
          <w:b w:val="0"/>
          <w:bCs w:val="0"/>
          <w:kern w:val="0"/>
          <w:sz w:val="28"/>
          <w:szCs w:val="28"/>
          <w:lang w:val="en-US" w:eastAsia="zh-CN"/>
        </w:rPr>
        <w:t>554.61</w:t>
      </w:r>
      <w:r>
        <w:rPr>
          <w:rFonts w:hint="eastAsia" w:ascii="宋体" w:hAnsi="宋体" w:eastAsia="宋体" w:cs="宋体"/>
          <w:b w:val="0"/>
          <w:bCs w:val="0"/>
          <w:sz w:val="28"/>
          <w:szCs w:val="28"/>
        </w:rPr>
        <w:t>万元。其中：一般公共预算收入为</w:t>
      </w:r>
      <w:r>
        <w:rPr>
          <w:rFonts w:hint="eastAsia" w:ascii="宋体" w:hAnsi="宋体" w:eastAsia="宋体" w:cs="宋体"/>
          <w:b w:val="0"/>
          <w:bCs w:val="0"/>
          <w:kern w:val="0"/>
          <w:sz w:val="28"/>
          <w:szCs w:val="28"/>
          <w:lang w:val="en-US" w:eastAsia="zh-CN"/>
        </w:rPr>
        <w:t>554.61</w:t>
      </w:r>
      <w:r>
        <w:rPr>
          <w:rFonts w:hint="eastAsia" w:ascii="宋体" w:hAnsi="宋体" w:eastAsia="宋体" w:cs="宋体"/>
          <w:b w:val="0"/>
          <w:bCs w:val="0"/>
          <w:sz w:val="28"/>
          <w:szCs w:val="28"/>
        </w:rPr>
        <w:t>万元。</w:t>
      </w:r>
    </w:p>
    <w:p>
      <w:pPr>
        <w:spacing w:line="52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二</w:t>
      </w:r>
      <w:r>
        <w:rPr>
          <w:rFonts w:hint="eastAsia" w:ascii="宋体" w:hAnsi="宋体" w:eastAsia="宋体" w:cs="宋体"/>
          <w:b w:val="0"/>
          <w:bCs w:val="0"/>
          <w:sz w:val="28"/>
          <w:szCs w:val="28"/>
        </w:rPr>
        <w:t>、支出说明</w:t>
      </w:r>
    </w:p>
    <w:p>
      <w:pPr>
        <w:spacing w:line="52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20</w:t>
      </w:r>
      <w:r>
        <w:rPr>
          <w:rFonts w:hint="eastAsia" w:ascii="宋体" w:hAnsi="宋体" w:eastAsia="宋体" w:cs="宋体"/>
          <w:b w:val="0"/>
          <w:bCs w:val="0"/>
          <w:sz w:val="28"/>
          <w:szCs w:val="28"/>
          <w:lang w:val="en-US" w:eastAsia="zh-CN"/>
        </w:rPr>
        <w:t>21</w:t>
      </w:r>
      <w:r>
        <w:rPr>
          <w:rFonts w:hint="eastAsia" w:ascii="宋体" w:hAnsi="宋体" w:eastAsia="宋体" w:cs="宋体"/>
          <w:b w:val="0"/>
          <w:bCs w:val="0"/>
          <w:sz w:val="28"/>
          <w:szCs w:val="28"/>
        </w:rPr>
        <w:t>年部门支出安排预算总额</w:t>
      </w:r>
      <w:r>
        <w:rPr>
          <w:rFonts w:hint="eastAsia" w:ascii="宋体" w:hAnsi="宋体" w:eastAsia="宋体" w:cs="宋体"/>
          <w:b w:val="0"/>
          <w:bCs w:val="0"/>
          <w:kern w:val="0"/>
          <w:sz w:val="28"/>
          <w:szCs w:val="28"/>
          <w:lang w:val="en-US" w:eastAsia="zh-CN"/>
        </w:rPr>
        <w:t>554.61</w:t>
      </w:r>
      <w:r>
        <w:rPr>
          <w:rFonts w:hint="eastAsia" w:ascii="宋体" w:hAnsi="宋体" w:eastAsia="宋体" w:cs="宋体"/>
          <w:b w:val="0"/>
          <w:bCs w:val="0"/>
          <w:sz w:val="28"/>
          <w:szCs w:val="28"/>
        </w:rPr>
        <w:t>万元。</w:t>
      </w:r>
    </w:p>
    <w:p>
      <w:pPr>
        <w:spacing w:line="52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基本支出</w:t>
      </w:r>
      <w:r>
        <w:rPr>
          <w:rFonts w:hint="eastAsia" w:ascii="宋体" w:hAnsi="宋体" w:eastAsia="宋体" w:cs="宋体"/>
          <w:b w:val="0"/>
          <w:bCs w:val="0"/>
          <w:sz w:val="28"/>
          <w:szCs w:val="28"/>
          <w:lang w:val="en-US" w:eastAsia="zh-CN"/>
        </w:rPr>
        <w:t>548.11</w:t>
      </w:r>
      <w:r>
        <w:rPr>
          <w:rFonts w:hint="eastAsia" w:ascii="宋体" w:hAnsi="宋体" w:eastAsia="宋体" w:cs="宋体"/>
          <w:b w:val="0"/>
          <w:bCs w:val="0"/>
          <w:sz w:val="28"/>
          <w:szCs w:val="28"/>
        </w:rPr>
        <w:t>万元</w:t>
      </w:r>
    </w:p>
    <w:p>
      <w:pPr>
        <w:spacing w:line="52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其中：人员经费</w:t>
      </w:r>
      <w:r>
        <w:rPr>
          <w:rFonts w:hint="eastAsia" w:ascii="宋体" w:hAnsi="宋体" w:eastAsia="宋体" w:cs="宋体"/>
          <w:b w:val="0"/>
          <w:bCs w:val="0"/>
          <w:sz w:val="28"/>
          <w:szCs w:val="28"/>
          <w:lang w:val="en-US" w:eastAsia="zh-CN"/>
        </w:rPr>
        <w:t>491.85</w:t>
      </w:r>
      <w:r>
        <w:rPr>
          <w:rFonts w:hint="eastAsia" w:ascii="宋体" w:hAnsi="宋体" w:eastAsia="宋体" w:cs="宋体"/>
          <w:b w:val="0"/>
          <w:bCs w:val="0"/>
          <w:sz w:val="28"/>
          <w:szCs w:val="28"/>
        </w:rPr>
        <w:t>万元</w:t>
      </w:r>
    </w:p>
    <w:p>
      <w:pPr>
        <w:spacing w:line="52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日常公用经费5</w:t>
      </w:r>
      <w:r>
        <w:rPr>
          <w:rFonts w:hint="eastAsia" w:ascii="宋体" w:hAnsi="宋体" w:eastAsia="宋体" w:cs="宋体"/>
          <w:b w:val="0"/>
          <w:bCs w:val="0"/>
          <w:sz w:val="28"/>
          <w:szCs w:val="28"/>
          <w:lang w:val="en-US" w:eastAsia="zh-CN"/>
        </w:rPr>
        <w:t>6.26</w:t>
      </w:r>
      <w:r>
        <w:rPr>
          <w:rFonts w:hint="eastAsia" w:ascii="宋体" w:hAnsi="宋体" w:eastAsia="宋体" w:cs="宋体"/>
          <w:b w:val="0"/>
          <w:bCs w:val="0"/>
          <w:sz w:val="28"/>
          <w:szCs w:val="28"/>
        </w:rPr>
        <w:t>万元</w:t>
      </w:r>
    </w:p>
    <w:p>
      <w:pPr>
        <w:spacing w:line="520" w:lineRule="exact"/>
        <w:ind w:firstLine="560" w:firstLineChars="200"/>
        <w:rPr>
          <w:rFonts w:hint="eastAsia" w:ascii="宋体" w:hAnsi="宋体" w:eastAsia="宋体" w:cs="宋体"/>
          <w:b w:val="0"/>
          <w:bCs w:val="0"/>
          <w:kern w:val="0"/>
          <w:sz w:val="28"/>
          <w:szCs w:val="28"/>
        </w:rPr>
      </w:pPr>
      <w:r>
        <w:rPr>
          <w:rFonts w:hint="eastAsia" w:ascii="宋体" w:hAnsi="宋体" w:eastAsia="宋体" w:cs="宋体"/>
          <w:b w:val="0"/>
          <w:bCs w:val="0"/>
          <w:sz w:val="28"/>
          <w:szCs w:val="28"/>
          <w:lang w:val="en-US" w:eastAsia="zh-CN"/>
        </w:rPr>
        <w:t xml:space="preserve">   2、</w:t>
      </w:r>
      <w:r>
        <w:rPr>
          <w:rFonts w:hint="eastAsia" w:ascii="宋体" w:hAnsi="宋体" w:eastAsia="宋体" w:cs="宋体"/>
          <w:b w:val="0"/>
          <w:bCs w:val="0"/>
          <w:sz w:val="28"/>
          <w:szCs w:val="28"/>
        </w:rPr>
        <w:t>项目支出</w:t>
      </w:r>
      <w:r>
        <w:rPr>
          <w:rFonts w:hint="eastAsia" w:ascii="宋体" w:hAnsi="宋体" w:eastAsia="宋体" w:cs="宋体"/>
          <w:b w:val="0"/>
          <w:bCs w:val="0"/>
          <w:sz w:val="28"/>
          <w:szCs w:val="28"/>
          <w:lang w:val="en-US" w:eastAsia="zh-CN"/>
        </w:rPr>
        <w:t>6.5</w:t>
      </w:r>
      <w:r>
        <w:rPr>
          <w:rFonts w:hint="eastAsia" w:ascii="宋体" w:hAnsi="宋体" w:eastAsia="宋体" w:cs="宋体"/>
          <w:b w:val="0"/>
          <w:bCs w:val="0"/>
          <w:sz w:val="28"/>
          <w:szCs w:val="28"/>
        </w:rPr>
        <w:t>万元</w:t>
      </w:r>
      <w:r>
        <w:rPr>
          <w:rFonts w:hint="eastAsia" w:ascii="宋体" w:hAnsi="宋体" w:eastAsia="宋体" w:cs="宋体"/>
          <w:b w:val="0"/>
          <w:bCs w:val="0"/>
          <w:kern w:val="0"/>
          <w:sz w:val="28"/>
          <w:szCs w:val="28"/>
        </w:rPr>
        <w:t>。</w:t>
      </w:r>
    </w:p>
    <w:p>
      <w:pPr>
        <w:tabs>
          <w:tab w:val="left" w:pos="916"/>
        </w:tabs>
        <w:spacing w:line="560" w:lineRule="exact"/>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三</w:t>
      </w:r>
      <w:r>
        <w:rPr>
          <w:rFonts w:hint="eastAsia" w:ascii="宋体" w:hAnsi="宋体" w:eastAsia="宋体" w:cs="宋体"/>
          <w:b w:val="0"/>
          <w:bCs w:val="0"/>
          <w:sz w:val="28"/>
          <w:szCs w:val="28"/>
        </w:rPr>
        <w:t>、比上年增减情况</w:t>
      </w:r>
    </w:p>
    <w:p>
      <w:pPr>
        <w:tabs>
          <w:tab w:val="left" w:pos="916"/>
        </w:tabs>
        <w:spacing w:line="560" w:lineRule="exact"/>
        <w:ind w:firstLine="560"/>
        <w:jc w:val="left"/>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本年度预算收支安排</w:t>
      </w:r>
      <w:r>
        <w:rPr>
          <w:rFonts w:hint="eastAsia" w:ascii="宋体" w:hAnsi="宋体" w:eastAsia="宋体" w:cs="宋体"/>
          <w:b w:val="0"/>
          <w:bCs w:val="0"/>
          <w:kern w:val="0"/>
          <w:sz w:val="28"/>
          <w:szCs w:val="28"/>
          <w:lang w:val="en-US" w:eastAsia="zh-CN"/>
        </w:rPr>
        <w:t>554.61</w:t>
      </w:r>
      <w:r>
        <w:rPr>
          <w:rFonts w:hint="eastAsia" w:ascii="宋体" w:hAnsi="宋体" w:eastAsia="宋体" w:cs="宋体"/>
          <w:b w:val="0"/>
          <w:bCs w:val="0"/>
          <w:sz w:val="28"/>
          <w:szCs w:val="28"/>
        </w:rPr>
        <w:t>万元，较上年</w:t>
      </w:r>
      <w:r>
        <w:rPr>
          <w:rFonts w:hint="eastAsia" w:ascii="宋体" w:hAnsi="宋体" w:eastAsia="宋体" w:cs="宋体"/>
          <w:b w:val="0"/>
          <w:bCs w:val="0"/>
          <w:sz w:val="28"/>
          <w:szCs w:val="28"/>
          <w:lang w:eastAsia="zh-CN"/>
        </w:rPr>
        <w:t>减少</w:t>
      </w:r>
      <w:r>
        <w:rPr>
          <w:rFonts w:hint="eastAsia" w:ascii="宋体" w:hAnsi="宋体" w:eastAsia="宋体" w:cs="宋体"/>
          <w:b w:val="0"/>
          <w:bCs w:val="0"/>
          <w:sz w:val="28"/>
          <w:szCs w:val="28"/>
          <w:lang w:val="en-US" w:eastAsia="zh-CN"/>
        </w:rPr>
        <w:t>35.54</w:t>
      </w:r>
      <w:r>
        <w:rPr>
          <w:rFonts w:hint="eastAsia" w:ascii="宋体" w:hAnsi="宋体" w:eastAsia="宋体" w:cs="宋体"/>
          <w:b w:val="0"/>
          <w:bCs w:val="0"/>
          <w:sz w:val="28"/>
          <w:szCs w:val="28"/>
        </w:rPr>
        <w:t>万元。其中:基本支出增加</w:t>
      </w:r>
      <w:r>
        <w:rPr>
          <w:rFonts w:hint="eastAsia" w:ascii="宋体" w:hAnsi="宋体" w:eastAsia="宋体" w:cs="宋体"/>
          <w:b w:val="0"/>
          <w:bCs w:val="0"/>
          <w:sz w:val="28"/>
          <w:szCs w:val="28"/>
          <w:lang w:val="en-US" w:eastAsia="zh-CN"/>
        </w:rPr>
        <w:t>65.41</w:t>
      </w:r>
      <w:r>
        <w:rPr>
          <w:rFonts w:hint="eastAsia" w:ascii="宋体" w:hAnsi="宋体" w:eastAsia="宋体" w:cs="宋体"/>
          <w:b w:val="0"/>
          <w:bCs w:val="0"/>
          <w:sz w:val="28"/>
          <w:szCs w:val="28"/>
        </w:rPr>
        <w:t>万元，主要</w:t>
      </w:r>
      <w:r>
        <w:rPr>
          <w:rFonts w:hint="eastAsia" w:ascii="宋体" w:hAnsi="宋体" w:eastAsia="宋体" w:cs="宋体"/>
          <w:b w:val="0"/>
          <w:bCs w:val="0"/>
          <w:sz w:val="28"/>
          <w:szCs w:val="28"/>
          <w:lang w:eastAsia="zh-CN"/>
        </w:rPr>
        <w:t>原</w:t>
      </w:r>
      <w:r>
        <w:rPr>
          <w:rFonts w:hint="eastAsia" w:ascii="宋体" w:hAnsi="宋体" w:eastAsia="宋体" w:cs="宋体"/>
          <w:b w:val="0"/>
          <w:bCs w:val="0"/>
          <w:sz w:val="28"/>
          <w:szCs w:val="28"/>
        </w:rPr>
        <w:t>因为</w:t>
      </w:r>
      <w:r>
        <w:rPr>
          <w:rFonts w:hint="eastAsia" w:ascii="宋体" w:hAnsi="宋体" w:eastAsia="宋体" w:cs="宋体"/>
          <w:b w:val="0"/>
          <w:bCs w:val="0"/>
          <w:sz w:val="28"/>
          <w:szCs w:val="28"/>
          <w:lang w:val="en-US" w:eastAsia="zh-CN"/>
        </w:rPr>
        <w:t>单位人员增加</w:t>
      </w:r>
      <w:r>
        <w:rPr>
          <w:rFonts w:hint="eastAsia" w:ascii="宋体" w:hAnsi="宋体" w:eastAsia="宋体" w:cs="宋体"/>
          <w:b w:val="0"/>
          <w:bCs w:val="0"/>
          <w:sz w:val="28"/>
          <w:szCs w:val="28"/>
        </w:rPr>
        <w:t>；项目支出</w:t>
      </w:r>
      <w:r>
        <w:rPr>
          <w:rFonts w:hint="eastAsia" w:ascii="宋体" w:hAnsi="宋体" w:eastAsia="宋体" w:cs="宋体"/>
          <w:b w:val="0"/>
          <w:bCs w:val="0"/>
          <w:sz w:val="28"/>
          <w:szCs w:val="28"/>
          <w:lang w:eastAsia="zh-CN"/>
        </w:rPr>
        <w:t>减少</w:t>
      </w:r>
      <w:r>
        <w:rPr>
          <w:rFonts w:hint="eastAsia" w:ascii="宋体" w:hAnsi="宋体" w:eastAsia="宋体" w:cs="宋体"/>
          <w:b w:val="0"/>
          <w:bCs w:val="0"/>
          <w:sz w:val="28"/>
          <w:szCs w:val="28"/>
          <w:lang w:val="en-US" w:eastAsia="zh-CN"/>
        </w:rPr>
        <w:t>100.95</w:t>
      </w:r>
      <w:r>
        <w:rPr>
          <w:rFonts w:hint="eastAsia" w:ascii="宋体" w:hAnsi="宋体" w:eastAsia="宋体" w:cs="宋体"/>
          <w:b w:val="0"/>
          <w:bCs w:val="0"/>
          <w:sz w:val="28"/>
          <w:szCs w:val="28"/>
        </w:rPr>
        <w:t>万元，主要</w:t>
      </w:r>
      <w:r>
        <w:rPr>
          <w:rFonts w:hint="eastAsia" w:ascii="宋体" w:hAnsi="宋体" w:eastAsia="宋体" w:cs="宋体"/>
          <w:b w:val="0"/>
          <w:bCs w:val="0"/>
          <w:sz w:val="28"/>
          <w:szCs w:val="28"/>
          <w:lang w:eastAsia="zh-CN"/>
        </w:rPr>
        <w:t>原因为</w:t>
      </w:r>
      <w:r>
        <w:rPr>
          <w:rFonts w:hint="eastAsia" w:ascii="宋体" w:hAnsi="宋体" w:eastAsia="宋体" w:cs="宋体"/>
          <w:b w:val="0"/>
          <w:bCs w:val="0"/>
          <w:sz w:val="28"/>
          <w:szCs w:val="28"/>
          <w:lang w:val="en-US" w:eastAsia="zh-CN"/>
        </w:rPr>
        <w:t>2021年不包含</w:t>
      </w:r>
      <w:r>
        <w:rPr>
          <w:rFonts w:hint="eastAsia" w:ascii="宋体" w:hAnsi="宋体" w:eastAsia="宋体" w:cs="宋体"/>
          <w:b w:val="0"/>
          <w:bCs w:val="0"/>
          <w:color w:val="auto"/>
          <w:sz w:val="28"/>
          <w:szCs w:val="28"/>
          <w:lang w:eastAsia="zh-CN"/>
        </w:rPr>
        <w:t>上级项目资金</w:t>
      </w:r>
      <w:r>
        <w:rPr>
          <w:rFonts w:hint="eastAsia" w:ascii="宋体" w:hAnsi="宋体" w:eastAsia="宋体" w:cs="宋体"/>
          <w:b w:val="0"/>
          <w:bCs w:val="0"/>
          <w:sz w:val="28"/>
          <w:szCs w:val="28"/>
          <w:lang w:eastAsia="zh-CN"/>
        </w:rPr>
        <w:t>。</w:t>
      </w:r>
    </w:p>
    <w:p>
      <w:pPr>
        <w:tabs>
          <w:tab w:val="left" w:pos="916"/>
        </w:tabs>
        <w:spacing w:line="560" w:lineRule="exact"/>
        <w:ind w:firstLine="560"/>
        <w:jc w:val="left"/>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2021</w:t>
      </w:r>
      <w:r>
        <w:rPr>
          <w:rFonts w:hint="eastAsia" w:ascii="宋体" w:hAnsi="宋体" w:eastAsia="宋体" w:cs="宋体"/>
          <w:b w:val="0"/>
          <w:bCs w:val="0"/>
          <w:sz w:val="28"/>
          <w:szCs w:val="28"/>
        </w:rPr>
        <w:t>年我局的各项支出以将全面贯彻党和国家的有关政策、认真遵守财经纪律为准则，严格按预算规定的标准、用途执行，做到经费按进度，专款要专用，力争全面提高</w:t>
      </w:r>
      <w:r>
        <w:rPr>
          <w:rFonts w:hint="eastAsia" w:ascii="宋体" w:hAnsi="宋体" w:eastAsia="宋体" w:cs="宋体"/>
          <w:b w:val="0"/>
          <w:bCs w:val="0"/>
          <w:sz w:val="28"/>
          <w:szCs w:val="28"/>
          <w:lang w:eastAsia="zh-CN"/>
        </w:rPr>
        <w:t>司法业务</w:t>
      </w:r>
      <w:r>
        <w:rPr>
          <w:rFonts w:hint="eastAsia" w:ascii="宋体" w:hAnsi="宋体" w:eastAsia="宋体" w:cs="宋体"/>
          <w:b w:val="0"/>
          <w:bCs w:val="0"/>
          <w:sz w:val="28"/>
          <w:szCs w:val="28"/>
        </w:rPr>
        <w:t>资金的使用效率。</w:t>
      </w:r>
    </w:p>
    <w:p>
      <w:pPr>
        <w:tabs>
          <w:tab w:val="left" w:pos="916"/>
        </w:tabs>
        <w:spacing w:line="560" w:lineRule="exact"/>
        <w:ind w:firstLine="560"/>
        <w:jc w:val="left"/>
        <w:rPr>
          <w:rFonts w:hint="eastAsia" w:ascii="宋体" w:hAnsi="宋体" w:eastAsia="宋体" w:cs="宋体"/>
          <w:b w:val="0"/>
          <w:bCs w:val="0"/>
          <w:sz w:val="28"/>
          <w:szCs w:val="28"/>
          <w:lang w:eastAsia="zh-CN"/>
        </w:rPr>
      </w:pPr>
    </w:p>
    <w:p>
      <w:pPr>
        <w:spacing w:line="520" w:lineRule="exact"/>
        <w:jc w:val="center"/>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第三部分：机关运行经费安排情况</w:t>
      </w:r>
    </w:p>
    <w:p>
      <w:pPr>
        <w:spacing w:line="520" w:lineRule="exact"/>
        <w:ind w:firstLine="560" w:firstLineChars="200"/>
        <w:jc w:val="left"/>
        <w:outlineLvl w:val="0"/>
        <w:rPr>
          <w:rFonts w:hint="eastAsia" w:ascii="宋体" w:hAnsi="宋体" w:eastAsia="宋体" w:cs="宋体"/>
          <w:b w:val="0"/>
          <w:bCs w:val="0"/>
          <w:sz w:val="28"/>
          <w:szCs w:val="28"/>
        </w:rPr>
      </w:pPr>
      <w:r>
        <w:rPr>
          <w:rFonts w:hint="eastAsia" w:ascii="宋体" w:hAnsi="宋体" w:eastAsia="宋体" w:cs="宋体"/>
          <w:b w:val="0"/>
          <w:bCs w:val="0"/>
          <w:sz w:val="28"/>
          <w:szCs w:val="28"/>
        </w:rPr>
        <w:t>保定市满城区司法局机关运行经费安排</w:t>
      </w:r>
      <w:r>
        <w:rPr>
          <w:rFonts w:hint="eastAsia" w:ascii="宋体" w:hAnsi="宋体" w:eastAsia="宋体" w:cs="宋体"/>
          <w:b w:val="0"/>
          <w:bCs w:val="0"/>
          <w:sz w:val="28"/>
          <w:szCs w:val="28"/>
          <w:lang w:val="en-US" w:eastAsia="zh-CN"/>
        </w:rPr>
        <w:t>56.26</w:t>
      </w:r>
      <w:r>
        <w:rPr>
          <w:rFonts w:hint="eastAsia" w:ascii="宋体" w:hAnsi="宋体" w:eastAsia="宋体" w:cs="宋体"/>
          <w:b w:val="0"/>
          <w:bCs w:val="0"/>
          <w:sz w:val="28"/>
          <w:szCs w:val="28"/>
        </w:rPr>
        <w:t>万元，其中办公费</w:t>
      </w:r>
      <w:r>
        <w:rPr>
          <w:rFonts w:hint="eastAsia" w:ascii="宋体" w:hAnsi="宋体" w:eastAsia="宋体" w:cs="宋体"/>
          <w:b w:val="0"/>
          <w:bCs w:val="0"/>
          <w:sz w:val="28"/>
          <w:szCs w:val="28"/>
          <w:lang w:val="en-US" w:eastAsia="zh-CN"/>
        </w:rPr>
        <w:t>2.52</w:t>
      </w:r>
      <w:r>
        <w:rPr>
          <w:rFonts w:hint="eastAsia" w:ascii="宋体" w:hAnsi="宋体" w:eastAsia="宋体" w:cs="宋体"/>
          <w:b w:val="0"/>
          <w:bCs w:val="0"/>
          <w:sz w:val="28"/>
          <w:szCs w:val="28"/>
        </w:rPr>
        <w:t>万元，水费0.</w:t>
      </w:r>
      <w:r>
        <w:rPr>
          <w:rFonts w:hint="eastAsia" w:ascii="宋体" w:hAnsi="宋体" w:eastAsia="宋体" w:cs="宋体"/>
          <w:b w:val="0"/>
          <w:bCs w:val="0"/>
          <w:sz w:val="28"/>
          <w:szCs w:val="28"/>
          <w:lang w:val="en-US" w:eastAsia="zh-CN"/>
        </w:rPr>
        <w:t>55万元</w:t>
      </w:r>
      <w:r>
        <w:rPr>
          <w:rFonts w:hint="eastAsia" w:ascii="宋体" w:hAnsi="宋体" w:eastAsia="宋体" w:cs="宋体"/>
          <w:b w:val="0"/>
          <w:bCs w:val="0"/>
          <w:sz w:val="28"/>
          <w:szCs w:val="28"/>
        </w:rPr>
        <w:t>，电费</w:t>
      </w:r>
      <w:r>
        <w:rPr>
          <w:rFonts w:hint="eastAsia" w:ascii="宋体" w:hAnsi="宋体" w:eastAsia="宋体" w:cs="宋体"/>
          <w:b w:val="0"/>
          <w:bCs w:val="0"/>
          <w:sz w:val="28"/>
          <w:szCs w:val="28"/>
          <w:lang w:val="en-US" w:eastAsia="zh-CN"/>
        </w:rPr>
        <w:t>1.8万元</w:t>
      </w:r>
      <w:r>
        <w:rPr>
          <w:rFonts w:hint="eastAsia" w:ascii="宋体" w:hAnsi="宋体" w:eastAsia="宋体" w:cs="宋体"/>
          <w:b w:val="0"/>
          <w:bCs w:val="0"/>
          <w:sz w:val="28"/>
          <w:szCs w:val="28"/>
        </w:rPr>
        <w:t>，邮电费</w:t>
      </w:r>
      <w:r>
        <w:rPr>
          <w:rFonts w:hint="eastAsia" w:ascii="宋体" w:hAnsi="宋体" w:eastAsia="宋体" w:cs="宋体"/>
          <w:b w:val="0"/>
          <w:bCs w:val="0"/>
          <w:sz w:val="28"/>
          <w:szCs w:val="28"/>
          <w:lang w:val="en-US" w:eastAsia="zh-CN"/>
        </w:rPr>
        <w:t>9.18</w:t>
      </w:r>
      <w:r>
        <w:rPr>
          <w:rFonts w:hint="eastAsia" w:ascii="宋体" w:hAnsi="宋体" w:eastAsia="宋体" w:cs="宋体"/>
          <w:b w:val="0"/>
          <w:bCs w:val="0"/>
          <w:sz w:val="28"/>
          <w:szCs w:val="28"/>
        </w:rPr>
        <w:t>万元，差旅费</w:t>
      </w:r>
      <w:r>
        <w:rPr>
          <w:rFonts w:hint="eastAsia" w:ascii="宋体" w:hAnsi="宋体" w:eastAsia="宋体" w:cs="宋体"/>
          <w:b w:val="0"/>
          <w:bCs w:val="0"/>
          <w:sz w:val="28"/>
          <w:szCs w:val="28"/>
          <w:lang w:val="en-US" w:eastAsia="zh-CN"/>
        </w:rPr>
        <w:t>0.55</w:t>
      </w:r>
      <w:r>
        <w:rPr>
          <w:rFonts w:hint="eastAsia" w:ascii="宋体" w:hAnsi="宋体" w:eastAsia="宋体" w:cs="宋体"/>
          <w:b w:val="0"/>
          <w:bCs w:val="0"/>
          <w:sz w:val="28"/>
          <w:szCs w:val="28"/>
        </w:rPr>
        <w:t>万元，公务接待费</w:t>
      </w:r>
      <w:r>
        <w:rPr>
          <w:rFonts w:hint="eastAsia" w:ascii="宋体" w:hAnsi="宋体" w:eastAsia="宋体" w:cs="宋体"/>
          <w:b w:val="0"/>
          <w:bCs w:val="0"/>
          <w:sz w:val="28"/>
          <w:szCs w:val="28"/>
          <w:lang w:val="en-US" w:eastAsia="zh-CN"/>
        </w:rPr>
        <w:t>1.1</w:t>
      </w:r>
      <w:r>
        <w:rPr>
          <w:rFonts w:hint="eastAsia" w:ascii="宋体" w:hAnsi="宋体" w:eastAsia="宋体" w:cs="宋体"/>
          <w:b w:val="0"/>
          <w:bCs w:val="0"/>
          <w:sz w:val="28"/>
          <w:szCs w:val="28"/>
        </w:rPr>
        <w:t>万元，</w:t>
      </w:r>
      <w:r>
        <w:rPr>
          <w:rFonts w:hint="eastAsia" w:ascii="宋体" w:hAnsi="宋体" w:eastAsia="宋体" w:cs="宋体"/>
          <w:b w:val="0"/>
          <w:bCs w:val="0"/>
          <w:sz w:val="28"/>
          <w:szCs w:val="28"/>
          <w:lang w:eastAsia="zh-CN"/>
        </w:rPr>
        <w:t>福利费</w:t>
      </w:r>
      <w:r>
        <w:rPr>
          <w:rFonts w:hint="eastAsia" w:ascii="宋体" w:hAnsi="宋体" w:eastAsia="宋体" w:cs="宋体"/>
          <w:b w:val="0"/>
          <w:bCs w:val="0"/>
          <w:sz w:val="28"/>
          <w:szCs w:val="28"/>
          <w:lang w:val="en-US" w:eastAsia="zh-CN"/>
        </w:rPr>
        <w:t>3.61万元，</w:t>
      </w:r>
      <w:r>
        <w:rPr>
          <w:rFonts w:hint="eastAsia" w:ascii="宋体" w:hAnsi="宋体" w:eastAsia="宋体" w:cs="宋体"/>
          <w:b w:val="0"/>
          <w:bCs w:val="0"/>
          <w:sz w:val="28"/>
          <w:szCs w:val="28"/>
        </w:rPr>
        <w:t>公务用车运行维护费</w:t>
      </w:r>
      <w:r>
        <w:rPr>
          <w:rFonts w:hint="eastAsia" w:ascii="宋体" w:hAnsi="宋体" w:eastAsia="宋体" w:cs="宋体"/>
          <w:b w:val="0"/>
          <w:bCs w:val="0"/>
          <w:sz w:val="28"/>
          <w:szCs w:val="28"/>
          <w:lang w:val="en-US" w:eastAsia="zh-CN"/>
        </w:rPr>
        <w:t>24</w:t>
      </w:r>
      <w:r>
        <w:rPr>
          <w:rFonts w:hint="eastAsia" w:ascii="宋体" w:hAnsi="宋体" w:eastAsia="宋体" w:cs="宋体"/>
          <w:b w:val="0"/>
          <w:bCs w:val="0"/>
          <w:sz w:val="28"/>
          <w:szCs w:val="28"/>
        </w:rPr>
        <w:t>万元，公务</w:t>
      </w:r>
      <w:r>
        <w:rPr>
          <w:rFonts w:hint="eastAsia" w:ascii="宋体" w:hAnsi="宋体" w:eastAsia="宋体" w:cs="宋体"/>
          <w:b w:val="0"/>
          <w:bCs w:val="0"/>
          <w:sz w:val="28"/>
          <w:szCs w:val="28"/>
          <w:lang w:val="en-US" w:eastAsia="zh-CN"/>
        </w:rPr>
        <w:t>交通补贴12.54</w:t>
      </w:r>
      <w:r>
        <w:rPr>
          <w:rFonts w:hint="eastAsia" w:ascii="宋体" w:hAnsi="宋体" w:eastAsia="宋体" w:cs="宋体"/>
          <w:b w:val="0"/>
          <w:bCs w:val="0"/>
          <w:sz w:val="28"/>
          <w:szCs w:val="28"/>
        </w:rPr>
        <w:t>万元，其他支出</w:t>
      </w:r>
      <w:r>
        <w:rPr>
          <w:rFonts w:hint="eastAsia" w:ascii="宋体" w:hAnsi="宋体" w:eastAsia="宋体" w:cs="宋体"/>
          <w:b w:val="0"/>
          <w:bCs w:val="0"/>
          <w:sz w:val="28"/>
          <w:szCs w:val="28"/>
          <w:lang w:val="en-US" w:eastAsia="zh-CN"/>
        </w:rPr>
        <w:t>0.41</w:t>
      </w:r>
      <w:r>
        <w:rPr>
          <w:rFonts w:hint="eastAsia" w:ascii="宋体" w:hAnsi="宋体" w:eastAsia="宋体" w:cs="宋体"/>
          <w:b w:val="0"/>
          <w:bCs w:val="0"/>
          <w:sz w:val="28"/>
          <w:szCs w:val="28"/>
        </w:rPr>
        <w:t>万元。</w:t>
      </w:r>
    </w:p>
    <w:p>
      <w:pPr>
        <w:spacing w:line="520" w:lineRule="exact"/>
        <w:jc w:val="center"/>
        <w:outlineLvl w:val="0"/>
        <w:rPr>
          <w:rFonts w:hint="eastAsia" w:ascii="宋体" w:hAnsi="宋体" w:eastAsia="宋体" w:cs="宋体"/>
          <w:b w:val="0"/>
          <w:bCs w:val="0"/>
          <w:sz w:val="32"/>
          <w:szCs w:val="32"/>
        </w:rPr>
      </w:pPr>
    </w:p>
    <w:p>
      <w:pPr>
        <w:spacing w:line="520" w:lineRule="exact"/>
        <w:jc w:val="center"/>
        <w:outlineLvl w:val="0"/>
        <w:rPr>
          <w:rFonts w:hint="eastAsia" w:ascii="宋体" w:hAnsi="宋体" w:eastAsia="宋体" w:cs="宋体"/>
          <w:b w:val="0"/>
          <w:bCs w:val="0"/>
          <w:sz w:val="32"/>
          <w:szCs w:val="32"/>
        </w:rPr>
      </w:pPr>
    </w:p>
    <w:p>
      <w:pPr>
        <w:spacing w:line="520" w:lineRule="exact"/>
        <w:jc w:val="center"/>
        <w:outlineLvl w:val="0"/>
        <w:rPr>
          <w:rFonts w:hint="eastAsia" w:ascii="宋体" w:hAnsi="宋体" w:eastAsia="宋体" w:cs="宋体"/>
          <w:b w:val="0"/>
          <w:bCs w:val="0"/>
          <w:sz w:val="32"/>
          <w:szCs w:val="32"/>
        </w:rPr>
      </w:pPr>
    </w:p>
    <w:p>
      <w:pPr>
        <w:spacing w:line="520" w:lineRule="exact"/>
        <w:jc w:val="center"/>
        <w:outlineLvl w:val="0"/>
        <w:rPr>
          <w:rFonts w:hint="eastAsia" w:ascii="宋体" w:hAnsi="宋体" w:eastAsia="宋体" w:cs="宋体"/>
          <w:b w:val="0"/>
          <w:bCs w:val="0"/>
          <w:sz w:val="32"/>
          <w:szCs w:val="32"/>
        </w:rPr>
      </w:pPr>
    </w:p>
    <w:p>
      <w:pPr>
        <w:spacing w:line="520" w:lineRule="exact"/>
        <w:jc w:val="center"/>
        <w:outlineLvl w:val="0"/>
        <w:rPr>
          <w:rFonts w:hint="eastAsia" w:ascii="宋体" w:hAnsi="宋体" w:eastAsia="宋体" w:cs="宋体"/>
          <w:b w:val="0"/>
          <w:bCs w:val="0"/>
          <w:sz w:val="32"/>
          <w:szCs w:val="32"/>
        </w:rPr>
      </w:pPr>
    </w:p>
    <w:p>
      <w:pPr>
        <w:spacing w:line="520" w:lineRule="exact"/>
        <w:jc w:val="center"/>
        <w:outlineLvl w:val="0"/>
        <w:rPr>
          <w:rFonts w:hint="eastAsia" w:ascii="宋体" w:hAnsi="宋体" w:eastAsia="宋体" w:cs="宋体"/>
          <w:b w:val="0"/>
          <w:bCs w:val="0"/>
          <w:sz w:val="32"/>
          <w:szCs w:val="32"/>
        </w:rPr>
      </w:pPr>
    </w:p>
    <w:p>
      <w:pPr>
        <w:spacing w:line="520" w:lineRule="exact"/>
        <w:jc w:val="center"/>
        <w:outlineLvl w:val="0"/>
        <w:rPr>
          <w:rFonts w:hint="eastAsia" w:ascii="宋体" w:hAnsi="宋体" w:eastAsia="宋体" w:cs="宋体"/>
          <w:b w:val="0"/>
          <w:bCs w:val="0"/>
          <w:sz w:val="32"/>
          <w:szCs w:val="32"/>
        </w:rPr>
      </w:pPr>
    </w:p>
    <w:p>
      <w:pPr>
        <w:spacing w:line="520" w:lineRule="exact"/>
        <w:jc w:val="center"/>
        <w:outlineLvl w:val="0"/>
        <w:rPr>
          <w:rFonts w:hint="eastAsia" w:ascii="宋体" w:hAnsi="宋体" w:eastAsia="宋体" w:cs="宋体"/>
          <w:b w:val="0"/>
          <w:bCs w:val="0"/>
          <w:sz w:val="32"/>
          <w:szCs w:val="32"/>
        </w:rPr>
      </w:pPr>
    </w:p>
    <w:p>
      <w:pPr>
        <w:spacing w:line="520" w:lineRule="exact"/>
        <w:jc w:val="center"/>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第四部分：财政拨款“三公”经费预算情况及增减变化原因</w:t>
      </w:r>
    </w:p>
    <w:tbl>
      <w:tblPr>
        <w:tblStyle w:val="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080"/>
        <w:gridCol w:w="1079"/>
        <w:gridCol w:w="1079"/>
        <w:gridCol w:w="4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855" w:type="dxa"/>
            <w:gridSpan w:val="5"/>
            <w:vAlign w:val="center"/>
          </w:tcPr>
          <w:p>
            <w:pPr>
              <w:widowControl/>
              <w:spacing w:line="520" w:lineRule="exact"/>
              <w:jc w:val="center"/>
              <w:rPr>
                <w:rFonts w:hint="eastAsia" w:ascii="宋体" w:hAnsi="宋体" w:eastAsia="宋体" w:cs="宋体"/>
                <w:b w:val="0"/>
                <w:bCs w:val="0"/>
                <w:kern w:val="0"/>
                <w:sz w:val="32"/>
                <w:szCs w:val="32"/>
              </w:rPr>
            </w:pPr>
            <w:r>
              <w:rPr>
                <w:rFonts w:hint="eastAsia" w:ascii="宋体" w:hAnsi="宋体" w:eastAsia="宋体" w:cs="宋体"/>
                <w:b w:val="0"/>
                <w:bCs w:val="0"/>
                <w:sz w:val="32"/>
                <w:szCs w:val="32"/>
              </w:rPr>
              <w:t>“三公”经费预算情况及增减变化原因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729" w:type="dxa"/>
            <w:vAlign w:val="center"/>
          </w:tcPr>
          <w:p>
            <w:pPr>
              <w:widowControl/>
              <w:jc w:val="left"/>
              <w:rPr>
                <w:rFonts w:hint="eastAsia" w:ascii="宋体" w:hAnsi="宋体" w:eastAsia="宋体" w:cs="宋体"/>
                <w:b w:val="0"/>
                <w:bCs w:val="0"/>
                <w:kern w:val="0"/>
                <w:sz w:val="24"/>
                <w:szCs w:val="24"/>
              </w:rPr>
            </w:pPr>
          </w:p>
        </w:tc>
        <w:tc>
          <w:tcPr>
            <w:tcW w:w="1080" w:type="dxa"/>
            <w:vAlign w:val="center"/>
          </w:tcPr>
          <w:p>
            <w:pPr>
              <w:widowControl/>
              <w:jc w:val="left"/>
              <w:rPr>
                <w:rFonts w:hint="eastAsia" w:ascii="宋体" w:hAnsi="宋体" w:eastAsia="宋体" w:cs="宋体"/>
                <w:b w:val="0"/>
                <w:bCs w:val="0"/>
                <w:kern w:val="0"/>
                <w:sz w:val="24"/>
                <w:szCs w:val="24"/>
              </w:rPr>
            </w:pPr>
          </w:p>
        </w:tc>
        <w:tc>
          <w:tcPr>
            <w:tcW w:w="1079" w:type="dxa"/>
            <w:vAlign w:val="center"/>
          </w:tcPr>
          <w:p>
            <w:pPr>
              <w:widowControl/>
              <w:jc w:val="left"/>
              <w:rPr>
                <w:rFonts w:hint="eastAsia" w:ascii="宋体" w:hAnsi="宋体" w:eastAsia="宋体" w:cs="宋体"/>
                <w:b w:val="0"/>
                <w:bCs w:val="0"/>
                <w:kern w:val="0"/>
                <w:sz w:val="24"/>
                <w:szCs w:val="24"/>
              </w:rPr>
            </w:pPr>
          </w:p>
        </w:tc>
        <w:tc>
          <w:tcPr>
            <w:tcW w:w="1079" w:type="dxa"/>
            <w:vAlign w:val="center"/>
          </w:tcPr>
          <w:p>
            <w:pPr>
              <w:widowControl/>
              <w:jc w:val="left"/>
              <w:rPr>
                <w:rFonts w:hint="eastAsia" w:ascii="宋体" w:hAnsi="宋体" w:eastAsia="宋体" w:cs="宋体"/>
                <w:b w:val="0"/>
                <w:bCs w:val="0"/>
                <w:kern w:val="0"/>
                <w:sz w:val="24"/>
                <w:szCs w:val="24"/>
              </w:rPr>
            </w:pPr>
          </w:p>
        </w:tc>
        <w:tc>
          <w:tcPr>
            <w:tcW w:w="4888" w:type="dxa"/>
            <w:vAlign w:val="center"/>
          </w:tcPr>
          <w:p>
            <w:pPr>
              <w:widowControl/>
              <w:jc w:val="right"/>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29" w:type="dxa"/>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项目名称</w:t>
            </w:r>
          </w:p>
        </w:tc>
        <w:tc>
          <w:tcPr>
            <w:tcW w:w="1080" w:type="dxa"/>
            <w:vAlign w:val="center"/>
          </w:tcPr>
          <w:p>
            <w:pPr>
              <w:widowControl/>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rPr>
              <w:t>20</w:t>
            </w:r>
            <w:r>
              <w:rPr>
                <w:rFonts w:hint="eastAsia" w:ascii="宋体" w:hAnsi="宋体" w:eastAsia="宋体" w:cs="宋体"/>
                <w:b w:val="0"/>
                <w:bCs w:val="0"/>
                <w:kern w:val="0"/>
                <w:sz w:val="24"/>
                <w:szCs w:val="24"/>
                <w:lang w:val="en-US" w:eastAsia="zh-CN"/>
              </w:rPr>
              <w:t>20</w:t>
            </w:r>
            <w:r>
              <w:rPr>
                <w:rFonts w:hint="eastAsia" w:ascii="宋体" w:hAnsi="宋体" w:eastAsia="宋体" w:cs="宋体"/>
                <w:b w:val="0"/>
                <w:bCs w:val="0"/>
                <w:kern w:val="0"/>
                <w:sz w:val="24"/>
                <w:szCs w:val="24"/>
              </w:rPr>
              <w:t>年度预算</w:t>
            </w:r>
          </w:p>
        </w:tc>
        <w:tc>
          <w:tcPr>
            <w:tcW w:w="1079" w:type="dxa"/>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20</w:t>
            </w:r>
            <w:r>
              <w:rPr>
                <w:rFonts w:hint="eastAsia" w:ascii="宋体" w:hAnsi="宋体" w:eastAsia="宋体" w:cs="宋体"/>
                <w:b w:val="0"/>
                <w:bCs w:val="0"/>
                <w:kern w:val="0"/>
                <w:sz w:val="24"/>
                <w:szCs w:val="24"/>
                <w:lang w:val="en-US" w:eastAsia="zh-CN"/>
              </w:rPr>
              <w:t>21</w:t>
            </w:r>
            <w:r>
              <w:rPr>
                <w:rFonts w:hint="eastAsia" w:ascii="宋体" w:hAnsi="宋体" w:eastAsia="宋体" w:cs="宋体"/>
                <w:b w:val="0"/>
                <w:bCs w:val="0"/>
                <w:kern w:val="0"/>
                <w:sz w:val="24"/>
                <w:szCs w:val="24"/>
              </w:rPr>
              <w:t>年度预算</w:t>
            </w:r>
          </w:p>
        </w:tc>
        <w:tc>
          <w:tcPr>
            <w:tcW w:w="1079" w:type="dxa"/>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增减金额</w:t>
            </w:r>
          </w:p>
        </w:tc>
        <w:tc>
          <w:tcPr>
            <w:tcW w:w="4888" w:type="dxa"/>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29" w:type="dxa"/>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因公出国经费</w:t>
            </w:r>
          </w:p>
        </w:tc>
        <w:tc>
          <w:tcPr>
            <w:tcW w:w="1080" w:type="dxa"/>
            <w:vAlign w:val="center"/>
          </w:tcPr>
          <w:p>
            <w:pPr>
              <w:widowControl/>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rPr>
              <w:t>0</w:t>
            </w:r>
          </w:p>
        </w:tc>
        <w:tc>
          <w:tcPr>
            <w:tcW w:w="1079" w:type="dxa"/>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0</w:t>
            </w:r>
          </w:p>
        </w:tc>
        <w:tc>
          <w:tcPr>
            <w:tcW w:w="1079" w:type="dxa"/>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0</w:t>
            </w:r>
          </w:p>
        </w:tc>
        <w:tc>
          <w:tcPr>
            <w:tcW w:w="4888" w:type="dxa"/>
            <w:vAlign w:val="center"/>
          </w:tcPr>
          <w:p>
            <w:pPr>
              <w:widowControl/>
              <w:jc w:val="left"/>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29" w:type="dxa"/>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公务用车购置经费</w:t>
            </w:r>
          </w:p>
        </w:tc>
        <w:tc>
          <w:tcPr>
            <w:tcW w:w="1080" w:type="dxa"/>
            <w:vAlign w:val="center"/>
          </w:tcPr>
          <w:p>
            <w:pPr>
              <w:widowControl/>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rPr>
              <w:t>0</w:t>
            </w:r>
          </w:p>
        </w:tc>
        <w:tc>
          <w:tcPr>
            <w:tcW w:w="1079" w:type="dxa"/>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0</w:t>
            </w:r>
          </w:p>
        </w:tc>
        <w:tc>
          <w:tcPr>
            <w:tcW w:w="1079" w:type="dxa"/>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0</w:t>
            </w:r>
          </w:p>
        </w:tc>
        <w:tc>
          <w:tcPr>
            <w:tcW w:w="4888" w:type="dxa"/>
            <w:vAlign w:val="center"/>
          </w:tcPr>
          <w:p>
            <w:pPr>
              <w:widowControl/>
              <w:jc w:val="left"/>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729" w:type="dxa"/>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公务用车运行经费</w:t>
            </w:r>
          </w:p>
        </w:tc>
        <w:tc>
          <w:tcPr>
            <w:tcW w:w="1080" w:type="dxa"/>
            <w:vAlign w:val="center"/>
          </w:tcPr>
          <w:p>
            <w:pPr>
              <w:widowControl/>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rPr>
              <w:t>30</w:t>
            </w:r>
          </w:p>
        </w:tc>
        <w:tc>
          <w:tcPr>
            <w:tcW w:w="1079" w:type="dxa"/>
            <w:vAlign w:val="center"/>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24</w:t>
            </w:r>
          </w:p>
        </w:tc>
        <w:tc>
          <w:tcPr>
            <w:tcW w:w="1079" w:type="dxa"/>
            <w:vAlign w:val="center"/>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-6</w:t>
            </w:r>
          </w:p>
        </w:tc>
        <w:tc>
          <w:tcPr>
            <w:tcW w:w="4888" w:type="dxa"/>
            <w:vAlign w:val="center"/>
          </w:tcPr>
          <w:p>
            <w:pPr>
              <w:widowControl/>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财政预算减少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729" w:type="dxa"/>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公务接待费支出</w:t>
            </w:r>
          </w:p>
        </w:tc>
        <w:tc>
          <w:tcPr>
            <w:tcW w:w="1080" w:type="dxa"/>
            <w:vAlign w:val="center"/>
          </w:tcPr>
          <w:p>
            <w:pPr>
              <w:widowControl/>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rPr>
              <w:t>1.02</w:t>
            </w:r>
          </w:p>
        </w:tc>
        <w:tc>
          <w:tcPr>
            <w:tcW w:w="1079" w:type="dxa"/>
            <w:vAlign w:val="center"/>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1.1</w:t>
            </w:r>
          </w:p>
        </w:tc>
        <w:tc>
          <w:tcPr>
            <w:tcW w:w="1079" w:type="dxa"/>
            <w:vAlign w:val="center"/>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rPr>
              <w:t>+</w:t>
            </w:r>
            <w:r>
              <w:rPr>
                <w:rFonts w:hint="eastAsia" w:ascii="宋体" w:hAnsi="宋体" w:eastAsia="宋体" w:cs="宋体"/>
                <w:b w:val="0"/>
                <w:bCs w:val="0"/>
                <w:kern w:val="0"/>
                <w:sz w:val="24"/>
                <w:szCs w:val="24"/>
                <w:lang w:val="en-US" w:eastAsia="zh-CN"/>
              </w:rPr>
              <w:t>0.08</w:t>
            </w:r>
          </w:p>
        </w:tc>
        <w:tc>
          <w:tcPr>
            <w:tcW w:w="4888" w:type="dxa"/>
            <w:vAlign w:val="center"/>
          </w:tcPr>
          <w:p>
            <w:pPr>
              <w:widowControl/>
              <w:jc w:val="left"/>
              <w:rPr>
                <w:rFonts w:hint="eastAsia" w:ascii="宋体" w:hAnsi="宋体" w:eastAsia="宋体" w:cs="宋体"/>
                <w:b w:val="0"/>
                <w:bCs w:val="0"/>
                <w:kern w:val="0"/>
                <w:sz w:val="24"/>
                <w:szCs w:val="24"/>
              </w:rPr>
            </w:pPr>
            <w:r>
              <w:rPr>
                <w:rFonts w:hint="eastAsia" w:ascii="宋体" w:hAnsi="宋体" w:eastAsia="宋体" w:cs="宋体"/>
                <w:b w:val="0"/>
                <w:bCs w:val="0"/>
                <w:color w:val="000000"/>
                <w:kern w:val="0"/>
                <w:szCs w:val="21"/>
              </w:rPr>
              <w:t>财政系统自动核算公务接待费，系统数据</w:t>
            </w:r>
            <w:r>
              <w:rPr>
                <w:rFonts w:hint="eastAsia" w:ascii="宋体" w:hAnsi="宋体" w:eastAsia="宋体" w:cs="宋体"/>
                <w:b w:val="0"/>
                <w:bCs w:val="0"/>
                <w:color w:val="000000"/>
                <w:kern w:val="0"/>
                <w:szCs w:val="21"/>
                <w:lang w:eastAsia="zh-CN"/>
              </w:rPr>
              <w:t>增加</w:t>
            </w:r>
            <w:r>
              <w:rPr>
                <w:rFonts w:hint="eastAsia" w:ascii="宋体" w:hAnsi="宋体" w:eastAsia="宋体" w:cs="宋体"/>
                <w:b w:val="0"/>
                <w:bCs w:val="0"/>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729" w:type="dxa"/>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合计</w:t>
            </w:r>
          </w:p>
        </w:tc>
        <w:tc>
          <w:tcPr>
            <w:tcW w:w="1080" w:type="dxa"/>
            <w:vAlign w:val="center"/>
          </w:tcPr>
          <w:p>
            <w:pPr>
              <w:widowControl/>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31.02</w:t>
            </w:r>
          </w:p>
        </w:tc>
        <w:tc>
          <w:tcPr>
            <w:tcW w:w="1079" w:type="dxa"/>
            <w:vAlign w:val="center"/>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25.1</w:t>
            </w:r>
          </w:p>
        </w:tc>
        <w:tc>
          <w:tcPr>
            <w:tcW w:w="1079" w:type="dxa"/>
            <w:vAlign w:val="center"/>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-5.92</w:t>
            </w:r>
          </w:p>
        </w:tc>
        <w:tc>
          <w:tcPr>
            <w:tcW w:w="4888" w:type="dxa"/>
            <w:vAlign w:val="center"/>
          </w:tcPr>
          <w:p>
            <w:pPr>
              <w:widowControl/>
              <w:jc w:val="left"/>
              <w:rPr>
                <w:rFonts w:hint="eastAsia" w:ascii="宋体" w:hAnsi="宋体" w:eastAsia="宋体" w:cs="宋体"/>
                <w:b w:val="0"/>
                <w:bCs w:val="0"/>
                <w:kern w:val="0"/>
                <w:sz w:val="24"/>
                <w:szCs w:val="24"/>
              </w:rPr>
            </w:pPr>
            <w:r>
              <w:rPr>
                <w:rFonts w:hint="eastAsia" w:ascii="宋体" w:hAnsi="宋体" w:eastAsia="宋体" w:cs="宋体"/>
                <w:b w:val="0"/>
                <w:bCs w:val="0"/>
                <w:color w:val="000000"/>
                <w:kern w:val="0"/>
                <w:szCs w:val="21"/>
                <w:lang w:eastAsia="zh-CN"/>
              </w:rPr>
              <w:t>公务用车运行维护费财政预算减少，</w:t>
            </w:r>
            <w:r>
              <w:rPr>
                <w:rFonts w:hint="eastAsia" w:ascii="宋体" w:hAnsi="宋体" w:eastAsia="宋体" w:cs="宋体"/>
                <w:b w:val="0"/>
                <w:bCs w:val="0"/>
                <w:color w:val="000000"/>
                <w:kern w:val="0"/>
                <w:szCs w:val="21"/>
              </w:rPr>
              <w:t>财政系统自动核算公务接待费，系统数据</w:t>
            </w:r>
            <w:r>
              <w:rPr>
                <w:rFonts w:hint="eastAsia" w:ascii="宋体" w:hAnsi="宋体" w:eastAsia="宋体" w:cs="宋体"/>
                <w:b w:val="0"/>
                <w:bCs w:val="0"/>
                <w:color w:val="000000"/>
                <w:kern w:val="0"/>
                <w:szCs w:val="21"/>
                <w:lang w:eastAsia="zh-CN"/>
              </w:rPr>
              <w:t>增加</w:t>
            </w:r>
            <w:r>
              <w:rPr>
                <w:rFonts w:hint="eastAsia" w:ascii="宋体" w:hAnsi="宋体" w:eastAsia="宋体" w:cs="宋体"/>
                <w:b w:val="0"/>
                <w:bCs w:val="0"/>
                <w:color w:val="000000"/>
                <w:kern w:val="0"/>
                <w:szCs w:val="21"/>
              </w:rPr>
              <w:t>。</w:t>
            </w:r>
          </w:p>
        </w:tc>
      </w:tr>
    </w:tbl>
    <w:p>
      <w:pPr>
        <w:ind w:firstLine="2880" w:firstLineChars="900"/>
        <w:rPr>
          <w:rFonts w:hint="eastAsia" w:ascii="宋体" w:hAnsi="宋体" w:eastAsia="宋体" w:cs="宋体"/>
          <w:b w:val="0"/>
          <w:bCs w:val="0"/>
          <w:sz w:val="32"/>
          <w:szCs w:val="32"/>
        </w:rPr>
      </w:pPr>
    </w:p>
    <w:p>
      <w:pPr>
        <w:ind w:firstLine="2880" w:firstLineChars="900"/>
        <w:rPr>
          <w:rFonts w:hint="eastAsia" w:ascii="宋体" w:hAnsi="宋体" w:eastAsia="宋体" w:cs="宋体"/>
          <w:b w:val="0"/>
          <w:bCs w:val="0"/>
          <w:sz w:val="32"/>
          <w:szCs w:val="32"/>
        </w:rPr>
      </w:pPr>
    </w:p>
    <w:p>
      <w:pPr>
        <w:ind w:firstLine="2880" w:firstLineChars="900"/>
        <w:rPr>
          <w:rFonts w:hint="eastAsia" w:ascii="宋体" w:hAnsi="宋体" w:eastAsia="宋体" w:cs="宋体"/>
          <w:b w:val="0"/>
          <w:bCs w:val="0"/>
          <w:sz w:val="32"/>
          <w:szCs w:val="32"/>
        </w:rPr>
      </w:pPr>
    </w:p>
    <w:p>
      <w:pPr>
        <w:ind w:firstLine="2880" w:firstLineChars="900"/>
        <w:rPr>
          <w:rFonts w:hint="eastAsia" w:ascii="宋体" w:hAnsi="宋体" w:eastAsia="宋体" w:cs="宋体"/>
          <w:b w:val="0"/>
          <w:bCs w:val="0"/>
          <w:sz w:val="28"/>
          <w:szCs w:val="28"/>
        </w:rPr>
      </w:pPr>
      <w:r>
        <w:rPr>
          <w:rFonts w:hint="eastAsia" w:ascii="宋体" w:hAnsi="宋体" w:eastAsia="宋体" w:cs="宋体"/>
          <w:b w:val="0"/>
          <w:bCs w:val="0"/>
          <w:sz w:val="32"/>
          <w:szCs w:val="32"/>
        </w:rPr>
        <w:t>第五部分：20</w:t>
      </w:r>
      <w:r>
        <w:rPr>
          <w:rFonts w:hint="eastAsia" w:ascii="宋体" w:hAnsi="宋体" w:eastAsia="宋体" w:cs="宋体"/>
          <w:b w:val="0"/>
          <w:bCs w:val="0"/>
          <w:sz w:val="32"/>
          <w:szCs w:val="32"/>
          <w:lang w:val="en-US" w:eastAsia="zh-CN"/>
        </w:rPr>
        <w:t>21</w:t>
      </w:r>
      <w:r>
        <w:rPr>
          <w:rFonts w:hint="eastAsia" w:ascii="宋体" w:hAnsi="宋体" w:eastAsia="宋体" w:cs="宋体"/>
          <w:b w:val="0"/>
          <w:bCs w:val="0"/>
          <w:sz w:val="32"/>
          <w:szCs w:val="32"/>
        </w:rPr>
        <w:t>年绩效预算信息</w:t>
      </w:r>
    </w:p>
    <w:p>
      <w:pPr>
        <w:spacing w:before="156" w:beforeLines="50" w:after="156" w:afterLines="50"/>
        <w:ind w:firstLine="560" w:firstLineChars="200"/>
        <w:jc w:val="left"/>
        <w:outlineLvl w:val="1"/>
        <w:rPr>
          <w:rFonts w:hint="eastAsia" w:ascii="宋体" w:hAnsi="宋体" w:eastAsia="宋体" w:cs="宋体"/>
          <w:b w:val="0"/>
          <w:bCs w:val="0"/>
          <w:sz w:val="28"/>
        </w:rPr>
      </w:pPr>
      <w:bookmarkStart w:id="0" w:name="_Toc70319554"/>
      <w:r>
        <w:rPr>
          <w:rFonts w:hint="eastAsia" w:ascii="宋体" w:hAnsi="宋体" w:eastAsia="宋体" w:cs="宋体"/>
          <w:b w:val="0"/>
          <w:bCs w:val="0"/>
          <w:sz w:val="28"/>
        </w:rPr>
        <w:t>一、总体绩效目标</w:t>
      </w:r>
      <w:bookmarkEnd w:id="0"/>
      <w:r>
        <w:rPr>
          <w:rFonts w:hint="eastAsia" w:ascii="宋体" w:hAnsi="宋体" w:eastAsia="宋体" w:cs="宋体"/>
          <w:b w:val="0"/>
          <w:bCs w:val="0"/>
        </w:rPr>
        <w:fldChar w:fldCharType="begin"/>
      </w:r>
      <w:r>
        <w:rPr>
          <w:rFonts w:hint="eastAsia" w:ascii="宋体" w:hAnsi="宋体" w:eastAsia="宋体" w:cs="宋体"/>
          <w:b w:val="0"/>
          <w:bCs w:val="0"/>
          <w:sz w:val="28"/>
        </w:rPr>
        <w:instrText xml:space="preserve"> TC 总体绩效目标 \f A \l 1 </w:instrText>
      </w:r>
      <w:r>
        <w:rPr>
          <w:rFonts w:hint="eastAsia" w:ascii="宋体" w:hAnsi="宋体" w:eastAsia="宋体" w:cs="宋体"/>
          <w:b w:val="0"/>
          <w:bCs w:val="0"/>
          <w:sz w:val="28"/>
        </w:rPr>
        <w:fldChar w:fldCharType="end"/>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1.法治建设方面。一是抓好党政主要负责人履行法治建设第一责任人职责的落实和督察。二是围绕高质量建设法治满城的总目标，起草我区《2021年全面依法治区工作要点》。三是有效推进我区依法行政工作。提高各行政执法部门科学民主决策水平，加强行政执法公示、行政执法全过程记录、重大执法决定法制审核工作。四是进一步规范乡镇公正文明执法，做好部门与乡镇执法衔接，定期举办执法队伍培训活动。</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2.区域社会治理方面。 一是加强队伍建设。组织现有工作人员进行日常工作技能培训，建立一支职业化、专业化的工作队伍。二是加大《</w:t>
      </w:r>
      <w:r>
        <w:rPr>
          <w:rFonts w:hint="eastAsia" w:ascii="宋体" w:hAnsi="宋体" w:cs="宋体"/>
          <w:b w:val="0"/>
          <w:bCs w:val="0"/>
          <w:sz w:val="28"/>
          <w:lang w:eastAsia="zh-CN"/>
        </w:rPr>
        <w:t>中华人民共和国</w:t>
      </w:r>
      <w:r>
        <w:rPr>
          <w:rFonts w:hint="eastAsia" w:ascii="宋体" w:hAnsi="宋体" w:eastAsia="宋体" w:cs="宋体"/>
          <w:b w:val="0"/>
          <w:bCs w:val="0"/>
          <w:sz w:val="28"/>
        </w:rPr>
        <w:t>社区矫正法》宣传力度。分批次组织社区矫正人员参与《</w:t>
      </w:r>
      <w:r>
        <w:rPr>
          <w:rFonts w:hint="eastAsia" w:ascii="宋体" w:hAnsi="宋体" w:cs="宋体"/>
          <w:b w:val="0"/>
          <w:bCs w:val="0"/>
          <w:sz w:val="28"/>
          <w:lang w:eastAsia="zh-CN"/>
        </w:rPr>
        <w:t>中华人民共和国</w:t>
      </w:r>
      <w:r>
        <w:rPr>
          <w:rFonts w:hint="eastAsia" w:ascii="宋体" w:hAnsi="宋体" w:eastAsia="宋体" w:cs="宋体"/>
          <w:b w:val="0"/>
          <w:bCs w:val="0"/>
          <w:sz w:val="28"/>
        </w:rPr>
        <w:t>社区矫正法》学习，让社区矫正人员深入了解应遵守的相关规定、要求，以及法律赋予的权利。三是作为社区矫正和安置帮教全国监测点，认真抓好矛盾纠纷及矫正人员、重点帮教人员的管控工作，为节假日期间的安全稳定打好基础。四是加快“诉调”精准对接，通过人民调解与司法调解的有效衔接配合，进一步落实“诉调结合、调解优先”原则，强化与当地法庭对接，接受法庭委托人民调解案件，选派优秀人民调解员进现场解决农村矛盾纠纷，接受法律咨询，进行法律指导。五是积极推进乡镇联合调解中心建设，2021年底实现我区乡镇调解中心全部挂牌使用。</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3.法治宣传方面。一是加强法治文化建设和普法品牌建设，抓牢领导干部“关键少数”，发挥领导干部在尊法学法守法用法方面示范带头作用。二是全面落实“谁执法谁普法”普法责任制，积极谋划“八五”普法规划。三是精准做好普法宣传，加强对社区矫正人员、矛盾纠纷当事方、上访群体、容易违法犯罪高危人群等特殊人群的精准普法宣传。</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4.公共法律服务方面。一是提升公共法律服务实体平台服务质量。深入贯彻落实《关于加快推进公共法律服务体系建设的意见》和《保定市基本公共法律服务实施标准(2019年—2022年)》，全面加强律师、法律工作者职业规范和队伍建设。二是推动公证机制优化创新。深化便民利企措施,推动落实“最多跑一次”清单制度和公证事项证明材料清单制度，不断提升公证管理水平和服务质效。三是提升法律援助质量。做好农民工、未成年人、军人军属、残疾人、零就业家庭等特殊群体法律援助。利用多种形式加大宣传力度，提高群众知晓度，切实做到“应援尽援、应援优援”。</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5.队伍建设工作。一是持续兴起学习贯彻习近平</w:t>
      </w:r>
      <w:bookmarkStart w:id="3" w:name="_GoBack"/>
      <w:bookmarkEnd w:id="3"/>
      <w:r>
        <w:rPr>
          <w:rFonts w:hint="eastAsia" w:ascii="宋体" w:hAnsi="宋体" w:eastAsia="宋体" w:cs="宋体"/>
          <w:b w:val="0"/>
          <w:bCs w:val="0"/>
          <w:sz w:val="28"/>
        </w:rPr>
        <w:t>法治思想热潮，把学习贯彻党的十九届</w:t>
      </w:r>
      <w:r>
        <w:rPr>
          <w:rFonts w:hint="eastAsia" w:ascii="宋体" w:hAnsi="宋体" w:eastAsia="宋体" w:cs="宋体"/>
          <w:b w:val="0"/>
          <w:bCs w:val="0"/>
          <w:sz w:val="28"/>
          <w:lang w:eastAsia="zh-CN"/>
        </w:rPr>
        <w:t>历次</w:t>
      </w:r>
      <w:r>
        <w:rPr>
          <w:rFonts w:hint="eastAsia" w:ascii="宋体" w:hAnsi="宋体" w:eastAsia="宋体" w:cs="宋体"/>
          <w:b w:val="0"/>
          <w:bCs w:val="0"/>
          <w:sz w:val="28"/>
        </w:rPr>
        <w:t>全会精神、中央依法治国会议精神作为重要政治任务，准确把握精神实质和核心要义，提升贯彻落实的政治自觉、思想自觉和行动自觉。二是完善党对司法行政工作绝对领导的制度体系，把“不忘初心、牢记使命”作为永恒课题,坚持人民至上，用心用力用情化解群众关心的实际问题，深入落实《中国共产党政法工作条例》,把党的绝对领导贯穿全区司法行政工作各领域各方面各环节。三是巩固拓展落实中央八项规定精神成果,持续推进纠正“四风”,切实减轻基层负担。加强作风纪律建设,开展好作风纪律专项整治工作,认真开展局机关工作人员日常纪律考评工作。四是持续开展人民群众满意度评价工作，把建设人民满意机关、人民群众满意法律服务机构作为根本目标，努力提高服务能力，服务质量和服务效率，严格按照时间节点落实各项工作。</w:t>
      </w:r>
    </w:p>
    <w:p>
      <w:pPr>
        <w:spacing w:before="156" w:beforeLines="50" w:after="156" w:afterLines="50" w:line="500" w:lineRule="exact"/>
        <w:ind w:firstLine="560" w:firstLineChars="200"/>
        <w:jc w:val="left"/>
        <w:outlineLvl w:val="1"/>
        <w:rPr>
          <w:rFonts w:hint="eastAsia" w:ascii="宋体" w:hAnsi="宋体" w:eastAsia="宋体" w:cs="宋体"/>
          <w:b w:val="0"/>
          <w:bCs w:val="0"/>
          <w:sz w:val="28"/>
        </w:rPr>
      </w:pPr>
      <w:bookmarkStart w:id="1" w:name="_Toc70319555"/>
      <w:r>
        <w:rPr>
          <w:rFonts w:hint="eastAsia" w:ascii="宋体" w:hAnsi="宋体" w:eastAsia="宋体" w:cs="宋体"/>
          <w:b w:val="0"/>
          <w:bCs w:val="0"/>
          <w:sz w:val="28"/>
        </w:rPr>
        <w:t>二、分项绩效目标</w:t>
      </w:r>
      <w:bookmarkEnd w:id="1"/>
      <w:r>
        <w:rPr>
          <w:rFonts w:hint="eastAsia" w:ascii="宋体" w:hAnsi="宋体" w:eastAsia="宋体" w:cs="宋体"/>
          <w:b w:val="0"/>
          <w:bCs w:val="0"/>
        </w:rPr>
        <w:fldChar w:fldCharType="begin"/>
      </w:r>
      <w:r>
        <w:rPr>
          <w:rFonts w:hint="eastAsia" w:ascii="宋体" w:hAnsi="宋体" w:eastAsia="宋体" w:cs="宋体"/>
          <w:b w:val="0"/>
          <w:bCs w:val="0"/>
          <w:sz w:val="28"/>
        </w:rPr>
        <w:instrText xml:space="preserve"> TC 分项绩效目标 \f A \l 1 </w:instrText>
      </w:r>
      <w:r>
        <w:rPr>
          <w:rFonts w:hint="eastAsia" w:ascii="宋体" w:hAnsi="宋体" w:eastAsia="宋体" w:cs="宋体"/>
          <w:b w:val="0"/>
          <w:bCs w:val="0"/>
          <w:sz w:val="28"/>
        </w:rPr>
        <w:fldChar w:fldCharType="end"/>
      </w:r>
      <w:r>
        <w:rPr>
          <w:rFonts w:hint="eastAsia" w:ascii="宋体" w:hAnsi="宋体" w:eastAsia="宋体" w:cs="宋体"/>
          <w:b w:val="0"/>
          <w:bCs w:val="0"/>
          <w:sz w:val="28"/>
        </w:rPr>
        <w:t xml:space="preserve">       </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一、法治宣传教育工作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一是按照“</w:t>
      </w:r>
      <w:r>
        <w:rPr>
          <w:rFonts w:hint="eastAsia" w:ascii="宋体" w:hAnsi="宋体" w:eastAsia="宋体" w:cs="宋体"/>
          <w:b w:val="0"/>
          <w:bCs w:val="0"/>
          <w:sz w:val="28"/>
          <w:lang w:eastAsia="zh-CN"/>
        </w:rPr>
        <w:t>八</w:t>
      </w:r>
      <w:r>
        <w:rPr>
          <w:rFonts w:hint="eastAsia" w:ascii="宋体" w:hAnsi="宋体" w:eastAsia="宋体" w:cs="宋体"/>
          <w:b w:val="0"/>
          <w:bCs w:val="0"/>
          <w:sz w:val="28"/>
        </w:rPr>
        <w:t>五”普法规划的目标要求，</w:t>
      </w:r>
      <w:r>
        <w:rPr>
          <w:rFonts w:hint="eastAsia" w:ascii="宋体" w:hAnsi="宋体" w:cs="宋体"/>
          <w:b w:val="0"/>
          <w:bCs w:val="0"/>
          <w:sz w:val="28"/>
          <w:lang w:eastAsia="zh-CN"/>
        </w:rPr>
        <w:t>制订</w:t>
      </w:r>
      <w:r>
        <w:rPr>
          <w:rFonts w:hint="eastAsia" w:ascii="宋体" w:hAnsi="宋体" w:eastAsia="宋体" w:cs="宋体"/>
          <w:b w:val="0"/>
          <w:bCs w:val="0"/>
          <w:sz w:val="28"/>
        </w:rPr>
        <w:t>满城区20</w:t>
      </w:r>
      <w:r>
        <w:rPr>
          <w:rFonts w:hint="eastAsia" w:ascii="宋体" w:hAnsi="宋体" w:eastAsia="宋体" w:cs="宋体"/>
          <w:b w:val="0"/>
          <w:bCs w:val="0"/>
          <w:sz w:val="28"/>
          <w:lang w:val="en-US" w:eastAsia="zh-CN"/>
        </w:rPr>
        <w:t>21</w:t>
      </w:r>
      <w:r>
        <w:rPr>
          <w:rFonts w:hint="eastAsia" w:ascii="宋体" w:hAnsi="宋体" w:eastAsia="宋体" w:cs="宋体"/>
          <w:b w:val="0"/>
          <w:bCs w:val="0"/>
          <w:sz w:val="28"/>
        </w:rPr>
        <w:t>年度法治宣传教育工作要点，组织开展各种主题宣传活动，深入开展“法律</w:t>
      </w:r>
      <w:r>
        <w:rPr>
          <w:rFonts w:hint="eastAsia" w:ascii="宋体" w:hAnsi="宋体" w:eastAsia="宋体" w:cs="宋体"/>
          <w:b w:val="0"/>
          <w:bCs w:val="0"/>
          <w:sz w:val="28"/>
          <w:lang w:eastAsia="zh-CN"/>
        </w:rPr>
        <w:t>十</w:t>
      </w:r>
      <w:r>
        <w:rPr>
          <w:rFonts w:hint="eastAsia" w:ascii="宋体" w:hAnsi="宋体" w:eastAsia="宋体" w:cs="宋体"/>
          <w:b w:val="0"/>
          <w:bCs w:val="0"/>
          <w:sz w:val="28"/>
        </w:rPr>
        <w:t>进”和“法治</w:t>
      </w:r>
      <w:r>
        <w:rPr>
          <w:rFonts w:hint="eastAsia" w:ascii="宋体" w:hAnsi="宋体" w:eastAsia="宋体" w:cs="宋体"/>
          <w:b w:val="0"/>
          <w:bCs w:val="0"/>
          <w:sz w:val="28"/>
          <w:lang w:eastAsia="zh-CN"/>
        </w:rPr>
        <w:t>十</w:t>
      </w:r>
      <w:r>
        <w:rPr>
          <w:rFonts w:hint="eastAsia" w:ascii="宋体" w:hAnsi="宋体" w:eastAsia="宋体" w:cs="宋体"/>
          <w:b w:val="0"/>
          <w:bCs w:val="0"/>
          <w:sz w:val="28"/>
        </w:rPr>
        <w:t>建”活动。</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绩效目标：提高全区人民法律意识和法律素质，增强法治化管理水平，促进全区民主与法制建设。</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二是组织开展 “12.4国家宪法日法治宣传活动”，利用发放普法宣传资料和悬挂普法条幅，对全区人民进行</w:t>
      </w:r>
      <w:r>
        <w:rPr>
          <w:rFonts w:hint="eastAsia" w:ascii="宋体" w:hAnsi="宋体" w:eastAsia="宋体" w:cs="宋体"/>
          <w:b w:val="0"/>
          <w:bCs w:val="0"/>
          <w:sz w:val="28"/>
          <w:lang w:eastAsia="zh-CN"/>
        </w:rPr>
        <w:t>法治</w:t>
      </w:r>
      <w:r>
        <w:rPr>
          <w:rFonts w:hint="eastAsia" w:ascii="宋体" w:hAnsi="宋体" w:eastAsia="宋体" w:cs="宋体"/>
          <w:b w:val="0"/>
          <w:bCs w:val="0"/>
          <w:sz w:val="28"/>
        </w:rPr>
        <w:t>宣传教育。</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绩效目标：调动群众学法用法的积极性，引导群众树立正确的法治意识和法律观念。</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三是组织开展以案说法的法治宣传教育活动，充分发挥法治副校长和法治课堂作用，进一步增强青少年学习法律知识的趣味性，提高青少年遵纪守法的自觉性。</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绩效目标：有效的预防和减少青少年违法犯罪。</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四是积极打造新的法治文化宣传亮点，制作法治幻灯片和法治宣传片、定期更换</w:t>
      </w:r>
      <w:r>
        <w:rPr>
          <w:rFonts w:hint="eastAsia" w:ascii="宋体" w:hAnsi="宋体" w:eastAsia="宋体" w:cs="宋体"/>
          <w:b w:val="0"/>
          <w:bCs w:val="0"/>
          <w:sz w:val="28"/>
          <w:lang w:eastAsia="zh-CN"/>
        </w:rPr>
        <w:t>法治公园、</w:t>
      </w:r>
      <w:r>
        <w:rPr>
          <w:rFonts w:hint="eastAsia" w:ascii="宋体" w:hAnsi="宋体" w:eastAsia="宋体" w:cs="宋体"/>
          <w:b w:val="0"/>
          <w:bCs w:val="0"/>
          <w:sz w:val="28"/>
        </w:rPr>
        <w:t>“普法大道”、“普法长廊”</w:t>
      </w:r>
      <w:r>
        <w:rPr>
          <w:rFonts w:hint="eastAsia" w:ascii="宋体" w:hAnsi="宋体" w:eastAsia="宋体" w:cs="宋体"/>
          <w:b w:val="0"/>
          <w:bCs w:val="0"/>
          <w:sz w:val="28"/>
          <w:lang w:eastAsia="zh-CN"/>
        </w:rPr>
        <w:t>等</w:t>
      </w:r>
      <w:r>
        <w:rPr>
          <w:rFonts w:hint="eastAsia" w:ascii="宋体" w:hAnsi="宋体" w:eastAsia="宋体" w:cs="宋体"/>
          <w:b w:val="0"/>
          <w:bCs w:val="0"/>
          <w:sz w:val="28"/>
        </w:rPr>
        <w:t>普法宣传内容。</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绩效目标：让文化娱乐和法治宣传有机结合，寓教于乐，使法律知识深入人心。</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二、人民调解工作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一是在全区开展“大排查、大调解”专项活动，摸排疑难积案，避免“民转刑”、群体性上访事件发生。</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绩效目标：利用“民调通”调解平台,实现调解现场随时定位、纠纷情况及时上报、信息取证及时上传，确保矛盾纠纷在最短时间内得到妥善解决；预防和减少社会不稳定因素和社会不稳定因素发生率。争取矛盾纠纷调处率达到100%，调处成功率达到98%。</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二是大力加强司法所规范化管理和建设，在配齐配强司法所办公设施和警务装备的同时，着力在司法所“四统一（统一上墙内容，统一门牌标识，统一档案材料，统一桌签证件）”、“三规范（规范了办案程序、规范了档案内容、规范了各项制度）”、“一提高（提高素质）”上下功夫，为司法所充分发挥职能作用提供保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绩效目标：全面提升司法所工作水平，使全区司法所规范化建设工作不断提档升级，有效促进基层司法行政职能作用的发挥。</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三、社区矫正与安置帮教工作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一是继续对社区矫正对象进行拉网式排查，每月组织一次对社区矫正对象的走访和考察，进行有效的帮教和管控。利用社区矫正信息平台对全区社区矫正对象建立卫星定位监控群，加强对社区服刑人员的监管、教育，做到“人防”与“技防”管控方式相结合。做到全面覆盖、不留死角、不差一项、不漏一人。</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绩效目标：最大限度地降低重新违法犯罪率，确保全区安全稳定。争取社区矫正重新犯罪率达到0.1%以下。</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二是进一步加大社区矫正劳动教育基地建设，分批次有计划地组织社区矫正人员到社矫基地进行公益劳动。</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绩效目标：确保社区服刑人员接收规范化、档案管理制式化，心理矫治全程化、矫正学习常态化、公益劳动特色化。</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 xml:space="preserve">三是大力加强安置帮教工作，每季度对刑满释放人员开展“大走访、大排查、大帮教”活动，构建“出来有人接、接回有人管、就业有人扶、困难有人助、政策有保障”的刑满释放人员的安置帮教工作格局。      </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绩效目标：最大限度的预防和减少重新犯罪率，确保全区安全稳定。</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四、法律服务工作</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一是健全法律援助经费保障体制和工作机制，扩大法律援助覆盖面，让更多的弱势群众获得法律援助，做到法律援助案件应援尽援，应援优援，切实维护受援人的合法权益。</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绩效目标：推动全区法律援助工作长足发展。</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二是扩展公证服务领域、深化公证服务内容、改进公证服务方式。加强公证处信息化建设，确保各类信息平台正常运转及备案信息安全保密。</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绩效目标：充分发挥法律服务职能，规范公证行业管理。</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三是全面加强律师执业规范和律师队伍建设，继续完善律师行业“两个结合”管理体制，推动律师事务所“三化”建设。</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绩效目标：做到律师事务所行业行为和内部管理规范化。</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四是充分发挥公共法律服务中心作用，为群众提供优质法律服务。</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绩效目标：达到法律援助、律师、公证等服务窗口集中式办公、一站式办理、零距离服务。</w:t>
      </w:r>
    </w:p>
    <w:p>
      <w:pPr>
        <w:spacing w:before="156" w:beforeLines="50" w:after="156" w:afterLines="50" w:line="500" w:lineRule="exact"/>
        <w:ind w:firstLine="560" w:firstLineChars="200"/>
        <w:jc w:val="left"/>
        <w:outlineLvl w:val="1"/>
        <w:rPr>
          <w:rFonts w:hint="eastAsia" w:ascii="宋体" w:hAnsi="宋体" w:eastAsia="宋体" w:cs="宋体"/>
          <w:b w:val="0"/>
          <w:bCs w:val="0"/>
          <w:sz w:val="28"/>
        </w:rPr>
      </w:pPr>
      <w:bookmarkStart w:id="2" w:name="_Toc70319556"/>
      <w:r>
        <w:rPr>
          <w:rFonts w:hint="eastAsia" w:ascii="宋体" w:hAnsi="宋体" w:eastAsia="宋体" w:cs="宋体"/>
          <w:b w:val="0"/>
          <w:bCs w:val="0"/>
          <w:sz w:val="28"/>
        </w:rPr>
        <w:t>三、工作保障措施</w:t>
      </w:r>
      <w:bookmarkEnd w:id="2"/>
      <w:r>
        <w:rPr>
          <w:rFonts w:hint="eastAsia" w:ascii="宋体" w:hAnsi="宋体" w:eastAsia="宋体" w:cs="宋体"/>
          <w:b w:val="0"/>
          <w:bCs w:val="0"/>
        </w:rPr>
        <w:fldChar w:fldCharType="begin"/>
      </w:r>
      <w:r>
        <w:rPr>
          <w:rFonts w:hint="eastAsia" w:ascii="宋体" w:hAnsi="宋体" w:eastAsia="宋体" w:cs="宋体"/>
          <w:b w:val="0"/>
          <w:bCs w:val="0"/>
          <w:sz w:val="28"/>
        </w:rPr>
        <w:instrText xml:space="preserve"> TC 工作保障措施 \f A \l 1 </w:instrText>
      </w:r>
      <w:r>
        <w:rPr>
          <w:rFonts w:hint="eastAsia" w:ascii="宋体" w:hAnsi="宋体" w:eastAsia="宋体" w:cs="宋体"/>
          <w:b w:val="0"/>
          <w:bCs w:val="0"/>
          <w:sz w:val="28"/>
        </w:rPr>
        <w:fldChar w:fldCharType="end"/>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完善制度建设。（包括</w:t>
      </w:r>
      <w:r>
        <w:rPr>
          <w:rFonts w:hint="eastAsia" w:ascii="宋体" w:hAnsi="宋体" w:cs="宋体"/>
          <w:b w:val="0"/>
          <w:bCs w:val="0"/>
          <w:sz w:val="28"/>
          <w:lang w:eastAsia="zh-CN"/>
        </w:rPr>
        <w:t>制订</w:t>
      </w:r>
      <w:r>
        <w:rPr>
          <w:rFonts w:hint="eastAsia" w:ascii="宋体" w:hAnsi="宋体" w:eastAsia="宋体" w:cs="宋体"/>
          <w:b w:val="0"/>
          <w:bCs w:val="0"/>
          <w:sz w:val="28"/>
        </w:rPr>
        <w:t>完善预算绩效管理制度、资金管理办法、工作保障制度等，为全年预算绩效目标的实现奠定制度基础。）</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560" w:firstLineChars="200"/>
        <w:jc w:val="left"/>
        <w:rPr>
          <w:rFonts w:hint="eastAsia" w:ascii="宋体" w:hAnsi="宋体" w:eastAsia="宋体" w:cs="宋体"/>
          <w:b w:val="0"/>
          <w:bCs w:val="0"/>
          <w:sz w:val="28"/>
          <w:lang w:eastAsia="zh-CN"/>
        </w:rPr>
      </w:pPr>
      <w:r>
        <w:rPr>
          <w:rFonts w:hint="eastAsia" w:ascii="宋体" w:hAnsi="宋体" w:eastAsia="宋体" w:cs="宋体"/>
          <w:b w:val="0"/>
          <w:bCs w:val="0"/>
          <w:sz w:val="28"/>
        </w:rPr>
        <w:t>加强绩效运行监控。</w:t>
      </w:r>
      <w:r>
        <w:rPr>
          <w:rFonts w:hint="eastAsia" w:ascii="宋体" w:hAnsi="宋体" w:eastAsia="宋体" w:cs="宋体"/>
          <w:b w:val="0"/>
          <w:bCs w:val="0"/>
          <w:sz w:val="28"/>
          <w:lang w:eastAsia="zh-CN"/>
        </w:rPr>
        <w:t>（</w:t>
      </w:r>
      <w:r>
        <w:rPr>
          <w:rFonts w:hint="eastAsia" w:ascii="宋体" w:hAnsi="宋体" w:eastAsia="宋体" w:cs="宋体"/>
          <w:b w:val="0"/>
          <w:bCs w:val="0"/>
          <w:sz w:val="28"/>
        </w:rPr>
        <w:t>按要求开展绩效运行监控，发现问题及时采取措施，确保绩效目标如期保质实现。</w:t>
      </w:r>
      <w:r>
        <w:rPr>
          <w:rFonts w:hint="eastAsia" w:ascii="宋体" w:hAnsi="宋体" w:eastAsia="宋体" w:cs="宋体"/>
          <w:b w:val="0"/>
          <w:bCs w:val="0"/>
          <w:sz w:val="28"/>
          <w:lang w:eastAsia="zh-CN"/>
        </w:rPr>
        <w:t>）</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做好绩效自评。（按要求开展上年度部门预算绩效自评和重点评价工作，对评价中发现的问题及时整改，调整优化支出结构，提高财政资金使用效益。）</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规范财务资产管理。（完善财务管理制度，严格审批程序，加强固定资产登记、使用和报废处置管理，做到支出合理，物尽其用。）</w:t>
      </w:r>
    </w:p>
    <w:p>
      <w:pPr>
        <w:spacing w:line="500" w:lineRule="exact"/>
        <w:ind w:firstLine="560" w:firstLineChars="200"/>
        <w:jc w:val="left"/>
        <w:rPr>
          <w:rFonts w:hint="eastAsia" w:ascii="宋体" w:hAnsi="宋体" w:eastAsia="宋体" w:cs="宋体"/>
          <w:b w:val="0"/>
          <w:bCs w:val="0"/>
          <w:sz w:val="28"/>
        </w:rPr>
      </w:pPr>
      <w:r>
        <w:rPr>
          <w:rFonts w:hint="eastAsia" w:ascii="宋体" w:hAnsi="宋体" w:eastAsia="宋体" w:cs="宋体"/>
          <w:b w:val="0"/>
          <w:bCs w:val="0"/>
          <w:sz w:val="28"/>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560" w:firstLineChars="200"/>
        <w:jc w:val="left"/>
        <w:rPr>
          <w:rFonts w:hint="eastAsia" w:ascii="宋体" w:hAnsi="宋体" w:eastAsia="宋体" w:cs="宋体"/>
          <w:b w:val="0"/>
          <w:bCs w:val="0"/>
          <w:sz w:val="28"/>
          <w:lang w:eastAsia="zh-CN"/>
        </w:rPr>
      </w:pPr>
      <w:r>
        <w:rPr>
          <w:rFonts w:hint="eastAsia" w:ascii="宋体" w:hAnsi="宋体" w:eastAsia="宋体" w:cs="宋体"/>
          <w:b w:val="0"/>
          <w:bCs w:val="0"/>
          <w:sz w:val="28"/>
        </w:rPr>
        <w:t>加强宣传培训调研等。</w:t>
      </w:r>
      <w:r>
        <w:rPr>
          <w:rFonts w:hint="eastAsia" w:ascii="宋体" w:hAnsi="宋体" w:eastAsia="宋体" w:cs="宋体"/>
          <w:b w:val="0"/>
          <w:bCs w:val="0"/>
          <w:sz w:val="28"/>
          <w:lang w:eastAsia="zh-CN"/>
        </w:rPr>
        <w:t>（</w:t>
      </w:r>
      <w:r>
        <w:rPr>
          <w:rFonts w:hint="eastAsia" w:ascii="宋体" w:hAnsi="宋体" w:eastAsia="宋体" w:cs="宋体"/>
          <w:b w:val="0"/>
          <w:bCs w:val="0"/>
          <w:sz w:val="28"/>
        </w:rPr>
        <w:t>加强人员培训，提高本部门职工业务素质；加强调研，提出优化财政资金配置、提高资金使用效益的意见；加大宣传力度，强化预算绩效管理意识，促进预算绩效管理水平进一步提升。</w:t>
      </w:r>
      <w:r>
        <w:rPr>
          <w:rFonts w:hint="eastAsia" w:ascii="宋体" w:hAnsi="宋体" w:eastAsia="宋体" w:cs="宋体"/>
          <w:b w:val="0"/>
          <w:bCs w:val="0"/>
          <w:sz w:val="28"/>
          <w:lang w:eastAsia="zh-CN"/>
        </w:rPr>
        <w:t>）</w:t>
      </w:r>
    </w:p>
    <w:p>
      <w:pPr>
        <w:spacing w:before="156" w:beforeLines="50" w:after="156" w:afterLines="50" w:line="500" w:lineRule="exact"/>
        <w:ind w:firstLine="560" w:firstLineChars="200"/>
        <w:jc w:val="left"/>
        <w:outlineLvl w:val="1"/>
        <w:rPr>
          <w:rFonts w:hint="eastAsia" w:ascii="宋体" w:hAnsi="宋体" w:eastAsia="宋体" w:cs="宋体"/>
          <w:b w:val="0"/>
          <w:bCs w:val="0"/>
          <w:sz w:val="28"/>
          <w:lang w:val="en-US" w:eastAsia="zh-CN"/>
        </w:rPr>
      </w:pPr>
      <w:r>
        <w:rPr>
          <w:rFonts w:hint="eastAsia" w:ascii="宋体" w:hAnsi="宋体" w:eastAsia="宋体" w:cs="宋体"/>
          <w:b w:val="0"/>
          <w:bCs w:val="0"/>
          <w:sz w:val="28"/>
          <w:lang w:val="en-US" w:eastAsia="zh-CN"/>
        </w:rPr>
        <w:t>附：预算项目绩效目标</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315001保定市满城区司法局本级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hint="eastAsia" w:ascii="宋体" w:hAnsi="宋体" w:eastAsia="宋体" w:cs="宋体"/>
                <w:b w:val="0"/>
                <w:bCs w:val="0"/>
              </w:rPr>
            </w:pPr>
            <w:r>
              <w:rPr>
                <w:rFonts w:hint="eastAsia" w:ascii="宋体" w:hAnsi="宋体" w:eastAsia="宋体" w:cs="宋体"/>
                <w:b w:val="0"/>
                <w:bCs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项目编码</w:t>
            </w:r>
          </w:p>
        </w:tc>
        <w:tc>
          <w:tcPr>
            <w:tcW w:w="2410" w:type="dxa"/>
            <w:gridSpan w:val="2"/>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13062121VEHHHYABFO7GM</w:t>
            </w:r>
          </w:p>
        </w:tc>
        <w:tc>
          <w:tcPr>
            <w:tcW w:w="1587" w:type="dxa"/>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项目名称</w:t>
            </w:r>
          </w:p>
        </w:tc>
        <w:tc>
          <w:tcPr>
            <w:tcW w:w="4281" w:type="dxa"/>
            <w:gridSpan w:val="3"/>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维稳经费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预算规模及资金用途</w:t>
            </w:r>
          </w:p>
        </w:tc>
        <w:tc>
          <w:tcPr>
            <w:tcW w:w="1134" w:type="dxa"/>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预算数</w:t>
            </w:r>
          </w:p>
        </w:tc>
        <w:tc>
          <w:tcPr>
            <w:tcW w:w="1276"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6.50</w:t>
            </w:r>
          </w:p>
        </w:tc>
        <w:tc>
          <w:tcPr>
            <w:tcW w:w="1587" w:type="dxa"/>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其中：财政资金</w:t>
            </w:r>
          </w:p>
        </w:tc>
        <w:tc>
          <w:tcPr>
            <w:tcW w:w="1304"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6.50</w:t>
            </w:r>
          </w:p>
        </w:tc>
        <w:tc>
          <w:tcPr>
            <w:tcW w:w="1276" w:type="dxa"/>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其他资金</w:t>
            </w:r>
          </w:p>
        </w:tc>
        <w:tc>
          <w:tcPr>
            <w:tcW w:w="1701"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rFonts w:hint="eastAsia" w:ascii="宋体" w:hAnsi="宋体" w:eastAsia="宋体" w:cs="宋体"/>
                <w:b w:val="0"/>
                <w:bCs w:val="0"/>
              </w:rPr>
            </w:pPr>
          </w:p>
        </w:tc>
        <w:tc>
          <w:tcPr>
            <w:tcW w:w="8278" w:type="dxa"/>
            <w:gridSpan w:val="6"/>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资金支出计划（%）</w:t>
            </w:r>
          </w:p>
        </w:tc>
        <w:tc>
          <w:tcPr>
            <w:tcW w:w="2410" w:type="dxa"/>
            <w:gridSpan w:val="2"/>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3月底</w:t>
            </w:r>
          </w:p>
        </w:tc>
        <w:tc>
          <w:tcPr>
            <w:tcW w:w="1587" w:type="dxa"/>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6月底</w:t>
            </w:r>
          </w:p>
        </w:tc>
        <w:tc>
          <w:tcPr>
            <w:tcW w:w="1304" w:type="dxa"/>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10月底</w:t>
            </w:r>
          </w:p>
        </w:tc>
        <w:tc>
          <w:tcPr>
            <w:tcW w:w="2977" w:type="dxa"/>
            <w:gridSpan w:val="2"/>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rFonts w:hint="eastAsia" w:ascii="宋体" w:hAnsi="宋体" w:eastAsia="宋体" w:cs="宋体"/>
                <w:b w:val="0"/>
                <w:bCs w:val="0"/>
              </w:rPr>
            </w:pPr>
          </w:p>
        </w:tc>
        <w:tc>
          <w:tcPr>
            <w:tcW w:w="2410" w:type="dxa"/>
            <w:gridSpan w:val="2"/>
            <w:tcBorders>
              <w:bottom w:val="single" w:color="000000" w:sz="6" w:space="0"/>
            </w:tcBorders>
            <w:shd w:val="clear" w:color="auto" w:fill="auto"/>
            <w:noWrap w:val="0"/>
            <w:vAlign w:val="center"/>
          </w:tcPr>
          <w:p>
            <w:pPr>
              <w:spacing w:line="300" w:lineRule="exact"/>
              <w:jc w:val="center"/>
              <w:rPr>
                <w:rFonts w:hint="eastAsia" w:ascii="宋体" w:hAnsi="宋体" w:eastAsia="宋体" w:cs="宋体"/>
                <w:b w:val="0"/>
                <w:bCs w:val="0"/>
              </w:rPr>
            </w:pPr>
          </w:p>
        </w:tc>
        <w:tc>
          <w:tcPr>
            <w:tcW w:w="1587" w:type="dxa"/>
            <w:tcBorders>
              <w:bottom w:val="single" w:color="000000" w:sz="6" w:space="0"/>
            </w:tcBorders>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100.00%</w:t>
            </w:r>
          </w:p>
        </w:tc>
        <w:tc>
          <w:tcPr>
            <w:tcW w:w="1304" w:type="dxa"/>
            <w:tcBorders>
              <w:bottom w:val="single" w:color="000000" w:sz="6" w:space="0"/>
            </w:tcBorders>
            <w:shd w:val="clear" w:color="auto" w:fill="auto"/>
            <w:noWrap w:val="0"/>
            <w:vAlign w:val="center"/>
          </w:tcPr>
          <w:p>
            <w:pPr>
              <w:spacing w:line="300" w:lineRule="exact"/>
              <w:jc w:val="center"/>
              <w:rPr>
                <w:rFonts w:hint="eastAsia" w:ascii="宋体" w:hAnsi="宋体" w:eastAsia="宋体" w:cs="宋体"/>
                <w:b w:val="0"/>
                <w:bCs w:val="0"/>
              </w:rPr>
            </w:pPr>
          </w:p>
        </w:tc>
        <w:tc>
          <w:tcPr>
            <w:tcW w:w="2977" w:type="dxa"/>
            <w:gridSpan w:val="2"/>
            <w:tcBorders>
              <w:bottom w:val="single" w:color="000000" w:sz="6" w:space="0"/>
            </w:tcBorders>
            <w:shd w:val="clear" w:color="auto" w:fill="auto"/>
            <w:noWrap w:val="0"/>
            <w:vAlign w:val="center"/>
          </w:tcPr>
          <w:p>
            <w:pPr>
              <w:spacing w:line="300" w:lineRule="exact"/>
              <w:jc w:val="center"/>
              <w:rPr>
                <w:rFonts w:hint="eastAsia" w:ascii="宋体" w:hAnsi="宋体" w:eastAsia="宋体" w:cs="宋体"/>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绩效目标</w:t>
            </w:r>
          </w:p>
        </w:tc>
        <w:tc>
          <w:tcPr>
            <w:tcW w:w="8278" w:type="dxa"/>
            <w:gridSpan w:val="6"/>
            <w:tcBorders>
              <w:bottom w:val="nil"/>
            </w:tcBorders>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1.维护社会稳定</w:t>
            </w:r>
          </w:p>
        </w:tc>
      </w:tr>
    </w:tbl>
    <w:p>
      <w:pPr>
        <w:spacing w:line="14" w:lineRule="exact"/>
        <w:jc w:val="center"/>
        <w:rPr>
          <w:rFonts w:hint="eastAsia" w:ascii="宋体" w:hAnsi="宋体" w:eastAsia="宋体" w:cs="宋体"/>
          <w:b w:val="0"/>
          <w:bCs w:val="0"/>
        </w:rPr>
      </w:pPr>
      <w:r>
        <w:rPr>
          <w:rFonts w:hint="eastAsia" w:ascii="宋体" w:hAnsi="宋体" w:eastAsia="宋体" w:cs="宋体"/>
          <w:b w:val="0"/>
          <w:bCs w:val="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一级指标</w:t>
            </w:r>
          </w:p>
        </w:tc>
        <w:tc>
          <w:tcPr>
            <w:tcW w:w="1134" w:type="dxa"/>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二级指标</w:t>
            </w:r>
          </w:p>
        </w:tc>
        <w:tc>
          <w:tcPr>
            <w:tcW w:w="1276" w:type="dxa"/>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三级指标</w:t>
            </w:r>
          </w:p>
        </w:tc>
        <w:tc>
          <w:tcPr>
            <w:tcW w:w="2891" w:type="dxa"/>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绩效指标描述</w:t>
            </w:r>
          </w:p>
        </w:tc>
        <w:tc>
          <w:tcPr>
            <w:tcW w:w="1276" w:type="dxa"/>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w:t>
            </w:r>
          </w:p>
        </w:tc>
        <w:tc>
          <w:tcPr>
            <w:tcW w:w="1701" w:type="dxa"/>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产出指标</w:t>
            </w:r>
          </w:p>
        </w:tc>
        <w:tc>
          <w:tcPr>
            <w:tcW w:w="1134"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数量指标</w:t>
            </w:r>
          </w:p>
        </w:tc>
        <w:tc>
          <w:tcPr>
            <w:tcW w:w="1276"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维稳人员数量</w:t>
            </w:r>
          </w:p>
        </w:tc>
        <w:tc>
          <w:tcPr>
            <w:tcW w:w="2891"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维稳人员数量</w:t>
            </w:r>
          </w:p>
        </w:tc>
        <w:tc>
          <w:tcPr>
            <w:tcW w:w="1276"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1人</w:t>
            </w:r>
          </w:p>
        </w:tc>
        <w:tc>
          <w:tcPr>
            <w:tcW w:w="1701"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b w:val="0"/>
                <w:bCs w:val="0"/>
              </w:rPr>
            </w:pPr>
          </w:p>
        </w:tc>
        <w:tc>
          <w:tcPr>
            <w:tcW w:w="1134"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质量指标</w:t>
            </w:r>
          </w:p>
        </w:tc>
        <w:tc>
          <w:tcPr>
            <w:tcW w:w="1276"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信访事项按时结案率</w:t>
            </w:r>
          </w:p>
        </w:tc>
        <w:tc>
          <w:tcPr>
            <w:tcW w:w="2891"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信访事项按时结案率</w:t>
            </w:r>
          </w:p>
        </w:tc>
        <w:tc>
          <w:tcPr>
            <w:tcW w:w="1276"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≥98百分比</w:t>
            </w:r>
          </w:p>
        </w:tc>
        <w:tc>
          <w:tcPr>
            <w:tcW w:w="1701"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b w:val="0"/>
                <w:bCs w:val="0"/>
              </w:rPr>
            </w:pPr>
          </w:p>
        </w:tc>
        <w:tc>
          <w:tcPr>
            <w:tcW w:w="1134"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时效指标</w:t>
            </w:r>
          </w:p>
        </w:tc>
        <w:tc>
          <w:tcPr>
            <w:tcW w:w="1276"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信访事项及时办结率</w:t>
            </w:r>
          </w:p>
        </w:tc>
        <w:tc>
          <w:tcPr>
            <w:tcW w:w="2891"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信访事项及时办结率</w:t>
            </w:r>
          </w:p>
        </w:tc>
        <w:tc>
          <w:tcPr>
            <w:tcW w:w="1276"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≥95百分比</w:t>
            </w:r>
          </w:p>
        </w:tc>
        <w:tc>
          <w:tcPr>
            <w:tcW w:w="1701"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b w:val="0"/>
                <w:bCs w:val="0"/>
              </w:rPr>
            </w:pPr>
          </w:p>
        </w:tc>
        <w:tc>
          <w:tcPr>
            <w:tcW w:w="1134"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成本指标</w:t>
            </w:r>
          </w:p>
        </w:tc>
        <w:tc>
          <w:tcPr>
            <w:tcW w:w="1276"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维稳金额</w:t>
            </w:r>
          </w:p>
        </w:tc>
        <w:tc>
          <w:tcPr>
            <w:tcW w:w="2891"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维稳金额</w:t>
            </w:r>
          </w:p>
        </w:tc>
        <w:tc>
          <w:tcPr>
            <w:tcW w:w="1276"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6.5万元</w:t>
            </w:r>
          </w:p>
        </w:tc>
        <w:tc>
          <w:tcPr>
            <w:tcW w:w="1701"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效益指标</w:t>
            </w:r>
          </w:p>
        </w:tc>
        <w:tc>
          <w:tcPr>
            <w:tcW w:w="1134"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经济效益指标</w:t>
            </w:r>
          </w:p>
        </w:tc>
        <w:tc>
          <w:tcPr>
            <w:tcW w:w="1276"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资金的使用效率</w:t>
            </w:r>
          </w:p>
        </w:tc>
        <w:tc>
          <w:tcPr>
            <w:tcW w:w="2891"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资金的使用效率</w:t>
            </w:r>
          </w:p>
        </w:tc>
        <w:tc>
          <w:tcPr>
            <w:tcW w:w="1276"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≥97百分比</w:t>
            </w:r>
          </w:p>
        </w:tc>
        <w:tc>
          <w:tcPr>
            <w:tcW w:w="1701"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宋体" w:hAnsi="宋体" w:eastAsia="宋体" w:cs="宋体"/>
                <w:b w:val="0"/>
                <w:bCs w:val="0"/>
              </w:rPr>
            </w:pPr>
          </w:p>
        </w:tc>
        <w:tc>
          <w:tcPr>
            <w:tcW w:w="1134"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社会效益指标</w:t>
            </w:r>
          </w:p>
        </w:tc>
        <w:tc>
          <w:tcPr>
            <w:tcW w:w="1276"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社会稳定水平</w:t>
            </w:r>
          </w:p>
        </w:tc>
        <w:tc>
          <w:tcPr>
            <w:tcW w:w="2891"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社会稳定水平</w:t>
            </w:r>
          </w:p>
        </w:tc>
        <w:tc>
          <w:tcPr>
            <w:tcW w:w="1276"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≥96百分比</w:t>
            </w:r>
          </w:p>
        </w:tc>
        <w:tc>
          <w:tcPr>
            <w:tcW w:w="1701"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宋体" w:hAnsi="宋体" w:eastAsia="宋体" w:cs="宋体"/>
                <w:b w:val="0"/>
                <w:bCs w:val="0"/>
              </w:rPr>
            </w:pPr>
            <w:r>
              <w:rPr>
                <w:rFonts w:hint="eastAsia" w:ascii="宋体" w:hAnsi="宋体" w:eastAsia="宋体" w:cs="宋体"/>
                <w:b w:val="0"/>
                <w:bCs w:val="0"/>
              </w:rPr>
              <w:t>满意度指标</w:t>
            </w:r>
          </w:p>
        </w:tc>
        <w:tc>
          <w:tcPr>
            <w:tcW w:w="1134"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服务对象满意度指标</w:t>
            </w:r>
          </w:p>
        </w:tc>
        <w:tc>
          <w:tcPr>
            <w:tcW w:w="1276"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w:t>
            </w:r>
          </w:p>
        </w:tc>
        <w:tc>
          <w:tcPr>
            <w:tcW w:w="2891"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服务对象满意度</w:t>
            </w:r>
          </w:p>
        </w:tc>
        <w:tc>
          <w:tcPr>
            <w:tcW w:w="1276"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≥99百分比</w:t>
            </w:r>
          </w:p>
        </w:tc>
        <w:tc>
          <w:tcPr>
            <w:tcW w:w="1701" w:type="dxa"/>
            <w:shd w:val="clear" w:color="auto" w:fill="auto"/>
            <w:noWrap w:val="0"/>
            <w:vAlign w:val="center"/>
          </w:tcPr>
          <w:p>
            <w:pPr>
              <w:spacing w:line="300" w:lineRule="exact"/>
              <w:jc w:val="left"/>
              <w:rPr>
                <w:rFonts w:hint="eastAsia" w:ascii="宋体" w:hAnsi="宋体" w:eastAsia="宋体" w:cs="宋体"/>
                <w:b w:val="0"/>
                <w:bCs w:val="0"/>
              </w:rPr>
            </w:pPr>
            <w:r>
              <w:rPr>
                <w:rFonts w:hint="eastAsia" w:ascii="宋体" w:hAnsi="宋体" w:eastAsia="宋体" w:cs="宋体"/>
                <w:b w:val="0"/>
                <w:bCs w:val="0"/>
              </w:rPr>
              <w:t>工作需要</w:t>
            </w:r>
          </w:p>
        </w:tc>
      </w:tr>
    </w:tbl>
    <w:p>
      <w:pPr>
        <w:spacing w:line="500" w:lineRule="exact"/>
        <w:ind w:firstLine="560" w:firstLineChars="200"/>
        <w:jc w:val="left"/>
        <w:rPr>
          <w:rFonts w:hint="eastAsia" w:ascii="宋体" w:hAnsi="宋体" w:eastAsia="宋体" w:cs="宋体"/>
          <w:b w:val="0"/>
          <w:bCs w:val="0"/>
          <w:sz w:val="28"/>
        </w:rPr>
      </w:pPr>
    </w:p>
    <w:p>
      <w:pPr>
        <w:spacing w:line="500" w:lineRule="exact"/>
        <w:ind w:firstLine="560" w:firstLineChars="200"/>
        <w:jc w:val="left"/>
        <w:rPr>
          <w:rFonts w:hint="eastAsia" w:ascii="宋体" w:hAnsi="宋体" w:eastAsia="宋体" w:cs="宋体"/>
          <w:b w:val="0"/>
          <w:bCs w:val="0"/>
          <w:sz w:val="28"/>
        </w:rPr>
      </w:pPr>
    </w:p>
    <w:p>
      <w:pPr>
        <w:spacing w:line="500" w:lineRule="exact"/>
        <w:ind w:firstLine="560" w:firstLineChars="200"/>
        <w:jc w:val="left"/>
        <w:rPr>
          <w:rFonts w:hint="eastAsia" w:ascii="宋体" w:hAnsi="宋体" w:eastAsia="宋体" w:cs="宋体"/>
          <w:b w:val="0"/>
          <w:bCs w:val="0"/>
          <w:sz w:val="28"/>
        </w:rPr>
      </w:pPr>
    </w:p>
    <w:p>
      <w:pPr>
        <w:spacing w:line="500" w:lineRule="exact"/>
        <w:ind w:firstLine="560" w:firstLineChars="200"/>
        <w:jc w:val="left"/>
        <w:rPr>
          <w:rFonts w:hint="eastAsia" w:ascii="宋体" w:hAnsi="宋体" w:eastAsia="宋体" w:cs="宋体"/>
          <w:b w:val="0"/>
          <w:bCs w:val="0"/>
          <w:sz w:val="28"/>
        </w:rPr>
      </w:pPr>
    </w:p>
    <w:p>
      <w:pPr>
        <w:spacing w:line="520" w:lineRule="exact"/>
        <w:jc w:val="center"/>
        <w:rPr>
          <w:rFonts w:hint="eastAsia" w:ascii="宋体" w:hAnsi="宋体" w:eastAsia="宋体" w:cs="宋体"/>
          <w:b w:val="0"/>
          <w:bCs w:val="0"/>
          <w:sz w:val="32"/>
          <w:szCs w:val="32"/>
          <w:lang w:eastAsia="zh-CN"/>
        </w:rPr>
      </w:pPr>
    </w:p>
    <w:p>
      <w:pPr>
        <w:spacing w:line="520" w:lineRule="exact"/>
        <w:jc w:val="center"/>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第六部分：</w:t>
      </w:r>
      <w:r>
        <w:rPr>
          <w:rFonts w:hint="eastAsia" w:ascii="宋体" w:hAnsi="宋体" w:eastAsia="宋体" w:cs="宋体"/>
          <w:b w:val="0"/>
          <w:bCs w:val="0"/>
          <w:sz w:val="32"/>
          <w:szCs w:val="32"/>
          <w:lang w:val="en-US" w:eastAsia="zh-CN"/>
        </w:rPr>
        <w:t>政府采购预算情况</w:t>
      </w:r>
    </w:p>
    <w:p>
      <w:pPr>
        <w:ind w:firstLine="420" w:firstLineChars="150"/>
        <w:jc w:val="left"/>
        <w:outlineLvl w:val="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2021年，</w:t>
      </w:r>
      <w:r>
        <w:rPr>
          <w:rFonts w:hint="eastAsia" w:ascii="宋体" w:hAnsi="宋体" w:eastAsia="宋体" w:cs="宋体"/>
          <w:b w:val="0"/>
          <w:bCs w:val="0"/>
          <w:sz w:val="28"/>
          <w:szCs w:val="28"/>
          <w:lang w:eastAsia="zh-CN"/>
        </w:rPr>
        <w:t>保定市满城区司法局本级安排</w:t>
      </w:r>
      <w:r>
        <w:rPr>
          <w:rFonts w:hint="eastAsia" w:ascii="宋体" w:hAnsi="宋体" w:eastAsia="宋体" w:cs="宋体"/>
          <w:b w:val="0"/>
          <w:bCs w:val="0"/>
          <w:sz w:val="28"/>
          <w:szCs w:val="28"/>
          <w:lang w:val="en-US" w:eastAsia="zh-CN"/>
        </w:rPr>
        <w:t>政府采购预算26.4万元，具体内容见下表。</w:t>
      </w:r>
    </w:p>
    <w:p>
      <w:pPr>
        <w:ind w:firstLine="420" w:firstLineChars="150"/>
        <w:jc w:val="center"/>
        <w:outlineLvl w:val="0"/>
        <w:rPr>
          <w:rFonts w:hint="eastAsia" w:ascii="宋体" w:hAnsi="宋体" w:eastAsia="宋体" w:cs="宋体"/>
          <w:b w:val="0"/>
          <w:bCs w:val="0"/>
          <w:sz w:val="28"/>
          <w:szCs w:val="28"/>
        </w:rPr>
      </w:pPr>
      <w:r>
        <w:rPr>
          <w:rFonts w:hint="eastAsia" w:ascii="宋体" w:hAnsi="宋体" w:eastAsia="宋体" w:cs="宋体"/>
          <w:b w:val="0"/>
          <w:bCs w:val="0"/>
          <w:sz w:val="28"/>
          <w:szCs w:val="28"/>
        </w:rPr>
        <w:t>部门政府采购预算</w:t>
      </w:r>
    </w:p>
    <w:tbl>
      <w:tblPr>
        <w:tblStyle w:val="9"/>
        <w:tblW w:w="9495" w:type="dxa"/>
        <w:jc w:val="center"/>
        <w:tblLayout w:type="fixed"/>
        <w:tblCellMar>
          <w:top w:w="0" w:type="dxa"/>
          <w:left w:w="10" w:type="dxa"/>
          <w:bottom w:w="0" w:type="dxa"/>
          <w:right w:w="10" w:type="dxa"/>
        </w:tblCellMar>
      </w:tblPr>
      <w:tblGrid>
        <w:gridCol w:w="744"/>
        <w:gridCol w:w="1006"/>
        <w:gridCol w:w="1114"/>
        <w:gridCol w:w="637"/>
        <w:gridCol w:w="424"/>
        <w:gridCol w:w="572"/>
        <w:gridCol w:w="688"/>
        <w:gridCol w:w="615"/>
        <w:gridCol w:w="600"/>
        <w:gridCol w:w="690"/>
        <w:gridCol w:w="450"/>
        <w:gridCol w:w="510"/>
        <w:gridCol w:w="675"/>
        <w:gridCol w:w="770"/>
      </w:tblGrid>
      <w:tr>
        <w:tblPrEx>
          <w:tblCellMar>
            <w:top w:w="0" w:type="dxa"/>
            <w:left w:w="10" w:type="dxa"/>
            <w:bottom w:w="0" w:type="dxa"/>
            <w:right w:w="10" w:type="dxa"/>
          </w:tblCellMar>
        </w:tblPrEx>
        <w:trPr>
          <w:trHeight w:val="373" w:hRule="atLeast"/>
          <w:jc w:val="center"/>
        </w:trPr>
        <w:tc>
          <w:tcPr>
            <w:tcW w:w="5185"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val="0"/>
                <w:szCs w:val="24"/>
              </w:rPr>
            </w:pPr>
          </w:p>
        </w:tc>
        <w:tc>
          <w:tcPr>
            <w:tcW w:w="431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Cs w:val="24"/>
              </w:rPr>
            </w:pPr>
            <w:r>
              <w:rPr>
                <w:rFonts w:hint="eastAsia" w:ascii="宋体" w:hAnsi="宋体" w:eastAsia="宋体" w:cs="宋体"/>
                <w:b w:val="0"/>
                <w:bCs w:val="0"/>
                <w:sz w:val="24"/>
              </w:rPr>
              <w:t>单位：万元</w:t>
            </w:r>
          </w:p>
        </w:tc>
      </w:tr>
      <w:tr>
        <w:tblPrEx>
          <w:tblCellMar>
            <w:top w:w="0" w:type="dxa"/>
            <w:left w:w="10" w:type="dxa"/>
            <w:bottom w:w="0" w:type="dxa"/>
            <w:right w:w="10" w:type="dxa"/>
          </w:tblCellMar>
        </w:tblPrEx>
        <w:trPr>
          <w:trHeight w:val="373" w:hRule="atLeast"/>
          <w:jc w:val="center"/>
        </w:trPr>
        <w:tc>
          <w:tcPr>
            <w:tcW w:w="175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Cs w:val="24"/>
              </w:rPr>
            </w:pPr>
            <w:r>
              <w:rPr>
                <w:rFonts w:hint="eastAsia" w:ascii="宋体" w:hAnsi="宋体" w:eastAsia="宋体" w:cs="宋体"/>
                <w:b w:val="0"/>
                <w:bCs w:val="0"/>
              </w:rPr>
              <w:t>政府采购项目来源</w:t>
            </w:r>
          </w:p>
        </w:tc>
        <w:tc>
          <w:tcPr>
            <w:tcW w:w="111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Cs w:val="24"/>
              </w:rPr>
            </w:pPr>
            <w:r>
              <w:rPr>
                <w:rFonts w:hint="eastAsia" w:ascii="宋体" w:hAnsi="宋体" w:eastAsia="宋体" w:cs="宋体"/>
                <w:b w:val="0"/>
                <w:bCs w:val="0"/>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Cs w:val="24"/>
              </w:rPr>
            </w:pPr>
            <w:r>
              <w:rPr>
                <w:rFonts w:hint="eastAsia" w:ascii="宋体" w:hAnsi="宋体" w:eastAsia="宋体" w:cs="宋体"/>
                <w:b w:val="0"/>
                <w:bCs w:val="0"/>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Cs w:val="24"/>
              </w:rPr>
            </w:pPr>
            <w:r>
              <w:rPr>
                <w:rFonts w:hint="eastAsia" w:ascii="宋体" w:hAnsi="宋体" w:eastAsia="宋体" w:cs="宋体"/>
                <w:b w:val="0"/>
                <w:bCs w:val="0"/>
              </w:rPr>
              <w:t>数量  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Cs w:val="24"/>
              </w:rPr>
            </w:pPr>
            <w:r>
              <w:rPr>
                <w:rFonts w:hint="eastAsia" w:ascii="宋体" w:hAnsi="宋体" w:eastAsia="宋体" w:cs="宋体"/>
                <w:b w:val="0"/>
                <w:bCs w:val="0"/>
              </w:rPr>
              <w:t>数量</w:t>
            </w:r>
          </w:p>
        </w:tc>
        <w:tc>
          <w:tcPr>
            <w:tcW w:w="6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Cs w:val="24"/>
              </w:rPr>
            </w:pPr>
            <w:r>
              <w:rPr>
                <w:rFonts w:hint="eastAsia" w:ascii="宋体" w:hAnsi="宋体" w:eastAsia="宋体" w:cs="宋体"/>
                <w:b w:val="0"/>
                <w:bCs w:val="0"/>
              </w:rPr>
              <w:t>单价</w:t>
            </w:r>
          </w:p>
        </w:tc>
        <w:tc>
          <w:tcPr>
            <w:tcW w:w="431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Cs w:val="24"/>
              </w:rPr>
            </w:pPr>
            <w:r>
              <w:rPr>
                <w:rFonts w:hint="eastAsia" w:ascii="宋体" w:hAnsi="宋体" w:eastAsia="宋体" w:cs="宋体"/>
                <w:b w:val="0"/>
                <w:bCs w:val="0"/>
              </w:rPr>
              <w:t>政府采购金额</w:t>
            </w:r>
          </w:p>
        </w:tc>
      </w:tr>
      <w:tr>
        <w:tblPrEx>
          <w:tblCellMar>
            <w:top w:w="0" w:type="dxa"/>
            <w:left w:w="10" w:type="dxa"/>
            <w:bottom w:w="0" w:type="dxa"/>
            <w:right w:w="10" w:type="dxa"/>
          </w:tblCellMar>
        </w:tblPrEx>
        <w:trPr>
          <w:trHeight w:val="468" w:hRule="atLeast"/>
          <w:jc w:val="center"/>
        </w:trPr>
        <w:tc>
          <w:tcPr>
            <w:tcW w:w="74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Cs w:val="24"/>
              </w:rPr>
            </w:pPr>
            <w:r>
              <w:rPr>
                <w:rFonts w:hint="eastAsia" w:ascii="宋体" w:hAnsi="宋体" w:eastAsia="宋体" w:cs="宋体"/>
                <w:b w:val="0"/>
                <w:bCs w:val="0"/>
              </w:rPr>
              <w:t>项目名称</w:t>
            </w:r>
          </w:p>
        </w:tc>
        <w:tc>
          <w:tcPr>
            <w:tcW w:w="1006"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Cs w:val="24"/>
              </w:rPr>
            </w:pPr>
            <w:r>
              <w:rPr>
                <w:rFonts w:hint="eastAsia" w:ascii="宋体" w:hAnsi="宋体" w:eastAsia="宋体" w:cs="宋体"/>
                <w:b w:val="0"/>
                <w:bCs w:val="0"/>
              </w:rPr>
              <w:t>预算资金</w:t>
            </w:r>
          </w:p>
        </w:tc>
        <w:tc>
          <w:tcPr>
            <w:tcW w:w="111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hint="eastAsia" w:ascii="宋体" w:hAnsi="宋体" w:eastAsia="宋体" w:cs="宋体"/>
                <w:b w:val="0"/>
                <w:bCs w:val="0"/>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hint="eastAsia" w:ascii="宋体" w:hAnsi="宋体" w:eastAsia="宋体" w:cs="宋体"/>
                <w:b w:val="0"/>
                <w:bCs w:val="0"/>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hint="eastAsia" w:ascii="宋体" w:hAnsi="宋体" w:eastAsia="宋体" w:cs="宋体"/>
                <w:b w:val="0"/>
                <w:bCs w:val="0"/>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hint="eastAsia" w:ascii="宋体" w:hAnsi="宋体" w:eastAsia="宋体" w:cs="宋体"/>
                <w:b w:val="0"/>
                <w:bCs w:val="0"/>
                <w:szCs w:val="24"/>
              </w:rPr>
            </w:pPr>
          </w:p>
        </w:tc>
        <w:tc>
          <w:tcPr>
            <w:tcW w:w="68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hint="eastAsia" w:ascii="宋体" w:hAnsi="宋体" w:eastAsia="宋体" w:cs="宋体"/>
                <w:b w:val="0"/>
                <w:bCs w:val="0"/>
                <w:szCs w:val="24"/>
              </w:rPr>
            </w:pPr>
          </w:p>
        </w:tc>
        <w:tc>
          <w:tcPr>
            <w:tcW w:w="61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Cs w:val="24"/>
              </w:rPr>
            </w:pPr>
            <w:r>
              <w:rPr>
                <w:rFonts w:hint="eastAsia" w:ascii="宋体" w:hAnsi="宋体" w:eastAsia="宋体" w:cs="宋体"/>
                <w:b w:val="0"/>
                <w:bCs w:val="0"/>
              </w:rPr>
              <w:t>总计</w:t>
            </w:r>
          </w:p>
        </w:tc>
        <w:tc>
          <w:tcPr>
            <w:tcW w:w="2925"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Cs w:val="24"/>
              </w:rPr>
            </w:pPr>
            <w:r>
              <w:rPr>
                <w:rFonts w:hint="eastAsia" w:ascii="宋体" w:hAnsi="宋体" w:eastAsia="宋体" w:cs="宋体"/>
                <w:b w:val="0"/>
                <w:bCs w:val="0"/>
              </w:rPr>
              <w:t>当年部门预算安排资金</w:t>
            </w:r>
          </w:p>
        </w:tc>
        <w:tc>
          <w:tcPr>
            <w:tcW w:w="770"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Cs w:val="24"/>
              </w:rPr>
            </w:pPr>
            <w:r>
              <w:rPr>
                <w:rFonts w:hint="eastAsia" w:ascii="宋体" w:hAnsi="宋体" w:eastAsia="宋体" w:cs="宋体"/>
                <w:b w:val="0"/>
                <w:bCs w:val="0"/>
              </w:rPr>
              <w:t>其他渠道资金</w:t>
            </w:r>
          </w:p>
        </w:tc>
      </w:tr>
      <w:tr>
        <w:tblPrEx>
          <w:tblCellMar>
            <w:top w:w="0" w:type="dxa"/>
            <w:left w:w="10" w:type="dxa"/>
            <w:bottom w:w="0" w:type="dxa"/>
            <w:right w:w="10" w:type="dxa"/>
          </w:tblCellMar>
        </w:tblPrEx>
        <w:trPr>
          <w:trHeight w:val="2285" w:hRule="atLeast"/>
          <w:jc w:val="center"/>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szCs w:val="24"/>
              </w:rPr>
            </w:pPr>
          </w:p>
        </w:tc>
        <w:tc>
          <w:tcPr>
            <w:tcW w:w="111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szCs w:val="24"/>
              </w:rPr>
            </w:pPr>
          </w:p>
        </w:tc>
        <w:tc>
          <w:tcPr>
            <w:tcW w:w="68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szCs w:val="24"/>
              </w:rPr>
            </w:pPr>
          </w:p>
        </w:tc>
        <w:tc>
          <w:tcPr>
            <w:tcW w:w="61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b w:val="0"/>
                <w:bCs w:val="0"/>
                <w:szCs w:val="24"/>
              </w:rPr>
            </w:pPr>
          </w:p>
        </w:tc>
        <w:tc>
          <w:tcPr>
            <w:tcW w:w="60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Cs w:val="24"/>
              </w:rPr>
            </w:pPr>
            <w:r>
              <w:rPr>
                <w:rFonts w:hint="eastAsia" w:ascii="宋体" w:hAnsi="宋体" w:eastAsia="宋体" w:cs="宋体"/>
                <w:b w:val="0"/>
                <w:bCs w:val="0"/>
              </w:rPr>
              <w:t>合计</w:t>
            </w:r>
          </w:p>
        </w:tc>
        <w:tc>
          <w:tcPr>
            <w:tcW w:w="69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Cs w:val="24"/>
              </w:rPr>
            </w:pPr>
            <w:r>
              <w:rPr>
                <w:rFonts w:hint="eastAsia" w:ascii="宋体" w:hAnsi="宋体" w:eastAsia="宋体" w:cs="宋体"/>
                <w:b w:val="0"/>
                <w:bCs w:val="0"/>
              </w:rPr>
              <w:t>一般公共预算拨款</w:t>
            </w:r>
          </w:p>
        </w:tc>
        <w:tc>
          <w:tcPr>
            <w:tcW w:w="4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Cs w:val="24"/>
              </w:rPr>
            </w:pPr>
            <w:r>
              <w:rPr>
                <w:rFonts w:hint="eastAsia" w:ascii="宋体" w:hAnsi="宋体" w:eastAsia="宋体" w:cs="宋体"/>
                <w:b w:val="0"/>
                <w:bCs w:val="0"/>
              </w:rPr>
              <w:t>基金预算拨款</w:t>
            </w:r>
          </w:p>
        </w:tc>
        <w:tc>
          <w:tcPr>
            <w:tcW w:w="51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Cs w:val="24"/>
              </w:rPr>
            </w:pPr>
            <w:r>
              <w:rPr>
                <w:rFonts w:hint="eastAsia" w:ascii="宋体" w:hAnsi="宋体" w:eastAsia="宋体" w:cs="宋体"/>
                <w:b w:val="0"/>
                <w:bCs w:val="0"/>
              </w:rPr>
              <w:t>财政专户核拨</w:t>
            </w:r>
          </w:p>
        </w:tc>
        <w:tc>
          <w:tcPr>
            <w:tcW w:w="67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szCs w:val="24"/>
              </w:rPr>
            </w:pPr>
            <w:r>
              <w:rPr>
                <w:rFonts w:hint="eastAsia" w:ascii="宋体" w:hAnsi="宋体" w:eastAsia="宋体" w:cs="宋体"/>
                <w:b w:val="0"/>
                <w:bCs w:val="0"/>
              </w:rPr>
              <w:t>其他来源收入</w:t>
            </w:r>
          </w:p>
        </w:tc>
        <w:tc>
          <w:tcPr>
            <w:tcW w:w="770"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宋体" w:hAnsi="宋体" w:eastAsia="宋体" w:cs="宋体"/>
                <w:b w:val="0"/>
                <w:bCs w:val="0"/>
                <w:szCs w:val="24"/>
              </w:rPr>
            </w:pPr>
          </w:p>
        </w:tc>
      </w:tr>
      <w:tr>
        <w:tblPrEx>
          <w:tblCellMar>
            <w:top w:w="0" w:type="dxa"/>
            <w:left w:w="10" w:type="dxa"/>
            <w:bottom w:w="0" w:type="dxa"/>
            <w:right w:w="10" w:type="dxa"/>
          </w:tblCellMar>
        </w:tblPrEx>
        <w:trPr>
          <w:trHeight w:val="550" w:hRule="atLeast"/>
          <w:jc w:val="center"/>
        </w:trPr>
        <w:tc>
          <w:tcPr>
            <w:tcW w:w="74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lang w:eastAsia="zh-CN"/>
              </w:rPr>
            </w:pPr>
            <w:r>
              <w:rPr>
                <w:rFonts w:hint="eastAsia" w:ascii="宋体" w:hAnsi="宋体" w:eastAsia="宋体" w:cs="宋体"/>
                <w:b w:val="0"/>
                <w:bCs w:val="0"/>
                <w:lang w:eastAsia="zh-CN"/>
              </w:rPr>
              <w:t>执法执勤车辆</w:t>
            </w:r>
          </w:p>
        </w:tc>
        <w:tc>
          <w:tcPr>
            <w:tcW w:w="1006"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18</w:t>
            </w:r>
          </w:p>
        </w:tc>
        <w:tc>
          <w:tcPr>
            <w:tcW w:w="111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val="0"/>
                <w:sz w:val="22"/>
                <w:szCs w:val="24"/>
                <w:lang w:eastAsia="zh-CN"/>
              </w:rPr>
            </w:pPr>
            <w:r>
              <w:rPr>
                <w:rFonts w:hint="eastAsia" w:ascii="宋体" w:hAnsi="宋体" w:eastAsia="宋体" w:cs="宋体"/>
                <w:b w:val="0"/>
                <w:bCs w:val="0"/>
                <w:sz w:val="22"/>
                <w:szCs w:val="24"/>
                <w:lang w:eastAsia="zh-CN"/>
              </w:rPr>
              <w:t>执法执勤车辆</w:t>
            </w: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A020399</w:t>
            </w: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val="0"/>
                <w:sz w:val="22"/>
                <w:szCs w:val="24"/>
                <w:lang w:eastAsia="zh-CN"/>
              </w:rPr>
            </w:pPr>
            <w:r>
              <w:rPr>
                <w:rFonts w:hint="eastAsia" w:ascii="宋体" w:hAnsi="宋体" w:eastAsia="宋体" w:cs="宋体"/>
                <w:b w:val="0"/>
                <w:bCs w:val="0"/>
                <w:sz w:val="22"/>
                <w:szCs w:val="24"/>
                <w:lang w:eastAsia="zh-CN"/>
              </w:rPr>
              <w:t>辆</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2</w:t>
            </w:r>
          </w:p>
        </w:tc>
        <w:tc>
          <w:tcPr>
            <w:tcW w:w="6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9</w:t>
            </w:r>
          </w:p>
        </w:tc>
        <w:tc>
          <w:tcPr>
            <w:tcW w:w="61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18</w:t>
            </w:r>
          </w:p>
        </w:tc>
        <w:tc>
          <w:tcPr>
            <w:tcW w:w="60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18</w:t>
            </w:r>
          </w:p>
        </w:tc>
        <w:tc>
          <w:tcPr>
            <w:tcW w:w="69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18</w:t>
            </w:r>
          </w:p>
        </w:tc>
        <w:tc>
          <w:tcPr>
            <w:tcW w:w="4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0</w:t>
            </w:r>
          </w:p>
        </w:tc>
        <w:tc>
          <w:tcPr>
            <w:tcW w:w="51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0</w:t>
            </w:r>
          </w:p>
        </w:tc>
        <w:tc>
          <w:tcPr>
            <w:tcW w:w="67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0</w:t>
            </w:r>
          </w:p>
        </w:tc>
        <w:tc>
          <w:tcPr>
            <w:tcW w:w="77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0</w:t>
            </w:r>
          </w:p>
        </w:tc>
      </w:tr>
      <w:tr>
        <w:tblPrEx>
          <w:tblCellMar>
            <w:top w:w="0" w:type="dxa"/>
            <w:left w:w="10" w:type="dxa"/>
            <w:bottom w:w="0" w:type="dxa"/>
            <w:right w:w="10" w:type="dxa"/>
          </w:tblCellMar>
        </w:tblPrEx>
        <w:trPr>
          <w:trHeight w:val="550" w:hRule="atLeast"/>
          <w:jc w:val="center"/>
        </w:trPr>
        <w:tc>
          <w:tcPr>
            <w:tcW w:w="74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b w:val="0"/>
                <w:bCs w:val="0"/>
                <w:lang w:eastAsia="zh-CN"/>
              </w:rPr>
            </w:pPr>
            <w:r>
              <w:rPr>
                <w:rFonts w:hint="eastAsia" w:ascii="宋体" w:hAnsi="宋体" w:eastAsia="宋体" w:cs="宋体"/>
                <w:b w:val="0"/>
                <w:bCs w:val="0"/>
                <w:lang w:eastAsia="zh-CN"/>
              </w:rPr>
              <w:t>办公设备</w:t>
            </w:r>
          </w:p>
        </w:tc>
        <w:tc>
          <w:tcPr>
            <w:tcW w:w="1006"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8.4</w:t>
            </w:r>
          </w:p>
        </w:tc>
        <w:tc>
          <w:tcPr>
            <w:tcW w:w="111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val="0"/>
                <w:sz w:val="22"/>
                <w:szCs w:val="24"/>
                <w:lang w:eastAsia="zh-CN"/>
              </w:rPr>
            </w:pPr>
            <w:r>
              <w:rPr>
                <w:rFonts w:hint="eastAsia" w:ascii="宋体" w:hAnsi="宋体" w:eastAsia="宋体" w:cs="宋体"/>
                <w:b w:val="0"/>
                <w:bCs w:val="0"/>
                <w:sz w:val="22"/>
                <w:szCs w:val="24"/>
                <w:lang w:eastAsia="zh-CN"/>
              </w:rPr>
              <w:t>办公设备</w:t>
            </w: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A02</w:t>
            </w: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b w:val="0"/>
                <w:bCs w:val="0"/>
                <w:sz w:val="22"/>
                <w:szCs w:val="24"/>
                <w:lang w:eastAsia="zh-CN"/>
              </w:rPr>
            </w:pPr>
            <w:r>
              <w:rPr>
                <w:rFonts w:hint="eastAsia" w:ascii="宋体" w:hAnsi="宋体" w:eastAsia="宋体" w:cs="宋体"/>
                <w:b w:val="0"/>
                <w:bCs w:val="0"/>
                <w:sz w:val="22"/>
                <w:szCs w:val="24"/>
                <w:lang w:eastAsia="zh-CN"/>
              </w:rPr>
              <w:t>套</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10</w:t>
            </w:r>
          </w:p>
        </w:tc>
        <w:tc>
          <w:tcPr>
            <w:tcW w:w="6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0.84</w:t>
            </w:r>
          </w:p>
        </w:tc>
        <w:tc>
          <w:tcPr>
            <w:tcW w:w="61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8.4</w:t>
            </w:r>
          </w:p>
        </w:tc>
        <w:tc>
          <w:tcPr>
            <w:tcW w:w="60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8.4</w:t>
            </w:r>
          </w:p>
        </w:tc>
        <w:tc>
          <w:tcPr>
            <w:tcW w:w="69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0</w:t>
            </w:r>
          </w:p>
        </w:tc>
        <w:tc>
          <w:tcPr>
            <w:tcW w:w="4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0</w:t>
            </w:r>
          </w:p>
        </w:tc>
        <w:tc>
          <w:tcPr>
            <w:tcW w:w="51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0</w:t>
            </w:r>
          </w:p>
        </w:tc>
        <w:tc>
          <w:tcPr>
            <w:tcW w:w="67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0</w:t>
            </w:r>
          </w:p>
        </w:tc>
        <w:tc>
          <w:tcPr>
            <w:tcW w:w="77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b w:val="0"/>
                <w:bCs w:val="0"/>
                <w:sz w:val="22"/>
                <w:szCs w:val="24"/>
                <w:lang w:val="en-US" w:eastAsia="zh-CN"/>
              </w:rPr>
            </w:pPr>
            <w:r>
              <w:rPr>
                <w:rFonts w:hint="eastAsia" w:ascii="宋体" w:hAnsi="宋体" w:eastAsia="宋体" w:cs="宋体"/>
                <w:b w:val="0"/>
                <w:bCs w:val="0"/>
                <w:sz w:val="22"/>
                <w:szCs w:val="24"/>
                <w:lang w:val="en-US" w:eastAsia="zh-CN"/>
              </w:rPr>
              <w:t>0</w:t>
            </w:r>
          </w:p>
        </w:tc>
      </w:tr>
    </w:tbl>
    <w:p>
      <w:pPr>
        <w:ind w:firstLine="480" w:firstLineChars="150"/>
        <w:jc w:val="left"/>
        <w:outlineLvl w:val="0"/>
        <w:rPr>
          <w:rFonts w:hint="eastAsia" w:ascii="宋体" w:hAnsi="宋体" w:eastAsia="宋体" w:cs="宋体"/>
          <w:b w:val="0"/>
          <w:bCs w:val="0"/>
          <w:sz w:val="32"/>
          <w:szCs w:val="32"/>
        </w:rPr>
      </w:pPr>
    </w:p>
    <w:p>
      <w:pPr>
        <w:spacing w:line="520" w:lineRule="exact"/>
        <w:ind w:firstLine="560" w:firstLineChars="200"/>
        <w:jc w:val="both"/>
        <w:rPr>
          <w:rFonts w:hint="eastAsia" w:ascii="宋体" w:hAnsi="宋体" w:eastAsia="宋体" w:cs="宋体"/>
          <w:b w:val="0"/>
          <w:bCs w:val="0"/>
          <w:sz w:val="28"/>
          <w:szCs w:val="28"/>
          <w:lang w:val="en-US" w:eastAsia="zh-CN"/>
        </w:rPr>
      </w:pPr>
    </w:p>
    <w:p>
      <w:pPr>
        <w:spacing w:line="520" w:lineRule="exact"/>
        <w:jc w:val="both"/>
        <w:rPr>
          <w:rFonts w:hint="eastAsia" w:ascii="宋体" w:hAnsi="宋体" w:eastAsia="宋体" w:cs="宋体"/>
          <w:b w:val="0"/>
          <w:bCs w:val="0"/>
          <w:sz w:val="28"/>
          <w:szCs w:val="28"/>
          <w:lang w:val="en-US" w:eastAsia="zh-CN"/>
        </w:rPr>
      </w:pPr>
    </w:p>
    <w:p>
      <w:pPr>
        <w:spacing w:line="520" w:lineRule="exact"/>
        <w:jc w:val="center"/>
        <w:rPr>
          <w:rFonts w:hint="eastAsia" w:ascii="宋体" w:hAnsi="宋体" w:eastAsia="宋体" w:cs="宋体"/>
          <w:b w:val="0"/>
          <w:bCs w:val="0"/>
          <w:sz w:val="32"/>
          <w:szCs w:val="32"/>
        </w:rPr>
      </w:pPr>
    </w:p>
    <w:p>
      <w:pPr>
        <w:spacing w:line="520" w:lineRule="exact"/>
        <w:jc w:val="center"/>
        <w:rPr>
          <w:rFonts w:hint="eastAsia" w:ascii="宋体" w:hAnsi="宋体" w:eastAsia="宋体" w:cs="宋体"/>
          <w:b w:val="0"/>
          <w:bCs w:val="0"/>
          <w:sz w:val="32"/>
          <w:szCs w:val="32"/>
        </w:rPr>
      </w:pPr>
    </w:p>
    <w:p>
      <w:pPr>
        <w:spacing w:line="520" w:lineRule="exact"/>
        <w:jc w:val="center"/>
        <w:rPr>
          <w:rFonts w:hint="eastAsia" w:ascii="宋体" w:hAnsi="宋体" w:eastAsia="宋体" w:cs="宋体"/>
          <w:b w:val="0"/>
          <w:bCs w:val="0"/>
          <w:sz w:val="32"/>
          <w:szCs w:val="32"/>
        </w:rPr>
      </w:pPr>
    </w:p>
    <w:p>
      <w:pPr>
        <w:spacing w:line="520" w:lineRule="exact"/>
        <w:jc w:val="center"/>
        <w:rPr>
          <w:rFonts w:hint="eastAsia" w:ascii="宋体" w:hAnsi="宋体" w:eastAsia="宋体" w:cs="宋体"/>
          <w:b w:val="0"/>
          <w:bCs w:val="0"/>
          <w:sz w:val="32"/>
          <w:szCs w:val="32"/>
        </w:rPr>
      </w:pPr>
    </w:p>
    <w:p>
      <w:pPr>
        <w:spacing w:line="520" w:lineRule="exact"/>
        <w:jc w:val="center"/>
        <w:rPr>
          <w:rFonts w:hint="eastAsia" w:ascii="宋体" w:hAnsi="宋体" w:eastAsia="宋体" w:cs="宋体"/>
          <w:b w:val="0"/>
          <w:bCs w:val="0"/>
          <w:sz w:val="32"/>
          <w:szCs w:val="32"/>
        </w:rPr>
      </w:pPr>
    </w:p>
    <w:p>
      <w:pPr>
        <w:spacing w:line="520" w:lineRule="exact"/>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第七部分：国有资产信息情况说明</w:t>
      </w:r>
    </w:p>
    <w:p>
      <w:pPr>
        <w:spacing w:line="520" w:lineRule="exact"/>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p>
    <w:p>
      <w:pPr>
        <w:spacing w:line="52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保定市满城区司法局20</w:t>
      </w:r>
      <w:r>
        <w:rPr>
          <w:rFonts w:hint="eastAsia" w:ascii="宋体" w:hAnsi="宋体" w:eastAsia="宋体" w:cs="宋体"/>
          <w:b w:val="0"/>
          <w:bCs w:val="0"/>
          <w:sz w:val="28"/>
          <w:szCs w:val="28"/>
          <w:lang w:val="en-US" w:eastAsia="zh-CN"/>
        </w:rPr>
        <w:t>20</w:t>
      </w:r>
      <w:r>
        <w:rPr>
          <w:rFonts w:hint="eastAsia" w:ascii="宋体" w:hAnsi="宋体" w:eastAsia="宋体" w:cs="宋体"/>
          <w:b w:val="0"/>
          <w:bCs w:val="0"/>
          <w:sz w:val="28"/>
          <w:szCs w:val="28"/>
        </w:rPr>
        <w:t>年末固定资产总金额</w:t>
      </w:r>
      <w:r>
        <w:rPr>
          <w:rFonts w:hint="eastAsia" w:ascii="宋体" w:hAnsi="宋体" w:eastAsia="宋体" w:cs="宋体"/>
          <w:b w:val="0"/>
          <w:bCs w:val="0"/>
          <w:color w:val="000000"/>
          <w:kern w:val="0"/>
          <w:sz w:val="28"/>
          <w:szCs w:val="28"/>
          <w:lang w:val="en-US" w:eastAsia="zh-CN"/>
        </w:rPr>
        <w:t>227.4518</w:t>
      </w:r>
      <w:r>
        <w:rPr>
          <w:rFonts w:hint="eastAsia" w:ascii="宋体" w:hAnsi="宋体" w:eastAsia="宋体" w:cs="宋体"/>
          <w:b w:val="0"/>
          <w:bCs w:val="0"/>
          <w:sz w:val="28"/>
          <w:szCs w:val="28"/>
        </w:rPr>
        <w:t>万元（详见下表）。 20</w:t>
      </w:r>
      <w:r>
        <w:rPr>
          <w:rFonts w:hint="eastAsia" w:ascii="宋体" w:hAnsi="宋体" w:eastAsia="宋体" w:cs="宋体"/>
          <w:b w:val="0"/>
          <w:bCs w:val="0"/>
          <w:sz w:val="28"/>
          <w:szCs w:val="28"/>
          <w:lang w:val="en-US" w:eastAsia="zh-CN"/>
        </w:rPr>
        <w:t>21</w:t>
      </w:r>
      <w:r>
        <w:rPr>
          <w:rFonts w:hint="eastAsia" w:ascii="宋体" w:hAnsi="宋体" w:eastAsia="宋体" w:cs="宋体"/>
          <w:b w:val="0"/>
          <w:bCs w:val="0"/>
          <w:sz w:val="28"/>
          <w:szCs w:val="28"/>
        </w:rPr>
        <w:t>年拟购置固定资产</w:t>
      </w:r>
      <w:r>
        <w:rPr>
          <w:rFonts w:hint="eastAsia" w:ascii="宋体" w:hAnsi="宋体" w:eastAsia="宋体" w:cs="宋体"/>
          <w:b w:val="0"/>
          <w:bCs w:val="0"/>
          <w:color w:val="auto"/>
          <w:sz w:val="28"/>
          <w:szCs w:val="28"/>
          <w:lang w:val="en-US" w:eastAsia="zh-CN"/>
        </w:rPr>
        <w:t>26.4</w:t>
      </w:r>
      <w:r>
        <w:rPr>
          <w:rFonts w:hint="eastAsia" w:ascii="宋体" w:hAnsi="宋体" w:eastAsia="宋体" w:cs="宋体"/>
          <w:b w:val="0"/>
          <w:bCs w:val="0"/>
          <w:sz w:val="28"/>
          <w:szCs w:val="28"/>
        </w:rPr>
        <w:t>万元，主要为</w:t>
      </w:r>
      <w:r>
        <w:rPr>
          <w:rFonts w:hint="eastAsia" w:ascii="宋体" w:hAnsi="宋体" w:eastAsia="宋体" w:cs="宋体"/>
          <w:b w:val="0"/>
          <w:bCs w:val="0"/>
          <w:color w:val="000000"/>
          <w:kern w:val="0"/>
          <w:sz w:val="28"/>
          <w:szCs w:val="28"/>
          <w:lang w:val="en-US" w:eastAsia="zh-CN"/>
        </w:rPr>
        <w:t>基层司法所购置执法执勤用车</w:t>
      </w:r>
      <w:r>
        <w:rPr>
          <w:rFonts w:hint="eastAsia" w:ascii="宋体" w:hAnsi="宋体" w:eastAsia="宋体" w:cs="宋体"/>
          <w:b w:val="0"/>
          <w:bCs w:val="0"/>
          <w:sz w:val="28"/>
          <w:szCs w:val="28"/>
        </w:rPr>
        <w:t>。</w:t>
      </w:r>
    </w:p>
    <w:p>
      <w:pPr>
        <w:spacing w:line="520" w:lineRule="exact"/>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color w:val="auto"/>
          <w:sz w:val="28"/>
          <w:szCs w:val="28"/>
          <w:lang w:val="en-US" w:eastAsia="zh-CN"/>
        </w:rPr>
        <w:t>保定市</w:t>
      </w:r>
      <w:r>
        <w:rPr>
          <w:rFonts w:hint="eastAsia" w:ascii="宋体" w:hAnsi="宋体" w:eastAsia="宋体" w:cs="宋体"/>
          <w:b w:val="0"/>
          <w:bCs w:val="0"/>
          <w:color w:val="auto"/>
          <w:sz w:val="28"/>
          <w:szCs w:val="28"/>
        </w:rPr>
        <w:t>满城区司法局</w:t>
      </w:r>
      <w:r>
        <w:rPr>
          <w:rFonts w:hint="eastAsia" w:ascii="宋体" w:hAnsi="宋体" w:eastAsia="宋体" w:cs="宋体"/>
          <w:b w:val="0"/>
          <w:bCs w:val="0"/>
          <w:color w:val="auto"/>
          <w:sz w:val="28"/>
          <w:szCs w:val="28"/>
          <w:lang w:val="en-US"/>
        </w:rPr>
        <w:t>20</w:t>
      </w:r>
      <w:r>
        <w:rPr>
          <w:rFonts w:hint="eastAsia" w:ascii="宋体" w:hAnsi="宋体" w:eastAsia="宋体" w:cs="宋体"/>
          <w:b w:val="0"/>
          <w:bCs w:val="0"/>
          <w:color w:val="auto"/>
          <w:sz w:val="28"/>
          <w:szCs w:val="28"/>
          <w:lang w:val="en-US" w:eastAsia="zh-CN"/>
        </w:rPr>
        <w:t>21年拟购置</w:t>
      </w:r>
      <w:r>
        <w:rPr>
          <w:rFonts w:hint="eastAsia" w:ascii="宋体" w:hAnsi="宋体" w:eastAsia="宋体" w:cs="宋体"/>
          <w:b w:val="0"/>
          <w:bCs w:val="0"/>
          <w:color w:val="auto"/>
          <w:sz w:val="28"/>
          <w:szCs w:val="28"/>
        </w:rPr>
        <w:t>固定资产</w:t>
      </w:r>
      <w:r>
        <w:rPr>
          <w:rFonts w:hint="eastAsia" w:ascii="宋体" w:hAnsi="宋体" w:eastAsia="宋体" w:cs="宋体"/>
          <w:b w:val="0"/>
          <w:bCs w:val="0"/>
          <w:color w:val="auto"/>
          <w:sz w:val="28"/>
          <w:szCs w:val="28"/>
          <w:lang w:val="en-US" w:eastAsia="zh-CN"/>
        </w:rPr>
        <w:t>明细</w:t>
      </w:r>
    </w:p>
    <w:tbl>
      <w:tblPr>
        <w:tblStyle w:val="9"/>
        <w:tblW w:w="8804" w:type="dxa"/>
        <w:tblInd w:w="93" w:type="dxa"/>
        <w:tblBorders>
          <w:top w:val="singl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3811"/>
        <w:gridCol w:w="1591"/>
        <w:gridCol w:w="3402"/>
      </w:tblGrid>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750" w:hRule="atLeast"/>
        </w:trPr>
        <w:tc>
          <w:tcPr>
            <w:tcW w:w="3811" w:type="dxa"/>
            <w:tcBorders>
              <w:left w:val="single" w:color="auto" w:sz="4" w:space="0"/>
              <w:bottom w:val="single" w:color="auto" w:sz="4" w:space="0"/>
              <w:right w:val="single" w:color="auto" w:sz="4" w:space="0"/>
            </w:tcBorders>
            <w:vAlign w:val="center"/>
          </w:tcPr>
          <w:p>
            <w:pPr>
              <w:widowControl/>
              <w:spacing w:line="520" w:lineRule="exact"/>
              <w:jc w:val="center"/>
              <w:rPr>
                <w:rFonts w:hint="eastAsia" w:ascii="宋体" w:hAnsi="宋体" w:eastAsia="宋体" w:cs="宋体"/>
                <w:b w:val="0"/>
                <w:bCs w:val="0"/>
                <w:color w:val="000000"/>
                <w:kern w:val="0"/>
                <w:sz w:val="28"/>
                <w:szCs w:val="28"/>
                <w:lang w:eastAsia="zh-CN"/>
              </w:rPr>
            </w:pPr>
            <w:r>
              <w:rPr>
                <w:rFonts w:hint="eastAsia" w:ascii="宋体" w:hAnsi="宋体" w:eastAsia="宋体" w:cs="宋体"/>
                <w:b w:val="0"/>
                <w:bCs w:val="0"/>
                <w:color w:val="000000"/>
                <w:kern w:val="0"/>
                <w:sz w:val="28"/>
                <w:szCs w:val="28"/>
                <w:lang w:val="en-US" w:eastAsia="zh-CN"/>
              </w:rPr>
              <w:t>名    称</w:t>
            </w:r>
          </w:p>
        </w:tc>
        <w:tc>
          <w:tcPr>
            <w:tcW w:w="1591" w:type="dxa"/>
            <w:tcBorders>
              <w:left w:val="nil"/>
              <w:bottom w:val="single" w:color="auto" w:sz="4" w:space="0"/>
              <w:right w:val="single" w:color="auto" w:sz="4" w:space="0"/>
            </w:tcBorders>
            <w:vAlign w:val="center"/>
          </w:tcPr>
          <w:p>
            <w:pPr>
              <w:widowControl/>
              <w:spacing w:line="520" w:lineRule="exact"/>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数量</w:t>
            </w:r>
          </w:p>
        </w:tc>
        <w:tc>
          <w:tcPr>
            <w:tcW w:w="3402" w:type="dxa"/>
            <w:tcBorders>
              <w:left w:val="nil"/>
              <w:bottom w:val="single" w:color="auto" w:sz="4" w:space="0"/>
              <w:right w:val="single" w:color="auto" w:sz="4" w:space="0"/>
            </w:tcBorders>
            <w:vAlign w:val="center"/>
          </w:tcPr>
          <w:p>
            <w:pPr>
              <w:widowControl/>
              <w:spacing w:line="520" w:lineRule="exact"/>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价值（单位：万元）</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hint="eastAsia" w:ascii="宋体" w:hAnsi="宋体" w:eastAsia="宋体" w:cs="宋体"/>
                <w:b w:val="0"/>
                <w:bCs w:val="0"/>
                <w:color w:val="000000"/>
                <w:kern w:val="0"/>
                <w:sz w:val="28"/>
                <w:szCs w:val="28"/>
                <w:lang w:val="en-US" w:eastAsia="zh-CN"/>
              </w:rPr>
            </w:pPr>
            <w:r>
              <w:rPr>
                <w:rFonts w:hint="eastAsia" w:ascii="宋体" w:hAnsi="宋体" w:eastAsia="宋体" w:cs="宋体"/>
                <w:b w:val="0"/>
                <w:bCs w:val="0"/>
                <w:color w:val="000000"/>
                <w:kern w:val="0"/>
                <w:sz w:val="28"/>
                <w:szCs w:val="28"/>
                <w:lang w:val="en-US" w:eastAsia="zh-CN"/>
              </w:rPr>
              <w:t>执法执勤车辆</w:t>
            </w:r>
          </w:p>
        </w:tc>
        <w:tc>
          <w:tcPr>
            <w:tcW w:w="1591" w:type="dxa"/>
            <w:tcBorders>
              <w:top w:val="nil"/>
              <w:left w:val="nil"/>
              <w:bottom w:val="single" w:color="auto" w:sz="4" w:space="0"/>
              <w:right w:val="single" w:color="auto" w:sz="4" w:space="0"/>
            </w:tcBorders>
            <w:vAlign w:val="center"/>
          </w:tcPr>
          <w:p>
            <w:pPr>
              <w:widowControl/>
              <w:spacing w:line="520" w:lineRule="exact"/>
              <w:jc w:val="center"/>
              <w:rPr>
                <w:rFonts w:hint="eastAsia" w:ascii="宋体" w:hAnsi="宋体" w:eastAsia="宋体" w:cs="宋体"/>
                <w:b w:val="0"/>
                <w:bCs w:val="0"/>
                <w:color w:val="000000"/>
                <w:kern w:val="0"/>
                <w:sz w:val="28"/>
                <w:szCs w:val="28"/>
                <w:lang w:val="en-US" w:eastAsia="zh-CN"/>
              </w:rPr>
            </w:pPr>
            <w:r>
              <w:rPr>
                <w:rFonts w:hint="eastAsia" w:ascii="宋体" w:hAnsi="宋体" w:eastAsia="宋体" w:cs="宋体"/>
                <w:b w:val="0"/>
                <w:bCs w:val="0"/>
                <w:color w:val="000000"/>
                <w:kern w:val="0"/>
                <w:sz w:val="28"/>
                <w:szCs w:val="28"/>
                <w:lang w:val="en-US" w:eastAsia="zh-CN"/>
              </w:rPr>
              <w:t>2</w:t>
            </w:r>
          </w:p>
        </w:tc>
        <w:tc>
          <w:tcPr>
            <w:tcW w:w="3402" w:type="dxa"/>
            <w:tcBorders>
              <w:top w:val="nil"/>
              <w:left w:val="nil"/>
              <w:bottom w:val="single" w:color="auto" w:sz="4" w:space="0"/>
              <w:right w:val="single" w:color="auto" w:sz="4" w:space="0"/>
            </w:tcBorders>
            <w:vAlign w:val="center"/>
          </w:tcPr>
          <w:p>
            <w:pPr>
              <w:widowControl/>
              <w:spacing w:line="520" w:lineRule="exact"/>
              <w:jc w:val="center"/>
              <w:rPr>
                <w:rFonts w:hint="eastAsia" w:ascii="宋体" w:hAnsi="宋体" w:eastAsia="宋体" w:cs="宋体"/>
                <w:b w:val="0"/>
                <w:bCs w:val="0"/>
                <w:color w:val="000000"/>
                <w:kern w:val="0"/>
                <w:sz w:val="28"/>
                <w:szCs w:val="28"/>
                <w:lang w:val="en-US" w:eastAsia="zh-CN"/>
              </w:rPr>
            </w:pPr>
            <w:r>
              <w:rPr>
                <w:rFonts w:hint="eastAsia" w:ascii="宋体" w:hAnsi="宋体" w:eastAsia="宋体" w:cs="宋体"/>
                <w:b w:val="0"/>
                <w:bCs w:val="0"/>
                <w:color w:val="000000"/>
                <w:kern w:val="0"/>
                <w:sz w:val="28"/>
                <w:szCs w:val="28"/>
                <w:lang w:val="en-US" w:eastAsia="zh-CN"/>
              </w:rPr>
              <w:t>18</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hint="eastAsia" w:ascii="宋体" w:hAnsi="宋体" w:eastAsia="宋体" w:cs="宋体"/>
                <w:b w:val="0"/>
                <w:bCs w:val="0"/>
                <w:color w:val="000000"/>
                <w:kern w:val="0"/>
                <w:sz w:val="28"/>
                <w:szCs w:val="28"/>
                <w:lang w:eastAsia="zh-CN"/>
              </w:rPr>
            </w:pPr>
            <w:r>
              <w:rPr>
                <w:rFonts w:hint="eastAsia" w:ascii="宋体" w:hAnsi="宋体" w:eastAsia="宋体" w:cs="宋体"/>
                <w:b w:val="0"/>
                <w:bCs w:val="0"/>
                <w:color w:val="000000"/>
                <w:kern w:val="0"/>
                <w:sz w:val="28"/>
                <w:szCs w:val="28"/>
                <w:lang w:val="en-US" w:eastAsia="zh-CN"/>
              </w:rPr>
              <w:t>办公设备</w:t>
            </w:r>
          </w:p>
        </w:tc>
        <w:tc>
          <w:tcPr>
            <w:tcW w:w="1591" w:type="dxa"/>
            <w:tcBorders>
              <w:top w:val="nil"/>
              <w:left w:val="nil"/>
              <w:bottom w:val="single" w:color="auto" w:sz="4" w:space="0"/>
              <w:right w:val="single" w:color="auto" w:sz="4" w:space="0"/>
            </w:tcBorders>
            <w:vAlign w:val="center"/>
          </w:tcPr>
          <w:p>
            <w:pPr>
              <w:widowControl/>
              <w:spacing w:line="520" w:lineRule="exact"/>
              <w:jc w:val="center"/>
              <w:rPr>
                <w:rFonts w:hint="eastAsia" w:ascii="宋体" w:hAnsi="宋体" w:eastAsia="宋体" w:cs="宋体"/>
                <w:b w:val="0"/>
                <w:bCs w:val="0"/>
                <w:color w:val="000000"/>
                <w:kern w:val="0"/>
                <w:sz w:val="28"/>
                <w:szCs w:val="28"/>
                <w:lang w:val="en-US" w:eastAsia="zh-CN"/>
              </w:rPr>
            </w:pPr>
            <w:r>
              <w:rPr>
                <w:rFonts w:hint="eastAsia" w:ascii="宋体" w:hAnsi="宋体" w:eastAsia="宋体" w:cs="宋体"/>
                <w:b w:val="0"/>
                <w:bCs w:val="0"/>
                <w:color w:val="000000"/>
                <w:kern w:val="0"/>
                <w:sz w:val="28"/>
                <w:szCs w:val="28"/>
                <w:lang w:val="en-US" w:eastAsia="zh-CN"/>
              </w:rPr>
              <w:t>10</w:t>
            </w:r>
          </w:p>
        </w:tc>
        <w:tc>
          <w:tcPr>
            <w:tcW w:w="3402" w:type="dxa"/>
            <w:tcBorders>
              <w:top w:val="nil"/>
              <w:left w:val="nil"/>
              <w:bottom w:val="single" w:color="auto" w:sz="4" w:space="0"/>
              <w:right w:val="single" w:color="auto" w:sz="4" w:space="0"/>
            </w:tcBorders>
            <w:vAlign w:val="center"/>
          </w:tcPr>
          <w:p>
            <w:pPr>
              <w:widowControl/>
              <w:spacing w:line="520" w:lineRule="exact"/>
              <w:jc w:val="center"/>
              <w:rPr>
                <w:rFonts w:hint="eastAsia" w:ascii="宋体" w:hAnsi="宋体" w:eastAsia="宋体" w:cs="宋体"/>
                <w:b w:val="0"/>
                <w:bCs w:val="0"/>
                <w:color w:val="000000"/>
                <w:kern w:val="0"/>
                <w:sz w:val="28"/>
                <w:szCs w:val="28"/>
                <w:lang w:val="en-US" w:eastAsia="zh-CN"/>
              </w:rPr>
            </w:pPr>
            <w:r>
              <w:rPr>
                <w:rFonts w:hint="eastAsia" w:ascii="宋体" w:hAnsi="宋体" w:eastAsia="宋体" w:cs="宋体"/>
                <w:b w:val="0"/>
                <w:bCs w:val="0"/>
                <w:color w:val="000000"/>
                <w:kern w:val="0"/>
                <w:sz w:val="28"/>
                <w:szCs w:val="28"/>
                <w:lang w:val="en-US" w:eastAsia="zh-CN"/>
              </w:rPr>
              <w:t>8.4</w:t>
            </w:r>
          </w:p>
        </w:tc>
      </w:tr>
    </w:tbl>
    <w:p>
      <w:pPr>
        <w:spacing w:line="520" w:lineRule="exact"/>
        <w:ind w:firstLine="560" w:firstLineChars="200"/>
        <w:rPr>
          <w:rFonts w:hint="eastAsia" w:ascii="宋体" w:hAnsi="宋体" w:eastAsia="宋体" w:cs="宋体"/>
          <w:b w:val="0"/>
          <w:bCs w:val="0"/>
          <w:sz w:val="28"/>
          <w:szCs w:val="28"/>
        </w:rPr>
      </w:pPr>
    </w:p>
    <w:tbl>
      <w:tblPr>
        <w:tblStyle w:val="9"/>
        <w:tblW w:w="880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1"/>
        <w:gridCol w:w="1591"/>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804" w:type="dxa"/>
            <w:gridSpan w:val="3"/>
            <w:vAlign w:val="center"/>
          </w:tcPr>
          <w:p>
            <w:pPr>
              <w:widowControl/>
              <w:spacing w:line="520" w:lineRule="exact"/>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sz w:val="28"/>
                <w:szCs w:val="28"/>
              </w:rPr>
              <w:t>保定市满城区司法局固定资产占用情况表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804" w:type="dxa"/>
            <w:gridSpan w:val="3"/>
            <w:vAlign w:val="center"/>
          </w:tcPr>
          <w:p>
            <w:pPr>
              <w:widowControl/>
              <w:spacing w:line="520" w:lineRule="exact"/>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 xml:space="preserve">                           截止时间：20</w:t>
            </w:r>
            <w:r>
              <w:rPr>
                <w:rFonts w:hint="eastAsia" w:ascii="宋体" w:hAnsi="宋体" w:eastAsia="宋体" w:cs="宋体"/>
                <w:b w:val="0"/>
                <w:bCs w:val="0"/>
                <w:color w:val="000000"/>
                <w:kern w:val="0"/>
                <w:sz w:val="28"/>
                <w:szCs w:val="28"/>
                <w:lang w:val="en-US" w:eastAsia="zh-CN"/>
              </w:rPr>
              <w:t>20</w:t>
            </w:r>
            <w:r>
              <w:rPr>
                <w:rFonts w:hint="eastAsia" w:ascii="宋体" w:hAnsi="宋体" w:eastAsia="宋体" w:cs="宋体"/>
                <w:b w:val="0"/>
                <w:bCs w:val="0"/>
                <w:color w:val="000000"/>
                <w:kern w:val="0"/>
                <w:sz w:val="28"/>
                <w:szCs w:val="28"/>
              </w:rPr>
              <w:t>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811" w:type="dxa"/>
            <w:vAlign w:val="center"/>
          </w:tcPr>
          <w:p>
            <w:pPr>
              <w:widowControl/>
              <w:spacing w:line="520" w:lineRule="exact"/>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项　　目</w:t>
            </w:r>
          </w:p>
        </w:tc>
        <w:tc>
          <w:tcPr>
            <w:tcW w:w="1591" w:type="dxa"/>
            <w:vAlign w:val="center"/>
          </w:tcPr>
          <w:p>
            <w:pPr>
              <w:widowControl/>
              <w:spacing w:line="520" w:lineRule="exact"/>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数量</w:t>
            </w:r>
          </w:p>
        </w:tc>
        <w:tc>
          <w:tcPr>
            <w:tcW w:w="3402" w:type="dxa"/>
            <w:vAlign w:val="center"/>
          </w:tcPr>
          <w:p>
            <w:pPr>
              <w:widowControl/>
              <w:spacing w:line="520" w:lineRule="exact"/>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811" w:type="dxa"/>
            <w:vAlign w:val="center"/>
          </w:tcPr>
          <w:p>
            <w:pPr>
              <w:widowControl/>
              <w:spacing w:line="520" w:lineRule="exact"/>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固定资产总额</w:t>
            </w:r>
          </w:p>
        </w:tc>
        <w:tc>
          <w:tcPr>
            <w:tcW w:w="1591" w:type="dxa"/>
            <w:vAlign w:val="center"/>
          </w:tcPr>
          <w:p>
            <w:pPr>
              <w:widowControl/>
              <w:spacing w:line="520" w:lineRule="exact"/>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w:t>
            </w:r>
          </w:p>
        </w:tc>
        <w:tc>
          <w:tcPr>
            <w:tcW w:w="3402" w:type="dxa"/>
            <w:vAlign w:val="center"/>
          </w:tcPr>
          <w:p>
            <w:pPr>
              <w:widowControl/>
              <w:spacing w:line="520" w:lineRule="exact"/>
              <w:jc w:val="center"/>
              <w:rPr>
                <w:rFonts w:hint="eastAsia" w:ascii="宋体" w:hAnsi="宋体" w:eastAsia="宋体" w:cs="宋体"/>
                <w:b w:val="0"/>
                <w:bCs w:val="0"/>
                <w:color w:val="000000"/>
                <w:kern w:val="0"/>
                <w:sz w:val="28"/>
                <w:szCs w:val="28"/>
                <w:lang w:val="en-US"/>
              </w:rPr>
            </w:pPr>
            <w:r>
              <w:rPr>
                <w:rFonts w:hint="eastAsia" w:ascii="宋体" w:hAnsi="宋体" w:eastAsia="宋体" w:cs="宋体"/>
                <w:b w:val="0"/>
                <w:bCs w:val="0"/>
                <w:color w:val="000000"/>
                <w:kern w:val="0"/>
                <w:sz w:val="28"/>
                <w:szCs w:val="28"/>
                <w:lang w:val="en-US" w:eastAsia="zh-CN"/>
              </w:rPr>
              <w:t>227.4518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3811" w:type="dxa"/>
            <w:vAlign w:val="center"/>
          </w:tcPr>
          <w:p>
            <w:pPr>
              <w:widowControl/>
              <w:spacing w:line="52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 xml:space="preserve">  1、房屋（平方米）</w:t>
            </w:r>
          </w:p>
        </w:tc>
        <w:tc>
          <w:tcPr>
            <w:tcW w:w="1591" w:type="dxa"/>
            <w:vAlign w:val="center"/>
          </w:tcPr>
          <w:p>
            <w:pPr>
              <w:widowControl/>
              <w:spacing w:line="520" w:lineRule="exact"/>
              <w:jc w:val="center"/>
              <w:rPr>
                <w:rFonts w:hint="eastAsia" w:ascii="宋体" w:hAnsi="宋体" w:eastAsia="宋体" w:cs="宋体"/>
                <w:b w:val="0"/>
                <w:bCs w:val="0"/>
                <w:color w:val="000000"/>
                <w:kern w:val="0"/>
                <w:sz w:val="28"/>
                <w:szCs w:val="28"/>
              </w:rPr>
            </w:pPr>
          </w:p>
        </w:tc>
        <w:tc>
          <w:tcPr>
            <w:tcW w:w="3402" w:type="dxa"/>
            <w:vAlign w:val="center"/>
          </w:tcPr>
          <w:p>
            <w:pPr>
              <w:widowControl/>
              <w:spacing w:line="520" w:lineRule="exact"/>
              <w:jc w:val="center"/>
              <w:rPr>
                <w:rFonts w:hint="eastAsia" w:ascii="宋体" w:hAnsi="宋体" w:eastAsia="宋体" w:cs="宋体"/>
                <w:b w:val="0"/>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811" w:type="dxa"/>
            <w:vAlign w:val="center"/>
          </w:tcPr>
          <w:p>
            <w:pPr>
              <w:spacing w:line="52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 xml:space="preserve">   其中：办公用房（平方米）</w:t>
            </w:r>
          </w:p>
        </w:tc>
        <w:tc>
          <w:tcPr>
            <w:tcW w:w="1591" w:type="dxa"/>
            <w:vAlign w:val="center"/>
          </w:tcPr>
          <w:p>
            <w:pPr>
              <w:spacing w:line="520" w:lineRule="exact"/>
              <w:jc w:val="center"/>
              <w:rPr>
                <w:rFonts w:hint="eastAsia" w:ascii="宋体" w:hAnsi="宋体" w:eastAsia="宋体" w:cs="宋体"/>
                <w:b w:val="0"/>
                <w:bCs w:val="0"/>
                <w:color w:val="000000"/>
                <w:kern w:val="0"/>
                <w:sz w:val="28"/>
                <w:szCs w:val="28"/>
              </w:rPr>
            </w:pPr>
          </w:p>
        </w:tc>
        <w:tc>
          <w:tcPr>
            <w:tcW w:w="3402" w:type="dxa"/>
            <w:vAlign w:val="center"/>
          </w:tcPr>
          <w:p>
            <w:pPr>
              <w:spacing w:line="520" w:lineRule="exact"/>
              <w:jc w:val="center"/>
              <w:rPr>
                <w:rFonts w:hint="eastAsia" w:ascii="宋体" w:hAnsi="宋体" w:eastAsia="宋体" w:cs="宋体"/>
                <w:b w:val="0"/>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811" w:type="dxa"/>
            <w:vAlign w:val="center"/>
          </w:tcPr>
          <w:p>
            <w:pPr>
              <w:widowControl/>
              <w:spacing w:line="52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 xml:space="preserve">  2、车辆（台、辆）</w:t>
            </w:r>
          </w:p>
        </w:tc>
        <w:tc>
          <w:tcPr>
            <w:tcW w:w="1591" w:type="dxa"/>
            <w:vAlign w:val="center"/>
          </w:tcPr>
          <w:p>
            <w:pPr>
              <w:widowControl/>
              <w:spacing w:line="520" w:lineRule="exact"/>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12</w:t>
            </w:r>
          </w:p>
        </w:tc>
        <w:tc>
          <w:tcPr>
            <w:tcW w:w="3402" w:type="dxa"/>
            <w:vAlign w:val="center"/>
          </w:tcPr>
          <w:p>
            <w:pPr>
              <w:widowControl/>
              <w:spacing w:line="520" w:lineRule="exact"/>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52.0233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3811" w:type="dxa"/>
            <w:vAlign w:val="center"/>
          </w:tcPr>
          <w:p>
            <w:pPr>
              <w:widowControl/>
              <w:spacing w:line="52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 xml:space="preserve">  3、单价在20万元以上的设备</w:t>
            </w:r>
          </w:p>
        </w:tc>
        <w:tc>
          <w:tcPr>
            <w:tcW w:w="1591" w:type="dxa"/>
            <w:vAlign w:val="center"/>
          </w:tcPr>
          <w:p>
            <w:pPr>
              <w:widowControl/>
              <w:spacing w:line="520" w:lineRule="exact"/>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w:t>
            </w:r>
          </w:p>
        </w:tc>
        <w:tc>
          <w:tcPr>
            <w:tcW w:w="3402" w:type="dxa"/>
            <w:vAlign w:val="center"/>
          </w:tcPr>
          <w:p>
            <w:pPr>
              <w:widowControl/>
              <w:spacing w:line="520" w:lineRule="exact"/>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811" w:type="dxa"/>
            <w:vAlign w:val="center"/>
          </w:tcPr>
          <w:p>
            <w:pPr>
              <w:spacing w:line="52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 xml:space="preserve">  4、其他固定资产</w:t>
            </w:r>
          </w:p>
        </w:tc>
        <w:tc>
          <w:tcPr>
            <w:tcW w:w="1591" w:type="dxa"/>
            <w:vAlign w:val="center"/>
          </w:tcPr>
          <w:p>
            <w:pPr>
              <w:spacing w:line="520" w:lineRule="exact"/>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w:t>
            </w:r>
          </w:p>
        </w:tc>
        <w:tc>
          <w:tcPr>
            <w:tcW w:w="3402" w:type="dxa"/>
            <w:vAlign w:val="center"/>
          </w:tcPr>
          <w:p>
            <w:pPr>
              <w:spacing w:line="520" w:lineRule="exact"/>
              <w:jc w:val="center"/>
              <w:rPr>
                <w:rFonts w:hint="eastAsia" w:ascii="宋体" w:hAnsi="宋体" w:eastAsia="宋体" w:cs="宋体"/>
                <w:b w:val="0"/>
                <w:bCs w:val="0"/>
                <w:color w:val="000000"/>
                <w:kern w:val="0"/>
                <w:sz w:val="28"/>
                <w:szCs w:val="28"/>
                <w:lang w:val="en-US" w:eastAsia="zh-CN"/>
              </w:rPr>
            </w:pPr>
            <w:r>
              <w:rPr>
                <w:rFonts w:hint="eastAsia" w:ascii="宋体" w:hAnsi="宋体" w:eastAsia="宋体" w:cs="宋体"/>
                <w:b w:val="0"/>
                <w:bCs w:val="0"/>
                <w:color w:val="000000"/>
                <w:kern w:val="0"/>
                <w:sz w:val="28"/>
                <w:szCs w:val="28"/>
                <w:lang w:val="en-US" w:eastAsia="zh-CN"/>
              </w:rPr>
              <w:t>175.4285</w:t>
            </w:r>
          </w:p>
        </w:tc>
      </w:tr>
    </w:tbl>
    <w:p>
      <w:pPr>
        <w:spacing w:line="520" w:lineRule="exact"/>
        <w:ind w:firstLine="560" w:firstLineChars="200"/>
        <w:rPr>
          <w:rFonts w:hint="eastAsia" w:ascii="宋体" w:hAnsi="宋体" w:eastAsia="宋体" w:cs="宋体"/>
          <w:b w:val="0"/>
          <w:bCs w:val="0"/>
          <w:sz w:val="28"/>
          <w:szCs w:val="28"/>
        </w:rPr>
      </w:pPr>
    </w:p>
    <w:p>
      <w:pPr>
        <w:spacing w:line="520" w:lineRule="exact"/>
        <w:jc w:val="center"/>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第八部分：名词解释</w:t>
      </w:r>
    </w:p>
    <w:p>
      <w:pPr>
        <w:spacing w:line="520" w:lineRule="exact"/>
        <w:jc w:val="center"/>
        <w:outlineLvl w:val="0"/>
        <w:rPr>
          <w:rFonts w:hint="eastAsia" w:ascii="宋体" w:hAnsi="宋体" w:eastAsia="宋体" w:cs="宋体"/>
          <w:b w:val="0"/>
          <w:bCs w:val="0"/>
          <w:sz w:val="28"/>
          <w:szCs w:val="28"/>
        </w:rPr>
      </w:pPr>
    </w:p>
    <w:p>
      <w:pPr>
        <w:spacing w:line="520" w:lineRule="exact"/>
        <w:ind w:firstLine="560" w:firstLineChars="200"/>
        <w:jc w:val="left"/>
        <w:outlineLvl w:val="0"/>
        <w:rPr>
          <w:rFonts w:hint="eastAsia" w:ascii="宋体" w:hAnsi="宋体" w:eastAsia="宋体" w:cs="宋体"/>
          <w:b w:val="0"/>
          <w:bCs w:val="0"/>
          <w:sz w:val="28"/>
          <w:szCs w:val="28"/>
        </w:rPr>
      </w:pPr>
      <w:r>
        <w:rPr>
          <w:rFonts w:hint="eastAsia" w:ascii="宋体" w:hAnsi="宋体" w:eastAsia="宋体" w:cs="宋体"/>
          <w:b w:val="0"/>
          <w:bCs w:val="0"/>
          <w:sz w:val="28"/>
          <w:szCs w:val="28"/>
        </w:rPr>
        <w:t>1、财政拨款收入：指区级财政当年拨付的资金。</w:t>
      </w:r>
    </w:p>
    <w:p>
      <w:pPr>
        <w:spacing w:line="520" w:lineRule="exact"/>
        <w:ind w:firstLine="560" w:firstLineChars="200"/>
        <w:jc w:val="left"/>
        <w:outlineLvl w:val="0"/>
        <w:rPr>
          <w:rFonts w:hint="eastAsia" w:ascii="宋体" w:hAnsi="宋体" w:eastAsia="宋体" w:cs="宋体"/>
          <w:b w:val="0"/>
          <w:bCs w:val="0"/>
          <w:sz w:val="28"/>
          <w:szCs w:val="28"/>
        </w:rPr>
      </w:pPr>
      <w:r>
        <w:rPr>
          <w:rFonts w:hint="eastAsia" w:ascii="宋体" w:hAnsi="宋体" w:eastAsia="宋体" w:cs="宋体"/>
          <w:b w:val="0"/>
          <w:bCs w:val="0"/>
          <w:sz w:val="28"/>
          <w:szCs w:val="28"/>
        </w:rPr>
        <w:t>2、其他收入：指除上述“财政拨款收入”、“事业收入”等以外的收入。</w:t>
      </w:r>
    </w:p>
    <w:p>
      <w:pPr>
        <w:spacing w:line="520" w:lineRule="exact"/>
        <w:ind w:firstLine="560" w:firstLineChars="200"/>
        <w:jc w:val="left"/>
        <w:outlineLvl w:val="0"/>
        <w:rPr>
          <w:rFonts w:hint="eastAsia" w:ascii="宋体" w:hAnsi="宋体" w:eastAsia="宋体" w:cs="宋体"/>
          <w:b w:val="0"/>
          <w:bCs w:val="0"/>
          <w:sz w:val="28"/>
          <w:szCs w:val="28"/>
        </w:rPr>
      </w:pPr>
      <w:r>
        <w:rPr>
          <w:rFonts w:hint="eastAsia" w:ascii="宋体" w:hAnsi="宋体" w:eastAsia="宋体" w:cs="宋体"/>
          <w:b w:val="0"/>
          <w:bCs w:val="0"/>
          <w:sz w:val="28"/>
          <w:szCs w:val="28"/>
        </w:rPr>
        <w:t>3、基本支出：指为保障机构正常运转、完成日常工作任务而发生的人员支出和公用支出。</w:t>
      </w:r>
    </w:p>
    <w:p>
      <w:pPr>
        <w:spacing w:line="520" w:lineRule="exact"/>
        <w:ind w:firstLine="560" w:firstLineChars="200"/>
        <w:jc w:val="left"/>
        <w:outlineLvl w:val="0"/>
        <w:rPr>
          <w:rFonts w:hint="eastAsia" w:ascii="宋体" w:hAnsi="宋体" w:eastAsia="宋体" w:cs="宋体"/>
          <w:b w:val="0"/>
          <w:bCs w:val="0"/>
          <w:sz w:val="28"/>
          <w:szCs w:val="28"/>
        </w:rPr>
      </w:pPr>
      <w:r>
        <w:rPr>
          <w:rFonts w:hint="eastAsia" w:ascii="宋体" w:hAnsi="宋体" w:eastAsia="宋体" w:cs="宋体"/>
          <w:b w:val="0"/>
          <w:bCs w:val="0"/>
          <w:sz w:val="28"/>
          <w:szCs w:val="28"/>
        </w:rPr>
        <w:t>4、项目支出：指在基本支出之外为完成特定行政任务和事业发展目标所发生的支出。</w:t>
      </w:r>
    </w:p>
    <w:p>
      <w:pPr>
        <w:spacing w:line="520" w:lineRule="exact"/>
        <w:ind w:firstLine="560" w:firstLineChars="200"/>
        <w:jc w:val="left"/>
        <w:outlineLvl w:val="0"/>
        <w:rPr>
          <w:rFonts w:hint="eastAsia" w:ascii="宋体" w:hAnsi="宋体" w:eastAsia="宋体" w:cs="宋体"/>
          <w:b w:val="0"/>
          <w:bCs w:val="0"/>
          <w:sz w:val="28"/>
          <w:szCs w:val="28"/>
        </w:rPr>
      </w:pPr>
      <w:r>
        <w:rPr>
          <w:rFonts w:hint="eastAsia" w:ascii="宋体" w:hAnsi="宋体" w:eastAsia="宋体" w:cs="宋体"/>
          <w:b w:val="0"/>
          <w:bCs w:val="0"/>
          <w:sz w:val="28"/>
          <w:szCs w:val="28"/>
        </w:rPr>
        <w:t>5、“三公”经费：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20" w:lineRule="exact"/>
        <w:ind w:firstLine="700" w:firstLineChars="250"/>
        <w:rPr>
          <w:rFonts w:hint="eastAsia" w:ascii="宋体" w:hAnsi="宋体" w:eastAsia="宋体" w:cs="宋体"/>
          <w:b w:val="0"/>
          <w:bCs w:val="0"/>
          <w:sz w:val="28"/>
          <w:szCs w:val="28"/>
        </w:rPr>
      </w:pPr>
      <w:r>
        <w:rPr>
          <w:rFonts w:hint="eastAsia" w:ascii="宋体" w:hAnsi="宋体" w:eastAsia="宋体" w:cs="宋体"/>
          <w:b w:val="0"/>
          <w:bCs w:val="0"/>
          <w:sz w:val="28"/>
          <w:szCs w:val="28"/>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ind w:firstLine="700" w:firstLineChars="250"/>
        <w:rPr>
          <w:rFonts w:hint="eastAsia" w:ascii="宋体" w:hAnsi="宋体" w:eastAsia="宋体" w:cs="宋体"/>
          <w:b w:val="0"/>
          <w:bCs w:val="0"/>
          <w:sz w:val="28"/>
          <w:szCs w:val="28"/>
        </w:rPr>
      </w:pPr>
      <w:r>
        <w:rPr>
          <w:rFonts w:hint="eastAsia" w:ascii="宋体" w:hAnsi="宋体" w:eastAsia="宋体" w:cs="宋体"/>
          <w:b w:val="0"/>
          <w:bCs w:val="0"/>
          <w:sz w:val="28"/>
          <w:szCs w:val="28"/>
        </w:rPr>
        <w:t>7、公务费：包括办公费、水电费、邮电费、取暖费、交通费、一般会议费和物业管理费之和。</w:t>
      </w:r>
    </w:p>
    <w:p>
      <w:pPr>
        <w:spacing w:line="520" w:lineRule="exact"/>
        <w:ind w:firstLine="548" w:firstLineChars="196"/>
        <w:jc w:val="center"/>
        <w:outlineLvl w:val="0"/>
        <w:rPr>
          <w:rFonts w:hint="eastAsia" w:ascii="宋体" w:hAnsi="宋体" w:eastAsia="宋体" w:cs="宋体"/>
          <w:b w:val="0"/>
          <w:bCs w:val="0"/>
          <w:sz w:val="28"/>
          <w:szCs w:val="28"/>
        </w:rPr>
      </w:pPr>
    </w:p>
    <w:p>
      <w:pPr>
        <w:spacing w:line="520" w:lineRule="exact"/>
        <w:jc w:val="center"/>
        <w:outlineLvl w:val="0"/>
        <w:rPr>
          <w:rFonts w:hint="eastAsia" w:ascii="宋体" w:hAnsi="宋体" w:eastAsia="宋体" w:cs="宋体"/>
          <w:b w:val="0"/>
          <w:bCs w:val="0"/>
          <w:sz w:val="32"/>
          <w:szCs w:val="32"/>
        </w:rPr>
      </w:pPr>
      <w:r>
        <w:rPr>
          <w:rFonts w:hint="eastAsia" w:ascii="宋体" w:hAnsi="宋体" w:eastAsia="宋体" w:cs="宋体"/>
          <w:b w:val="0"/>
          <w:bCs w:val="0"/>
          <w:sz w:val="32"/>
          <w:szCs w:val="32"/>
        </w:rPr>
        <w:t>第九部分：其他需说明的事项</w:t>
      </w:r>
    </w:p>
    <w:p>
      <w:pPr>
        <w:spacing w:line="520" w:lineRule="exact"/>
        <w:ind w:firstLine="1106" w:firstLineChars="395"/>
        <w:jc w:val="left"/>
        <w:outlineLvl w:val="0"/>
        <w:rPr>
          <w:rFonts w:hint="eastAsia" w:ascii="宋体" w:hAnsi="宋体" w:eastAsia="宋体" w:cs="宋体"/>
          <w:b w:val="0"/>
          <w:bCs w:val="0"/>
          <w:sz w:val="28"/>
          <w:szCs w:val="28"/>
        </w:rPr>
      </w:pPr>
    </w:p>
    <w:p>
      <w:pPr>
        <w:spacing w:line="520" w:lineRule="exact"/>
        <w:ind w:firstLine="560" w:firstLineChars="200"/>
        <w:jc w:val="left"/>
        <w:outlineLvl w:val="0"/>
        <w:rPr>
          <w:rFonts w:hint="eastAsia" w:ascii="宋体" w:hAnsi="宋体" w:eastAsia="宋体" w:cs="宋体"/>
          <w:b w:val="0"/>
          <w:bCs w:val="0"/>
          <w:sz w:val="28"/>
          <w:szCs w:val="28"/>
        </w:rPr>
      </w:pPr>
      <w:r>
        <w:rPr>
          <w:rFonts w:hint="eastAsia" w:ascii="宋体" w:hAnsi="宋体" w:eastAsia="宋体" w:cs="宋体"/>
          <w:b w:val="0"/>
          <w:bCs w:val="0"/>
          <w:sz w:val="28"/>
          <w:szCs w:val="28"/>
        </w:rPr>
        <w:t>无其他需说明的事项。</w:t>
      </w:r>
    </w:p>
    <w:p>
      <w:pPr>
        <w:spacing w:line="520" w:lineRule="exact"/>
        <w:ind w:firstLine="560" w:firstLineChars="200"/>
        <w:rPr>
          <w:rFonts w:hint="eastAsia" w:ascii="宋体" w:hAnsi="宋体" w:eastAsia="宋体" w:cs="宋体"/>
          <w:b w:val="0"/>
          <w:bCs w:val="0"/>
          <w:sz w:val="28"/>
          <w:szCs w:val="28"/>
        </w:rPr>
      </w:pPr>
    </w:p>
    <w:p>
      <w:pPr>
        <w:spacing w:line="520" w:lineRule="exact"/>
        <w:ind w:firstLine="560" w:firstLineChars="200"/>
        <w:rPr>
          <w:rFonts w:hint="eastAsia" w:ascii="宋体" w:hAnsi="宋体" w:eastAsia="宋体" w:cs="宋体"/>
          <w:b w:val="0"/>
          <w:bCs w:val="0"/>
          <w:sz w:val="28"/>
          <w:szCs w:val="28"/>
        </w:rPr>
      </w:pPr>
    </w:p>
    <w:p>
      <w:pPr>
        <w:spacing w:line="520" w:lineRule="exact"/>
        <w:ind w:firstLine="560" w:firstLineChars="200"/>
        <w:rPr>
          <w:rFonts w:hint="eastAsia" w:ascii="宋体" w:hAnsi="宋体" w:eastAsia="宋体" w:cs="宋体"/>
          <w:b w:val="0"/>
          <w:bCs w:val="0"/>
          <w:sz w:val="28"/>
          <w:szCs w:val="28"/>
        </w:rPr>
      </w:pPr>
    </w:p>
    <w:p>
      <w:pPr>
        <w:spacing w:line="520" w:lineRule="exact"/>
        <w:rPr>
          <w:rFonts w:hint="eastAsia" w:ascii="宋体" w:hAnsi="宋体" w:eastAsia="宋体" w:cs="宋体"/>
          <w:b w:val="0"/>
          <w:bCs w:val="0"/>
          <w:sz w:val="28"/>
          <w:szCs w:val="28"/>
        </w:rPr>
      </w:pPr>
    </w:p>
    <w:sectPr>
      <w:headerReference r:id="rId3" w:type="default"/>
      <w:pgSz w:w="11907" w:h="16839"/>
      <w:pgMar w:top="1531" w:right="1134" w:bottom="147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lODA0YjBmMzFmYjg3YmVmMWM2M2I1OTg0NzJhNWQifQ=="/>
  </w:docVars>
  <w:rsids>
    <w:rsidRoot w:val="0085454A"/>
    <w:rsid w:val="00033FB3"/>
    <w:rsid w:val="00046285"/>
    <w:rsid w:val="00050849"/>
    <w:rsid w:val="00065216"/>
    <w:rsid w:val="0007603E"/>
    <w:rsid w:val="00082C9E"/>
    <w:rsid w:val="00090198"/>
    <w:rsid w:val="000D107E"/>
    <w:rsid w:val="000D6689"/>
    <w:rsid w:val="000E116C"/>
    <w:rsid w:val="000F739C"/>
    <w:rsid w:val="00104CD0"/>
    <w:rsid w:val="001278BF"/>
    <w:rsid w:val="00130BCA"/>
    <w:rsid w:val="00155ED9"/>
    <w:rsid w:val="00175A44"/>
    <w:rsid w:val="001802DE"/>
    <w:rsid w:val="001916F0"/>
    <w:rsid w:val="001918AB"/>
    <w:rsid w:val="001D398B"/>
    <w:rsid w:val="001E6E90"/>
    <w:rsid w:val="001F48EF"/>
    <w:rsid w:val="00200BFF"/>
    <w:rsid w:val="00201AAB"/>
    <w:rsid w:val="00202B52"/>
    <w:rsid w:val="00212F1D"/>
    <w:rsid w:val="002132E0"/>
    <w:rsid w:val="0021589B"/>
    <w:rsid w:val="0022096D"/>
    <w:rsid w:val="002407BD"/>
    <w:rsid w:val="002434C5"/>
    <w:rsid w:val="00243BF8"/>
    <w:rsid w:val="00276AF4"/>
    <w:rsid w:val="00282EA4"/>
    <w:rsid w:val="002B770D"/>
    <w:rsid w:val="002C59DD"/>
    <w:rsid w:val="002E7E4A"/>
    <w:rsid w:val="00300820"/>
    <w:rsid w:val="003038F0"/>
    <w:rsid w:val="0030655C"/>
    <w:rsid w:val="00314A9F"/>
    <w:rsid w:val="00315F46"/>
    <w:rsid w:val="003213EA"/>
    <w:rsid w:val="00333791"/>
    <w:rsid w:val="0034738E"/>
    <w:rsid w:val="00364571"/>
    <w:rsid w:val="003724F9"/>
    <w:rsid w:val="003A6E81"/>
    <w:rsid w:val="003B6219"/>
    <w:rsid w:val="003D10E0"/>
    <w:rsid w:val="003D7562"/>
    <w:rsid w:val="003E1B79"/>
    <w:rsid w:val="003F15E8"/>
    <w:rsid w:val="00401AC8"/>
    <w:rsid w:val="00404430"/>
    <w:rsid w:val="00412566"/>
    <w:rsid w:val="004316D0"/>
    <w:rsid w:val="0045161A"/>
    <w:rsid w:val="00453B31"/>
    <w:rsid w:val="00454F8D"/>
    <w:rsid w:val="0046496C"/>
    <w:rsid w:val="004660FD"/>
    <w:rsid w:val="00473B03"/>
    <w:rsid w:val="00481027"/>
    <w:rsid w:val="004904B1"/>
    <w:rsid w:val="004928EB"/>
    <w:rsid w:val="00495AF3"/>
    <w:rsid w:val="004C62E4"/>
    <w:rsid w:val="004D47DC"/>
    <w:rsid w:val="004D7BFB"/>
    <w:rsid w:val="004E7F67"/>
    <w:rsid w:val="00504599"/>
    <w:rsid w:val="005066D5"/>
    <w:rsid w:val="00514023"/>
    <w:rsid w:val="00534680"/>
    <w:rsid w:val="00560BAB"/>
    <w:rsid w:val="005709E0"/>
    <w:rsid w:val="005802A2"/>
    <w:rsid w:val="005C1FB5"/>
    <w:rsid w:val="005C536F"/>
    <w:rsid w:val="0061166B"/>
    <w:rsid w:val="0062483B"/>
    <w:rsid w:val="006259A6"/>
    <w:rsid w:val="006274DB"/>
    <w:rsid w:val="006614DA"/>
    <w:rsid w:val="006750DA"/>
    <w:rsid w:val="006834C1"/>
    <w:rsid w:val="00686205"/>
    <w:rsid w:val="006C24F9"/>
    <w:rsid w:val="006F6D16"/>
    <w:rsid w:val="00700AF5"/>
    <w:rsid w:val="0070531C"/>
    <w:rsid w:val="00721A10"/>
    <w:rsid w:val="0072391C"/>
    <w:rsid w:val="007304E6"/>
    <w:rsid w:val="00734463"/>
    <w:rsid w:val="007442E2"/>
    <w:rsid w:val="00750B64"/>
    <w:rsid w:val="007555D5"/>
    <w:rsid w:val="00783207"/>
    <w:rsid w:val="00787D65"/>
    <w:rsid w:val="00795434"/>
    <w:rsid w:val="007A6F36"/>
    <w:rsid w:val="007C5565"/>
    <w:rsid w:val="007D012B"/>
    <w:rsid w:val="007E259A"/>
    <w:rsid w:val="007E3316"/>
    <w:rsid w:val="007E371F"/>
    <w:rsid w:val="007E5B73"/>
    <w:rsid w:val="008038AE"/>
    <w:rsid w:val="00803C20"/>
    <w:rsid w:val="00806938"/>
    <w:rsid w:val="008514DB"/>
    <w:rsid w:val="0085454A"/>
    <w:rsid w:val="00865E0B"/>
    <w:rsid w:val="00871150"/>
    <w:rsid w:val="00884B22"/>
    <w:rsid w:val="0089464D"/>
    <w:rsid w:val="008B08DE"/>
    <w:rsid w:val="008B7CA3"/>
    <w:rsid w:val="008C3EAE"/>
    <w:rsid w:val="008F30FD"/>
    <w:rsid w:val="008F5011"/>
    <w:rsid w:val="008F5CC8"/>
    <w:rsid w:val="008F7063"/>
    <w:rsid w:val="00920FA3"/>
    <w:rsid w:val="0092513B"/>
    <w:rsid w:val="009401DD"/>
    <w:rsid w:val="00951C8D"/>
    <w:rsid w:val="0095341E"/>
    <w:rsid w:val="00954813"/>
    <w:rsid w:val="009562DD"/>
    <w:rsid w:val="00957B72"/>
    <w:rsid w:val="0096153F"/>
    <w:rsid w:val="00971DD8"/>
    <w:rsid w:val="00980536"/>
    <w:rsid w:val="00980BCF"/>
    <w:rsid w:val="00985465"/>
    <w:rsid w:val="0098629E"/>
    <w:rsid w:val="00992D55"/>
    <w:rsid w:val="009E59EB"/>
    <w:rsid w:val="009E70D7"/>
    <w:rsid w:val="009F7C43"/>
    <w:rsid w:val="00A1099E"/>
    <w:rsid w:val="00A2078E"/>
    <w:rsid w:val="00A21A72"/>
    <w:rsid w:val="00A36B3B"/>
    <w:rsid w:val="00A43CFC"/>
    <w:rsid w:val="00A545D5"/>
    <w:rsid w:val="00A60BE5"/>
    <w:rsid w:val="00A66840"/>
    <w:rsid w:val="00A66A0E"/>
    <w:rsid w:val="00A929B4"/>
    <w:rsid w:val="00AC68B4"/>
    <w:rsid w:val="00AF5A7A"/>
    <w:rsid w:val="00AF5C02"/>
    <w:rsid w:val="00B14F1A"/>
    <w:rsid w:val="00B51950"/>
    <w:rsid w:val="00B610DF"/>
    <w:rsid w:val="00B65B9B"/>
    <w:rsid w:val="00B83537"/>
    <w:rsid w:val="00B85AC4"/>
    <w:rsid w:val="00B9197D"/>
    <w:rsid w:val="00B9552C"/>
    <w:rsid w:val="00BD4EC9"/>
    <w:rsid w:val="00BF5972"/>
    <w:rsid w:val="00C1718A"/>
    <w:rsid w:val="00C17C37"/>
    <w:rsid w:val="00C237E5"/>
    <w:rsid w:val="00C24C14"/>
    <w:rsid w:val="00C27FA8"/>
    <w:rsid w:val="00C3164D"/>
    <w:rsid w:val="00C66471"/>
    <w:rsid w:val="00C81E43"/>
    <w:rsid w:val="00C82B49"/>
    <w:rsid w:val="00CA4AFC"/>
    <w:rsid w:val="00CA5E9D"/>
    <w:rsid w:val="00CC0E81"/>
    <w:rsid w:val="00CE0B7F"/>
    <w:rsid w:val="00CE177D"/>
    <w:rsid w:val="00CE3E36"/>
    <w:rsid w:val="00D1269E"/>
    <w:rsid w:val="00D46E49"/>
    <w:rsid w:val="00D55244"/>
    <w:rsid w:val="00D55D81"/>
    <w:rsid w:val="00D65EC7"/>
    <w:rsid w:val="00D66940"/>
    <w:rsid w:val="00D67956"/>
    <w:rsid w:val="00D778F9"/>
    <w:rsid w:val="00D77E04"/>
    <w:rsid w:val="00D92117"/>
    <w:rsid w:val="00D9388D"/>
    <w:rsid w:val="00DB3DDB"/>
    <w:rsid w:val="00DE2DEA"/>
    <w:rsid w:val="00E1018E"/>
    <w:rsid w:val="00E11C7C"/>
    <w:rsid w:val="00E152D1"/>
    <w:rsid w:val="00E243A1"/>
    <w:rsid w:val="00E33FC6"/>
    <w:rsid w:val="00E50FC7"/>
    <w:rsid w:val="00E707E4"/>
    <w:rsid w:val="00E73107"/>
    <w:rsid w:val="00E95104"/>
    <w:rsid w:val="00E978DC"/>
    <w:rsid w:val="00EA4CAF"/>
    <w:rsid w:val="00EB4E99"/>
    <w:rsid w:val="00EC6884"/>
    <w:rsid w:val="00ED555F"/>
    <w:rsid w:val="00EF16CE"/>
    <w:rsid w:val="00EF3164"/>
    <w:rsid w:val="00EF3CCA"/>
    <w:rsid w:val="00F05632"/>
    <w:rsid w:val="00F26572"/>
    <w:rsid w:val="00F33146"/>
    <w:rsid w:val="00F54347"/>
    <w:rsid w:val="00F64905"/>
    <w:rsid w:val="00F66E0D"/>
    <w:rsid w:val="00F70FE1"/>
    <w:rsid w:val="00F71085"/>
    <w:rsid w:val="00F8372C"/>
    <w:rsid w:val="00F9078A"/>
    <w:rsid w:val="00FA017F"/>
    <w:rsid w:val="00FA1C59"/>
    <w:rsid w:val="00FC412A"/>
    <w:rsid w:val="00FD48D0"/>
    <w:rsid w:val="01CA5B1A"/>
    <w:rsid w:val="044825F7"/>
    <w:rsid w:val="05976F51"/>
    <w:rsid w:val="08A12D3A"/>
    <w:rsid w:val="0CCF76C5"/>
    <w:rsid w:val="12B51C32"/>
    <w:rsid w:val="15CC6DFD"/>
    <w:rsid w:val="19AC1601"/>
    <w:rsid w:val="1D325E0D"/>
    <w:rsid w:val="1DA80992"/>
    <w:rsid w:val="1E1F1D52"/>
    <w:rsid w:val="1FA979D3"/>
    <w:rsid w:val="20FB46E3"/>
    <w:rsid w:val="21516AC0"/>
    <w:rsid w:val="24795FD4"/>
    <w:rsid w:val="25821EBE"/>
    <w:rsid w:val="265026A5"/>
    <w:rsid w:val="327876EA"/>
    <w:rsid w:val="354E2CD7"/>
    <w:rsid w:val="39376AC1"/>
    <w:rsid w:val="40C162D1"/>
    <w:rsid w:val="43484AE5"/>
    <w:rsid w:val="48B80541"/>
    <w:rsid w:val="4BD226E5"/>
    <w:rsid w:val="4CAF24A6"/>
    <w:rsid w:val="4D700A65"/>
    <w:rsid w:val="4F674C17"/>
    <w:rsid w:val="52550519"/>
    <w:rsid w:val="550510E2"/>
    <w:rsid w:val="557A3484"/>
    <w:rsid w:val="55A0069F"/>
    <w:rsid w:val="58192FFE"/>
    <w:rsid w:val="5A9175D0"/>
    <w:rsid w:val="5B2E6970"/>
    <w:rsid w:val="62313DA1"/>
    <w:rsid w:val="68B552CB"/>
    <w:rsid w:val="6A4B4A8C"/>
    <w:rsid w:val="6BAD31CD"/>
    <w:rsid w:val="6CAD79B6"/>
    <w:rsid w:val="704051A1"/>
    <w:rsid w:val="794F63D4"/>
    <w:rsid w:val="79BD3B2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12"/>
    <w:autoRedefine/>
    <w:qFormat/>
    <w:uiPriority w:val="99"/>
    <w:pPr>
      <w:spacing w:line="420" w:lineRule="exact"/>
      <w:ind w:firstLine="630"/>
    </w:pPr>
    <w:rPr>
      <w:rFonts w:ascii="Times New Roman" w:hAnsi="Times New Roman" w:eastAsia="仿宋_GB2312"/>
      <w:sz w:val="32"/>
      <w:szCs w:val="24"/>
    </w:rPr>
  </w:style>
  <w:style w:type="paragraph" w:styleId="3">
    <w:name w:val="Balloon Text"/>
    <w:basedOn w:val="1"/>
    <w:link w:val="13"/>
    <w:autoRedefine/>
    <w:semiHidden/>
    <w:qFormat/>
    <w:uiPriority w:val="99"/>
    <w:rPr>
      <w:sz w:val="18"/>
      <w:szCs w:val="18"/>
    </w:rPr>
  </w:style>
  <w:style w:type="paragraph" w:styleId="4">
    <w:name w:val="footer"/>
    <w:basedOn w:val="1"/>
    <w:link w:val="14"/>
    <w:autoRedefine/>
    <w:qFormat/>
    <w:uiPriority w:val="99"/>
    <w:pPr>
      <w:tabs>
        <w:tab w:val="center" w:pos="4153"/>
        <w:tab w:val="right" w:pos="8306"/>
      </w:tabs>
      <w:snapToGrid w:val="0"/>
      <w:jc w:val="left"/>
    </w:pPr>
    <w:rPr>
      <w:sz w:val="18"/>
      <w:szCs w:val="18"/>
    </w:rPr>
  </w:style>
  <w:style w:type="paragraph" w:styleId="5">
    <w:name w:val="header"/>
    <w:basedOn w:val="1"/>
    <w:link w:val="15"/>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semiHidden/>
    <w:qFormat/>
    <w:uiPriority w:val="99"/>
  </w:style>
  <w:style w:type="paragraph" w:styleId="7">
    <w:name w:val="toc 2"/>
    <w:basedOn w:val="1"/>
    <w:next w:val="1"/>
    <w:autoRedefine/>
    <w:semiHidden/>
    <w:qFormat/>
    <w:uiPriority w:val="99"/>
    <w:pPr>
      <w:ind w:left="420" w:leftChars="200"/>
    </w:p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正文文本缩进 Char"/>
    <w:basedOn w:val="11"/>
    <w:link w:val="2"/>
    <w:autoRedefine/>
    <w:qFormat/>
    <w:locked/>
    <w:uiPriority w:val="99"/>
    <w:rPr>
      <w:rFonts w:ascii="Times New Roman" w:hAnsi="Times New Roman" w:eastAsia="仿宋_GB2312" w:cs="Times New Roman"/>
      <w:sz w:val="24"/>
      <w:szCs w:val="24"/>
    </w:rPr>
  </w:style>
  <w:style w:type="character" w:customStyle="1" w:styleId="13">
    <w:name w:val="批注框文本 Char"/>
    <w:basedOn w:val="11"/>
    <w:link w:val="3"/>
    <w:autoRedefine/>
    <w:semiHidden/>
    <w:qFormat/>
    <w:locked/>
    <w:uiPriority w:val="99"/>
    <w:rPr>
      <w:rFonts w:ascii="Calibri" w:hAnsi="Calibri" w:eastAsia="宋体" w:cs="Times New Roman"/>
      <w:sz w:val="18"/>
      <w:szCs w:val="18"/>
    </w:rPr>
  </w:style>
  <w:style w:type="character" w:customStyle="1" w:styleId="14">
    <w:name w:val="页脚 Char"/>
    <w:basedOn w:val="11"/>
    <w:link w:val="4"/>
    <w:autoRedefine/>
    <w:qFormat/>
    <w:locked/>
    <w:uiPriority w:val="99"/>
    <w:rPr>
      <w:rFonts w:cs="Times New Roman"/>
      <w:sz w:val="18"/>
      <w:szCs w:val="18"/>
    </w:rPr>
  </w:style>
  <w:style w:type="character" w:customStyle="1" w:styleId="15">
    <w:name w:val="页眉 Char"/>
    <w:basedOn w:val="11"/>
    <w:link w:val="5"/>
    <w:autoRedefine/>
    <w:qFormat/>
    <w:locked/>
    <w:uiPriority w:val="99"/>
    <w:rPr>
      <w:rFonts w:cs="Times New Roman"/>
      <w:sz w:val="18"/>
      <w:szCs w:val="18"/>
    </w:rPr>
  </w:style>
  <w:style w:type="paragraph" w:customStyle="1" w:styleId="16">
    <w:name w:val="Default"/>
    <w:autoRedefine/>
    <w:qFormat/>
    <w:uiPriority w:val="99"/>
    <w:pPr>
      <w:widowControl w:val="0"/>
      <w:autoSpaceDE w:val="0"/>
      <w:autoSpaceDN w:val="0"/>
      <w:adjustRightInd w:val="0"/>
    </w:pPr>
    <w:rPr>
      <w:rFonts w:ascii="黑体" w:hAnsi="黑体" w:eastAsia="宋体" w:cs="黑体"/>
      <w:color w:val="000000"/>
      <w:sz w:val="24"/>
      <w:szCs w:val="24"/>
      <w:lang w:val="en-US" w:eastAsia="zh-CN" w:bidi="ar-SA"/>
    </w:rPr>
  </w:style>
  <w:style w:type="table" w:customStyle="1" w:styleId="17">
    <w:name w:val="网格型1"/>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列出段落1"/>
    <w:basedOn w:val="1"/>
    <w:autoRedefine/>
    <w:qFormat/>
    <w:uiPriority w:val="99"/>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6083</Words>
  <Characters>6351</Characters>
  <Lines>44</Lines>
  <Paragraphs>12</Paragraphs>
  <TotalTime>2</TotalTime>
  <ScaleCrop>false</ScaleCrop>
  <LinksUpToDate>false</LinksUpToDate>
  <CharactersWithSpaces>6441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2016-11-30T12:24:00Z</dcterms:created>
  <dc:creator>lenovo</dc:creator>
  <cp:lastModifiedBy>龙猫大侠</cp:lastModifiedBy>
  <dcterms:modified xsi:type="dcterms:W3CDTF">2024-01-29T08:02:07Z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5E7F7083E90945239F0005D54C51575B</vt:lpwstr>
  </property>
</Properties>
</file>