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54432"/>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jc w:val="center"/>
            <w:outlineLvl w:val="0"/>
          </w:pPr>
          <w:bookmarkStart w:id="0" w:name="_Toc_4_4_0000000019"/>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pP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r>
            <w:fldChar w:fldCharType="begin"/>
          </w:r>
          <w:r>
            <w:instrText xml:space="preserve">TOC \o "1-1" \h \u </w:instrText>
          </w:r>
          <w:r>
            <w:fldChar w:fldCharType="separate"/>
          </w:r>
        </w:p>
        <w:p>
          <w:pPr>
            <w:pStyle w:val="24"/>
            <w:keepNext w:val="0"/>
            <w:keepLines w:val="0"/>
            <w:pageBreakBefore w:val="0"/>
            <w:widowControl/>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_Toc32089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单位预算收支总表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_Toc32089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widowControl/>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_Toc13575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单位预算收入总表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_Toc13575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_Toc19136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单位预算支出总表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_Toc19136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5</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_Toc30076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单位预算财政拨款收支总表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_Toc30076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widowControl/>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_Toc2817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单位预算一般公共预算财政拨款支出表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_Toc2817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9</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_Toc15605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单位预算一般公共预算财政拨款基本支出表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_Toc15605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10</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_Toc29820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单位预算政府基金预算财政拨款支出表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_Toc29820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12</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_Toc14065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单位预算国有资本经营预算财政拨款支出表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_Toc14065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13</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_Toc233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单位预算财政拨款“三公”经费支出表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_Toc233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14</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keepNext w:val="0"/>
            <w:keepLines w:val="0"/>
            <w:pageBreakBefore w:val="0"/>
            <w:kinsoku/>
            <w:wordWrap/>
            <w:overflowPunct/>
            <w:topLinePunct w:val="0"/>
            <w:autoSpaceDE/>
            <w:autoSpaceDN/>
            <w:bidi w:val="0"/>
            <w:adjustRightInd/>
            <w:snapToGrid/>
            <w:spacing w:before="120"/>
            <w:textAlignment w:val="auto"/>
            <w:outlineLvl w:val="0"/>
            <w:rPr>
              <w:rFonts w:eastAsia="方正仿宋_GBK" w:asciiTheme="minorHAnsi" w:hAnsiTheme="minorHAnsi" w:cstheme="minorBidi"/>
              <w:color w:val="000000"/>
              <w:kern w:val="2"/>
              <w:sz w:val="28"/>
              <w:szCs w:val="24"/>
              <w:lang w:val="en-US" w:eastAsia="zh-CN" w:bidi="ar-SA"/>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_Toc11094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一、单位职责及机构设置情况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_Toc11094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15</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_Toc695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二、单位预算安排的总体情况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_Toc695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_Toc14038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三、机关运行经费安排情况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_Toc14038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_Toc7526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四、财政拨款“三公”经费预算情况及增减变化原因</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_Toc7526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_Toc3038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 xml:space="preserve">五、 </w:t>
          </w:r>
          <w:r>
            <w:rPr>
              <w:rFonts w:eastAsia="方正仿宋_GBK" w:asciiTheme="minorHAnsi" w:hAnsiTheme="minorHAnsi" w:cstheme="minorBidi"/>
              <w:color w:val="000000"/>
              <w:kern w:val="2"/>
              <w:sz w:val="28"/>
              <w:szCs w:val="24"/>
              <w:lang w:val="en-US" w:eastAsia="zh-CN" w:bidi="ar-SA"/>
            </w:rPr>
            <w:t>预算绩效信息</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_Toc3038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_Toc6451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六、政府采购预算情况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_Toc6451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25</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_Toc26984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七、国有资产信息</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_Toc26984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_Toc18647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八、名词解释</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_Toc18647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24"/>
            <w:keepNext w:val="0"/>
            <w:keepLines w:val="0"/>
            <w:pageBreakBefore w:val="0"/>
            <w:tabs>
              <w:tab w:val="right" w:leader="dot" w:pos="14800"/>
            </w:tabs>
            <w:kinsoku/>
            <w:wordWrap/>
            <w:overflowPunct/>
            <w:topLinePunct w:val="0"/>
            <w:autoSpaceDE/>
            <w:autoSpaceDN/>
            <w:bidi w:val="0"/>
            <w:adjustRightInd/>
            <w:snapToGrid/>
            <w:spacing w:before="120"/>
            <w:ind w:firstLine="560" w:firstLineChars="200"/>
            <w:textAlignment w:val="auto"/>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_Toc20565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九、其他需要说明的事项</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_Toc20565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r>
            <w:fldChar w:fldCharType="end"/>
          </w:r>
        </w:p>
      </w:sdtContent>
    </w:sdt>
    <w:p>
      <w:pPr>
        <w:jc w:val="center"/>
        <w:outlineLvl w:val="9"/>
      </w:pPr>
    </w:p>
    <w:p>
      <w:pPr>
        <w:jc w:val="center"/>
        <w:outlineLvl w:val="9"/>
      </w:pPr>
    </w:p>
    <w:p>
      <w:pPr>
        <w:jc w:val="center"/>
        <w:outlineLvl w:val="9"/>
      </w:pPr>
    </w:p>
    <w:p>
      <w:pPr>
        <w:jc w:val="both"/>
        <w:outlineLvl w:val="9"/>
      </w:pPr>
    </w:p>
    <w:p>
      <w:pPr>
        <w:jc w:val="center"/>
        <w:outlineLvl w:val="9"/>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cols w:space="720" w:num="1"/>
        </w:sectPr>
      </w:pPr>
    </w:p>
    <w:bookmarkEnd w:id="0"/>
    <w:p>
      <w:pPr>
        <w:jc w:val="center"/>
        <w:outlineLvl w:val="9"/>
      </w:pPr>
    </w:p>
    <w:p>
      <w:pPr>
        <w:jc w:val="center"/>
        <w:outlineLvl w:val="0"/>
      </w:pPr>
      <w:bookmarkStart w:id="1" w:name="_Toc32089"/>
      <w:r>
        <w:rPr>
          <w:rFonts w:ascii="方正小标宋_GBK" w:hAnsi="方正小标宋_GBK" w:eastAsia="方正小标宋_GBK" w:cs="方正小标宋_GBK"/>
          <w:color w:val="000000"/>
          <w:sz w:val="36"/>
        </w:rPr>
        <w:t>单位预算收支总表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6" w:type="dxa"/>
            <w:vAlign w:val="center"/>
          </w:tcPr>
          <w:p>
            <w:pPr>
              <w:pStyle w:val="12"/>
            </w:pPr>
            <w:r>
              <w:t>一、一般公共预算拨款收入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1539.67</w:t>
            </w: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一、一般公共服务支出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1223.95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6" w:type="dxa"/>
            <w:vAlign w:val="center"/>
          </w:tcPr>
          <w:p>
            <w:pPr>
              <w:pStyle w:val="12"/>
            </w:pPr>
            <w:r>
              <w:t>二、政府性基金预算拨款收入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二、外交支出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6" w:type="dxa"/>
            <w:vAlign w:val="center"/>
          </w:tcPr>
          <w:p>
            <w:pPr>
              <w:pStyle w:val="12"/>
            </w:pPr>
            <w:r>
              <w:t>三、国有资本经营预算拨款收入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三、国防支出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6" w:type="dxa"/>
            <w:vAlign w:val="center"/>
          </w:tcPr>
          <w:p>
            <w:pPr>
              <w:pStyle w:val="12"/>
            </w:pPr>
            <w:r>
              <w:t>四、财政专户管理资金收入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四、公共安全支出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6" w:type="dxa"/>
            <w:vAlign w:val="center"/>
          </w:tcPr>
          <w:p>
            <w:pPr>
              <w:pStyle w:val="12"/>
            </w:pPr>
            <w:r>
              <w:t>五、事业收入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五、教育支出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6" w:type="dxa"/>
            <w:vAlign w:val="center"/>
          </w:tcPr>
          <w:p>
            <w:pPr>
              <w:pStyle w:val="12"/>
            </w:pPr>
            <w:r>
              <w:t>六、事业单位经营收入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六、科学技术支出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6" w:type="dxa"/>
            <w:vAlign w:val="center"/>
          </w:tcPr>
          <w:p>
            <w:pPr>
              <w:pStyle w:val="12"/>
            </w:pPr>
            <w:r>
              <w:t>七、上级补助收入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七、文化旅游体育与传媒支出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6" w:type="dxa"/>
            <w:vAlign w:val="center"/>
          </w:tcPr>
          <w:p>
            <w:pPr>
              <w:pStyle w:val="12"/>
            </w:pPr>
            <w:r>
              <w:t>八、附属单位上缴收入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八、社会保障和就业支出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190.24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6" w:type="dxa"/>
            <w:vAlign w:val="center"/>
          </w:tcPr>
          <w:p>
            <w:pPr>
              <w:pStyle w:val="12"/>
            </w:pPr>
            <w:r>
              <w:t>九、其他收入</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九、社会保险基金支出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十、卫生健康支出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十一、节能环保支出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十二、城乡社区支出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十三、农林水支出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十四、交通运输支出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十五、资源勘探工业信息等支出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十六、商业服务业等支出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十七、金融支出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十八、援助其他地区支出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十九、自然资源海洋气象等支出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二十、住房保障支出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76.18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二十一、粮油物资储备支出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二十二、国有资本经营预算支出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二十三、灾害防治及应急管理支出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二十四、预备费</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二十五、其他支出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二十六、转移性支出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二十七、债务还本支出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二十八、债务付息支出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二十九、债务发行费用支出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三十、抗疫特别国债安排的支出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6" w:type="dxa"/>
            <w:vAlign w:val="center"/>
          </w:tcPr>
          <w:p>
            <w:pPr>
              <w:pStyle w:val="12"/>
            </w:pP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三十一、往来性支出</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6" w:type="dxa"/>
            <w:vAlign w:val="center"/>
          </w:tcPr>
          <w:p>
            <w:pPr>
              <w:pStyle w:val="14"/>
            </w:pPr>
            <w:r>
              <w:t>本年收入合计</w:t>
            </w:r>
          </w:p>
        </w:tc>
        <w:tc>
          <w:tcPr>
            <w:tcW w:w="2126" w:type="dxa"/>
            <w:vAlign w:val="center"/>
          </w:tcPr>
          <w:p>
            <w:pPr>
              <w:pStyle w:val="15"/>
              <w:rPr>
                <w:rFonts w:ascii="方正书宋_GBK" w:hAnsi="方正书宋_GBK" w:eastAsia="方正书宋_GBK" w:cs="方正书宋_GBK"/>
                <w:b/>
                <w:kern w:val="2"/>
                <w:sz w:val="21"/>
                <w:szCs w:val="24"/>
                <w:lang w:val="en-US" w:eastAsia="uk-UA" w:bidi="ar-SA"/>
              </w:rPr>
            </w:pPr>
            <w:r>
              <w:t>1539.67</w:t>
            </w:r>
          </w:p>
        </w:tc>
        <w:tc>
          <w:tcPr>
            <w:tcW w:w="4535" w:type="dxa"/>
            <w:vAlign w:val="center"/>
          </w:tcPr>
          <w:p>
            <w:pPr>
              <w:pStyle w:val="14"/>
              <w:rPr>
                <w:rFonts w:ascii="方正书宋_GBK" w:hAnsi="方正书宋_GBK" w:eastAsia="方正书宋_GBK" w:cs="方正书宋_GBK"/>
                <w:b/>
                <w:kern w:val="2"/>
                <w:sz w:val="21"/>
                <w:szCs w:val="24"/>
                <w:lang w:val="en-US" w:eastAsia="zh-CN" w:bidi="ar-SA"/>
              </w:rPr>
            </w:pPr>
            <w:r>
              <w:t>本年支出合计</w:t>
            </w:r>
          </w:p>
        </w:tc>
        <w:tc>
          <w:tcPr>
            <w:tcW w:w="2126" w:type="dxa"/>
            <w:vAlign w:val="center"/>
          </w:tcPr>
          <w:p>
            <w:pPr>
              <w:pStyle w:val="15"/>
              <w:rPr>
                <w:rFonts w:ascii="方正书宋_GBK" w:hAnsi="方正书宋_GBK" w:eastAsia="方正书宋_GBK" w:cs="方正书宋_GBK"/>
                <w:b/>
                <w:kern w:val="2"/>
                <w:sz w:val="21"/>
                <w:szCs w:val="24"/>
                <w:lang w:val="en-US" w:eastAsia="uk-UA" w:bidi="ar-SA"/>
              </w:rPr>
            </w:pPr>
            <w:r>
              <w:t>1539.87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6" w:type="dxa"/>
            <w:vAlign w:val="center"/>
          </w:tcPr>
          <w:p>
            <w:pPr>
              <w:pStyle w:val="12"/>
            </w:pPr>
            <w:r>
              <w:t>上年结转结余</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r>
              <w:t>0.20</w:t>
            </w:r>
          </w:p>
        </w:tc>
        <w:tc>
          <w:tcPr>
            <w:tcW w:w="4535" w:type="dxa"/>
            <w:vAlign w:val="center"/>
          </w:tcPr>
          <w:p>
            <w:pPr>
              <w:pStyle w:val="12"/>
              <w:rPr>
                <w:rFonts w:ascii="方正书宋_GBK" w:hAnsi="方正书宋_GBK" w:eastAsia="方正书宋_GBK" w:cs="方正书宋_GBK"/>
                <w:kern w:val="2"/>
                <w:sz w:val="21"/>
                <w:szCs w:val="24"/>
                <w:lang w:val="en-US" w:eastAsia="zh-CN" w:bidi="ar-SA"/>
              </w:rPr>
            </w:pPr>
            <w:r>
              <w:t>年终结转结余</w:t>
            </w:r>
          </w:p>
        </w:tc>
        <w:tc>
          <w:tcPr>
            <w:tcW w:w="2126"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6" w:type="dxa"/>
            <w:vAlign w:val="center"/>
          </w:tcPr>
          <w:p>
            <w:pPr>
              <w:pStyle w:val="14"/>
            </w:pPr>
            <w:r>
              <w:t>收入总计</w:t>
            </w:r>
          </w:p>
        </w:tc>
        <w:tc>
          <w:tcPr>
            <w:tcW w:w="2126"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4535" w:type="dxa"/>
            <w:vAlign w:val="center"/>
          </w:tcPr>
          <w:p>
            <w:pPr>
              <w:pStyle w:val="14"/>
              <w:rPr>
                <w:rFonts w:ascii="方正书宋_GBK" w:hAnsi="方正书宋_GBK" w:eastAsia="方正书宋_GBK" w:cs="方正书宋_GBK"/>
                <w:b/>
                <w:kern w:val="2"/>
                <w:sz w:val="21"/>
                <w:szCs w:val="24"/>
                <w:lang w:val="en-US" w:eastAsia="zh-CN" w:bidi="ar-SA"/>
              </w:rPr>
            </w:pPr>
            <w:r>
              <w:t>支出总计</w:t>
            </w:r>
          </w:p>
        </w:tc>
        <w:tc>
          <w:tcPr>
            <w:tcW w:w="2126" w:type="dxa"/>
            <w:vAlign w:val="center"/>
          </w:tcPr>
          <w:p>
            <w:pPr>
              <w:pStyle w:val="15"/>
              <w:rPr>
                <w:rFonts w:ascii="方正书宋_GBK" w:hAnsi="方正书宋_GBK" w:eastAsia="方正书宋_GBK" w:cs="方正书宋_GBK"/>
                <w:b/>
                <w:kern w:val="2"/>
                <w:sz w:val="21"/>
                <w:szCs w:val="24"/>
                <w:lang w:val="en-US" w:eastAsia="uk-UA" w:bidi="ar-SA"/>
              </w:rPr>
            </w:pPr>
            <w:r>
              <w:t>1539.87</w:t>
            </w:r>
          </w:p>
        </w:tc>
      </w:tr>
    </w:tbl>
    <w:p>
      <w:pPr>
        <w:sectPr>
          <w:footerReference r:id="rId3" w:type="default"/>
          <w:pgSz w:w="16840" w:h="11900" w:orient="landscape"/>
          <w:pgMar w:top="1361" w:right="1020" w:bottom="1134" w:left="1020" w:header="720" w:footer="720" w:gutter="0"/>
          <w:pgNumType w:fmt="decimal" w:start="1"/>
          <w:cols w:space="720" w:num="1"/>
        </w:sectPr>
      </w:pPr>
    </w:p>
    <w:p>
      <w:pPr>
        <w:jc w:val="center"/>
        <w:outlineLvl w:val="0"/>
      </w:pPr>
      <w:bookmarkStart w:id="2" w:name="_Toc13575"/>
      <w:r>
        <w:rPr>
          <w:rFonts w:ascii="方正小标宋_GBK" w:hAnsi="方正小标宋_GBK" w:eastAsia="方正小标宋_GBK" w:cs="方正小标宋_GBK"/>
          <w:color w:val="000000"/>
          <w:sz w:val="36"/>
        </w:rPr>
        <w:t>单位预算收入总表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rPr>
                <w:rFonts w:ascii="方正书宋_GBK" w:hAnsi="方正书宋_GBK" w:eastAsia="方正书宋_GBK" w:cs="方正书宋_GBK"/>
                <w:b/>
                <w:kern w:val="2"/>
                <w:sz w:val="21"/>
                <w:szCs w:val="24"/>
                <w:lang w:val="en-US" w:eastAsia="zh-CN" w:bidi="ar-SA"/>
              </w:rPr>
            </w:pPr>
            <w:r>
              <w:t>1539.87</w:t>
            </w:r>
          </w:p>
        </w:tc>
        <w:tc>
          <w:tcPr>
            <w:tcW w:w="1134" w:type="dxa"/>
            <w:vAlign w:val="center"/>
          </w:tcPr>
          <w:p>
            <w:pPr>
              <w:pStyle w:val="15"/>
              <w:rPr>
                <w:rFonts w:ascii="方正书宋_GBK" w:hAnsi="方正书宋_GBK" w:eastAsia="方正书宋_GBK" w:cs="方正书宋_GBK"/>
                <w:b/>
                <w:kern w:val="2"/>
                <w:sz w:val="21"/>
                <w:szCs w:val="24"/>
                <w:lang w:val="en-US" w:eastAsia="uk-UA" w:bidi="ar-SA"/>
              </w:rPr>
            </w:pPr>
            <w:r>
              <w:t>1539.67</w:t>
            </w:r>
          </w:p>
        </w:tc>
        <w:tc>
          <w:tcPr>
            <w:tcW w:w="1134" w:type="dxa"/>
            <w:vAlign w:val="center"/>
          </w:tcPr>
          <w:p>
            <w:pPr>
              <w:pStyle w:val="15"/>
              <w:rPr>
                <w:rFonts w:ascii="方正书宋_GBK" w:hAnsi="方正书宋_GBK" w:eastAsia="方正书宋_GBK" w:cs="方正书宋_GBK"/>
                <w:b/>
                <w:kern w:val="2"/>
                <w:sz w:val="21"/>
                <w:szCs w:val="24"/>
                <w:lang w:val="en-US" w:eastAsia="uk-UA" w:bidi="ar-SA"/>
              </w:rPr>
            </w:pPr>
            <w:r>
              <w:t>1539.67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1223.75</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1223.75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20111</w:t>
            </w:r>
          </w:p>
        </w:tc>
        <w:tc>
          <w:tcPr>
            <w:tcW w:w="1559" w:type="dxa"/>
            <w:vAlign w:val="center"/>
          </w:tcPr>
          <w:p>
            <w:pPr>
              <w:pStyle w:val="12"/>
            </w:pPr>
            <w:r>
              <w:t>纪检监察事务</w:t>
            </w:r>
          </w:p>
        </w:tc>
        <w:tc>
          <w:tcPr>
            <w:tcW w:w="1134"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1223.75</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1223.75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2011101</w:t>
            </w:r>
          </w:p>
        </w:tc>
        <w:tc>
          <w:tcPr>
            <w:tcW w:w="1559" w:type="dxa"/>
            <w:vAlign w:val="center"/>
          </w:tcPr>
          <w:p>
            <w:pPr>
              <w:pStyle w:val="12"/>
            </w:pPr>
            <w:r>
              <w:t>行政运行</w:t>
            </w:r>
          </w:p>
        </w:tc>
        <w:tc>
          <w:tcPr>
            <w:tcW w:w="1134" w:type="dxa"/>
            <w:vAlign w:val="center"/>
          </w:tcPr>
          <w:p>
            <w:pPr>
              <w:pStyle w:val="13"/>
              <w:rPr>
                <w:rFonts w:ascii="方正书宋_GBK" w:hAnsi="方正书宋_GBK" w:eastAsia="方正书宋_GBK" w:cs="方正书宋_GBK"/>
                <w:kern w:val="2"/>
                <w:sz w:val="21"/>
                <w:szCs w:val="24"/>
                <w:lang w:val="en-US" w:eastAsia="zh-CN" w:bidi="ar-SA"/>
              </w:rPr>
            </w:pPr>
            <w:r>
              <w:t>1118.92</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1118.92</w:t>
            </w:r>
          </w:p>
        </w:tc>
        <w:tc>
          <w:tcPr>
            <w:tcW w:w="1134" w:type="dxa"/>
            <w:vAlign w:val="center"/>
          </w:tcPr>
          <w:p>
            <w:pPr>
              <w:pStyle w:val="13"/>
              <w:rPr>
                <w:rFonts w:ascii="方正书宋_GBK" w:hAnsi="方正书宋_GBK" w:eastAsia="方正书宋_GBK" w:cs="方正书宋_GBK"/>
                <w:kern w:val="2"/>
                <w:sz w:val="21"/>
                <w:szCs w:val="24"/>
                <w:lang w:val="en-US" w:eastAsia="uk-UA" w:bidi="ar-SA"/>
              </w:rPr>
            </w:pPr>
            <w:r>
              <w:t>1118.92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2"/>
            </w:pPr>
            <w:r>
              <w:t>2011102</w:t>
            </w:r>
          </w:p>
        </w:tc>
        <w:tc>
          <w:tcPr>
            <w:tcW w:w="1559" w:type="dxa"/>
            <w:vAlign w:val="center"/>
          </w:tcPr>
          <w:p>
            <w:pPr>
              <w:pStyle w:val="12"/>
            </w:pPr>
            <w:r>
              <w:t>一般行政管理事务</w:t>
            </w:r>
          </w:p>
        </w:tc>
        <w:tc>
          <w:tcPr>
            <w:tcW w:w="1134" w:type="dxa"/>
            <w:vAlign w:val="center"/>
          </w:tcPr>
          <w:p>
            <w:pPr>
              <w:pStyle w:val="13"/>
            </w:pPr>
            <w:r>
              <w:t>32.23</w:t>
            </w:r>
          </w:p>
        </w:tc>
        <w:tc>
          <w:tcPr>
            <w:tcW w:w="1134" w:type="dxa"/>
            <w:vAlign w:val="center"/>
          </w:tcPr>
          <w:p>
            <w:pPr>
              <w:pStyle w:val="13"/>
            </w:pPr>
            <w:r>
              <w:t>32.23</w:t>
            </w:r>
          </w:p>
        </w:tc>
        <w:tc>
          <w:tcPr>
            <w:tcW w:w="1134" w:type="dxa"/>
            <w:vAlign w:val="center"/>
          </w:tcPr>
          <w:p>
            <w:pPr>
              <w:pStyle w:val="13"/>
            </w:pPr>
            <w:r>
              <w:t>32.23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2"/>
            </w:pPr>
            <w:r>
              <w:t>2011199</w:t>
            </w:r>
          </w:p>
        </w:tc>
        <w:tc>
          <w:tcPr>
            <w:tcW w:w="1559" w:type="dxa"/>
            <w:vAlign w:val="center"/>
          </w:tcPr>
          <w:p>
            <w:pPr>
              <w:pStyle w:val="12"/>
            </w:pPr>
            <w:r>
              <w:t>其他纪检监察事务支出</w:t>
            </w:r>
          </w:p>
        </w:tc>
        <w:tc>
          <w:tcPr>
            <w:tcW w:w="1134" w:type="dxa"/>
            <w:vAlign w:val="center"/>
          </w:tcPr>
          <w:p>
            <w:pPr>
              <w:pStyle w:val="13"/>
            </w:pPr>
            <w:r>
              <w:t>72.80</w:t>
            </w:r>
          </w:p>
        </w:tc>
        <w:tc>
          <w:tcPr>
            <w:tcW w:w="1134" w:type="dxa"/>
            <w:vAlign w:val="center"/>
          </w:tcPr>
          <w:p>
            <w:pPr>
              <w:pStyle w:val="13"/>
            </w:pPr>
            <w:r>
              <w:t>72.60</w:t>
            </w:r>
          </w:p>
        </w:tc>
        <w:tc>
          <w:tcPr>
            <w:tcW w:w="1134" w:type="dxa"/>
            <w:vAlign w:val="center"/>
          </w:tcPr>
          <w:p>
            <w:pPr>
              <w:pStyle w:val="13"/>
            </w:pPr>
            <w:r>
              <w:t>72.60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3"/>
            </w:pPr>
            <w:r>
              <w:t>190.24</w:t>
            </w:r>
          </w:p>
        </w:tc>
        <w:tc>
          <w:tcPr>
            <w:tcW w:w="1134" w:type="dxa"/>
            <w:vAlign w:val="center"/>
          </w:tcPr>
          <w:p>
            <w:pPr>
              <w:pStyle w:val="13"/>
            </w:pPr>
            <w:r>
              <w:t>190.24</w:t>
            </w:r>
          </w:p>
        </w:tc>
        <w:tc>
          <w:tcPr>
            <w:tcW w:w="1134" w:type="dxa"/>
            <w:vAlign w:val="center"/>
          </w:tcPr>
          <w:p>
            <w:pPr>
              <w:pStyle w:val="13"/>
            </w:pPr>
            <w:r>
              <w:t>190.24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3"/>
            </w:pPr>
            <w:r>
              <w:t>190.24</w:t>
            </w:r>
          </w:p>
        </w:tc>
        <w:tc>
          <w:tcPr>
            <w:tcW w:w="1134" w:type="dxa"/>
            <w:vAlign w:val="center"/>
          </w:tcPr>
          <w:p>
            <w:pPr>
              <w:pStyle w:val="13"/>
            </w:pPr>
            <w:r>
              <w:t>190.24</w:t>
            </w:r>
          </w:p>
        </w:tc>
        <w:tc>
          <w:tcPr>
            <w:tcW w:w="1134" w:type="dxa"/>
            <w:vAlign w:val="center"/>
          </w:tcPr>
          <w:p>
            <w:pPr>
              <w:pStyle w:val="13"/>
            </w:pPr>
            <w:r>
              <w:t>190.24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3"/>
            </w:pPr>
            <w:r>
              <w:t>64.55</w:t>
            </w:r>
          </w:p>
        </w:tc>
        <w:tc>
          <w:tcPr>
            <w:tcW w:w="1134" w:type="dxa"/>
            <w:vAlign w:val="center"/>
          </w:tcPr>
          <w:p>
            <w:pPr>
              <w:pStyle w:val="13"/>
            </w:pPr>
            <w:r>
              <w:t>64.55</w:t>
            </w:r>
          </w:p>
        </w:tc>
        <w:tc>
          <w:tcPr>
            <w:tcW w:w="1134" w:type="dxa"/>
            <w:vAlign w:val="center"/>
          </w:tcPr>
          <w:p>
            <w:pPr>
              <w:pStyle w:val="13"/>
            </w:pPr>
            <w:r>
              <w:t>64.55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680" w:type="dxa"/>
            <w:vAlign w:val="center"/>
          </w:tcPr>
          <w:p>
            <w:pPr>
              <w:pStyle w:val="11"/>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3"/>
            </w:pPr>
            <w:r>
              <w:t>125.70</w:t>
            </w:r>
          </w:p>
        </w:tc>
        <w:tc>
          <w:tcPr>
            <w:tcW w:w="1134" w:type="dxa"/>
            <w:vAlign w:val="center"/>
          </w:tcPr>
          <w:p>
            <w:pPr>
              <w:pStyle w:val="13"/>
            </w:pPr>
            <w:r>
              <w:t>125.70</w:t>
            </w:r>
          </w:p>
        </w:tc>
        <w:tc>
          <w:tcPr>
            <w:tcW w:w="1134" w:type="dxa"/>
            <w:vAlign w:val="center"/>
          </w:tcPr>
          <w:p>
            <w:pPr>
              <w:pStyle w:val="13"/>
            </w:pPr>
            <w:r>
              <w:t>125.70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r>
              <w:t>49.50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r>
              <w:t>76.18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footerReference r:id="rId4" w:type="default"/>
          <w:pgSz w:w="16840" w:h="11900" w:orient="landscape"/>
          <w:pgMar w:top="1361" w:right="1020" w:bottom="1134" w:left="1020" w:header="720" w:footer="720" w:gutter="0"/>
          <w:pgNumType w:fmt="decimal"/>
          <w:cols w:space="720" w:num="1"/>
        </w:sectPr>
      </w:pPr>
    </w:p>
    <w:p>
      <w:pPr>
        <w:jc w:val="center"/>
        <w:outlineLvl w:val="0"/>
      </w:pPr>
      <w:bookmarkStart w:id="3" w:name="_Toc19136"/>
      <w:r>
        <w:rPr>
          <w:rFonts w:ascii="方正小标宋_GBK" w:hAnsi="方正小标宋_GBK" w:eastAsia="方正小标宋_GBK" w:cs="方正小标宋_GBK"/>
          <w:color w:val="000000"/>
          <w:sz w:val="36"/>
        </w:rPr>
        <w:t>单位预算支出总表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rPr>
                <w:rFonts w:ascii="方正书宋_GBK" w:hAnsi="方正书宋_GBK" w:eastAsia="方正书宋_GBK" w:cs="方正书宋_GBK"/>
                <w:b/>
                <w:kern w:val="2"/>
                <w:sz w:val="21"/>
                <w:szCs w:val="24"/>
                <w:lang w:val="en-US" w:eastAsia="zh-CN" w:bidi="ar-SA"/>
              </w:rPr>
            </w:pPr>
            <w:r>
              <w:t>1539.87</w:t>
            </w:r>
          </w:p>
        </w:tc>
        <w:tc>
          <w:tcPr>
            <w:tcW w:w="1361" w:type="dxa"/>
            <w:vAlign w:val="center"/>
          </w:tcPr>
          <w:p>
            <w:pPr>
              <w:pStyle w:val="15"/>
              <w:rPr>
                <w:rFonts w:ascii="方正书宋_GBK" w:hAnsi="方正书宋_GBK" w:eastAsia="方正书宋_GBK" w:cs="方正书宋_GBK"/>
                <w:b/>
                <w:kern w:val="2"/>
                <w:sz w:val="21"/>
                <w:szCs w:val="24"/>
                <w:lang w:val="en-US" w:eastAsia="zh-CN" w:bidi="ar-SA"/>
              </w:rPr>
            </w:pPr>
            <w:r>
              <w:t>1286.46</w:t>
            </w:r>
          </w:p>
        </w:tc>
        <w:tc>
          <w:tcPr>
            <w:tcW w:w="1361" w:type="dxa"/>
            <w:vAlign w:val="center"/>
          </w:tcPr>
          <w:p>
            <w:pPr>
              <w:pStyle w:val="15"/>
            </w:pPr>
            <w:r>
              <w:t>253.41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1361" w:type="dxa"/>
            <w:vAlign w:val="center"/>
          </w:tcPr>
          <w:p>
            <w:pPr>
              <w:pStyle w:val="13"/>
            </w:pPr>
            <w:r>
              <w:t>253.41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20111</w:t>
            </w:r>
          </w:p>
        </w:tc>
        <w:tc>
          <w:tcPr>
            <w:tcW w:w="4536" w:type="dxa"/>
            <w:vAlign w:val="center"/>
          </w:tcPr>
          <w:p>
            <w:pPr>
              <w:pStyle w:val="12"/>
            </w:pPr>
            <w:r>
              <w:t>纪检监察事务</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1361" w:type="dxa"/>
            <w:vAlign w:val="center"/>
          </w:tcPr>
          <w:p>
            <w:pPr>
              <w:pStyle w:val="13"/>
            </w:pPr>
            <w:r>
              <w:t>253.41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2011101</w:t>
            </w:r>
          </w:p>
        </w:tc>
        <w:tc>
          <w:tcPr>
            <w:tcW w:w="4536" w:type="dxa"/>
            <w:vAlign w:val="center"/>
          </w:tcPr>
          <w:p>
            <w:pPr>
              <w:pStyle w:val="12"/>
            </w:pPr>
            <w:r>
              <w:t>行政运行</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1118.92</w:t>
            </w:r>
          </w:p>
        </w:tc>
        <w:tc>
          <w:tcPr>
            <w:tcW w:w="136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1361" w:type="dxa"/>
            <w:vAlign w:val="center"/>
          </w:tcPr>
          <w:p>
            <w:pPr>
              <w:pStyle w:val="13"/>
            </w:pPr>
            <w:r>
              <w:t>148.38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2"/>
            </w:pPr>
            <w:r>
              <w:t>2011102</w:t>
            </w:r>
          </w:p>
        </w:tc>
        <w:tc>
          <w:tcPr>
            <w:tcW w:w="4536" w:type="dxa"/>
            <w:vAlign w:val="center"/>
          </w:tcPr>
          <w:p>
            <w:pPr>
              <w:pStyle w:val="12"/>
            </w:pPr>
            <w:r>
              <w:t>一般行政管理事务</w:t>
            </w:r>
          </w:p>
        </w:tc>
        <w:tc>
          <w:tcPr>
            <w:tcW w:w="1361" w:type="dxa"/>
            <w:vAlign w:val="center"/>
          </w:tcPr>
          <w:p>
            <w:pPr>
              <w:pStyle w:val="13"/>
            </w:pPr>
            <w:r>
              <w:t>32.23</w:t>
            </w:r>
          </w:p>
        </w:tc>
        <w:tc>
          <w:tcPr>
            <w:tcW w:w="1361" w:type="dxa"/>
            <w:vAlign w:val="center"/>
          </w:tcPr>
          <w:p>
            <w:pPr>
              <w:pStyle w:val="13"/>
            </w:pPr>
          </w:p>
        </w:tc>
        <w:tc>
          <w:tcPr>
            <w:tcW w:w="1361" w:type="dxa"/>
            <w:vAlign w:val="center"/>
          </w:tcPr>
          <w:p>
            <w:pPr>
              <w:pStyle w:val="13"/>
            </w:pPr>
            <w:r>
              <w:t>32.23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2"/>
            </w:pPr>
            <w:r>
              <w:t>2011199</w:t>
            </w:r>
          </w:p>
        </w:tc>
        <w:tc>
          <w:tcPr>
            <w:tcW w:w="4536" w:type="dxa"/>
            <w:vAlign w:val="center"/>
          </w:tcPr>
          <w:p>
            <w:pPr>
              <w:pStyle w:val="12"/>
            </w:pPr>
            <w:r>
              <w:t>其他纪检监察事务支出</w:t>
            </w:r>
          </w:p>
        </w:tc>
        <w:tc>
          <w:tcPr>
            <w:tcW w:w="1361" w:type="dxa"/>
            <w:vAlign w:val="center"/>
          </w:tcPr>
          <w:p>
            <w:pPr>
              <w:pStyle w:val="13"/>
            </w:pPr>
            <w:r>
              <w:t>72.80</w:t>
            </w:r>
          </w:p>
        </w:tc>
        <w:tc>
          <w:tcPr>
            <w:tcW w:w="1361" w:type="dxa"/>
            <w:vAlign w:val="center"/>
          </w:tcPr>
          <w:p>
            <w:pPr>
              <w:pStyle w:val="13"/>
            </w:pPr>
          </w:p>
        </w:tc>
        <w:tc>
          <w:tcPr>
            <w:tcW w:w="1361" w:type="dxa"/>
            <w:vAlign w:val="center"/>
          </w:tcPr>
          <w:p>
            <w:pPr>
              <w:pStyle w:val="13"/>
            </w:pPr>
            <w:r>
              <w:t>72.80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3"/>
            </w:pPr>
            <w:r>
              <w:t>190.24</w:t>
            </w:r>
          </w:p>
        </w:tc>
        <w:tc>
          <w:tcPr>
            <w:tcW w:w="1361" w:type="dxa"/>
            <w:vAlign w:val="center"/>
          </w:tcPr>
          <w:p>
            <w:pPr>
              <w:pStyle w:val="13"/>
            </w:pPr>
            <w:r>
              <w:t>190.24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3"/>
            </w:pPr>
            <w:r>
              <w:t>190.24</w:t>
            </w:r>
          </w:p>
        </w:tc>
        <w:tc>
          <w:tcPr>
            <w:tcW w:w="1361" w:type="dxa"/>
            <w:vAlign w:val="center"/>
          </w:tcPr>
          <w:p>
            <w:pPr>
              <w:pStyle w:val="13"/>
            </w:pPr>
            <w:r>
              <w:t>190.24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3"/>
            </w:pPr>
            <w:r>
              <w:t>64.55</w:t>
            </w:r>
          </w:p>
        </w:tc>
        <w:tc>
          <w:tcPr>
            <w:tcW w:w="1361" w:type="dxa"/>
            <w:vAlign w:val="center"/>
          </w:tcPr>
          <w:p>
            <w:pPr>
              <w:pStyle w:val="13"/>
            </w:pPr>
            <w:r>
              <w:t>64.55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3"/>
            </w:pPr>
            <w:r>
              <w:t>125.70</w:t>
            </w:r>
          </w:p>
        </w:tc>
        <w:tc>
          <w:tcPr>
            <w:tcW w:w="1361" w:type="dxa"/>
            <w:vAlign w:val="center"/>
          </w:tcPr>
          <w:p>
            <w:pPr>
              <w:pStyle w:val="13"/>
            </w:pPr>
            <w:r>
              <w:t>125.70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3"/>
            </w:pPr>
            <w:r>
              <w:t>49.50</w:t>
            </w:r>
          </w:p>
        </w:tc>
        <w:tc>
          <w:tcPr>
            <w:tcW w:w="1361" w:type="dxa"/>
            <w:vAlign w:val="center"/>
          </w:tcPr>
          <w:p>
            <w:pPr>
              <w:pStyle w:val="13"/>
            </w:pPr>
            <w:r>
              <w:t>49.50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3"/>
            </w:pPr>
            <w:r>
              <w:t>49.50</w:t>
            </w:r>
          </w:p>
        </w:tc>
        <w:tc>
          <w:tcPr>
            <w:tcW w:w="1361" w:type="dxa"/>
            <w:vAlign w:val="center"/>
          </w:tcPr>
          <w:p>
            <w:pPr>
              <w:pStyle w:val="13"/>
            </w:pPr>
            <w:r>
              <w:t>49.50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3"/>
            </w:pPr>
            <w:r>
              <w:t>49.50</w:t>
            </w:r>
          </w:p>
        </w:tc>
        <w:tc>
          <w:tcPr>
            <w:tcW w:w="1361" w:type="dxa"/>
            <w:vAlign w:val="center"/>
          </w:tcPr>
          <w:p>
            <w:pPr>
              <w:pStyle w:val="13"/>
            </w:pPr>
            <w:r>
              <w:t>49.50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3"/>
            </w:pPr>
            <w:r>
              <w:t>76.18</w:t>
            </w:r>
          </w:p>
        </w:tc>
        <w:tc>
          <w:tcPr>
            <w:tcW w:w="1361" w:type="dxa"/>
            <w:vAlign w:val="center"/>
          </w:tcPr>
          <w:p>
            <w:pPr>
              <w:pStyle w:val="13"/>
            </w:pPr>
            <w:r>
              <w:t>76.18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3"/>
            </w:pPr>
            <w:r>
              <w:t>76.18</w:t>
            </w:r>
          </w:p>
        </w:tc>
        <w:tc>
          <w:tcPr>
            <w:tcW w:w="1361" w:type="dxa"/>
            <w:vAlign w:val="center"/>
          </w:tcPr>
          <w:p>
            <w:pPr>
              <w:pStyle w:val="13"/>
            </w:pPr>
            <w:r>
              <w:t>76.18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3"/>
            </w:pPr>
            <w:r>
              <w:t>76.18</w:t>
            </w:r>
          </w:p>
        </w:tc>
        <w:tc>
          <w:tcPr>
            <w:tcW w:w="1361" w:type="dxa"/>
            <w:vAlign w:val="center"/>
          </w:tcPr>
          <w:p>
            <w:pPr>
              <w:pStyle w:val="13"/>
            </w:pPr>
            <w:r>
              <w:t>76.18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4" w:name="_Toc30076"/>
      <w:r>
        <w:rPr>
          <w:rFonts w:ascii="方正小标宋_GBK" w:hAnsi="方正小标宋_GBK" w:eastAsia="方正小标宋_GBK" w:cs="方正小标宋_GBK"/>
          <w:color w:val="000000"/>
          <w:sz w:val="36"/>
        </w:rPr>
        <w:t>单位预算财政拨款收支总表</w:t>
      </w:r>
      <w:bookmarkEnd w:id="4"/>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2"/>
            </w:pPr>
            <w:r>
              <w:t>一、一般公共预算拨款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1539.67</w:t>
            </w: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一、一般公共服务支出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1223.95</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1223.95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2"/>
            </w:pPr>
            <w:r>
              <w:t>二、政府性基金预算拨款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二、外交支出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2"/>
            </w:pPr>
            <w:r>
              <w:t>三、国有资本经营预算拨款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三、国防支出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四、公共安全支出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五、教育支出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六、科学技术支出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七、文化旅游体育与传媒支出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八、社会保障和就业支出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190.24</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190.24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九、社会保险基金支出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十、卫生健康支出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49.50</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49.50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十一、节能环保支出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十二、城乡社区支出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十三、农林水支出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十四、交通运输支出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十五、资源勘探工业信息等支出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十六、商业服务业等支出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十七、金融支出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十八、援助其他地区支出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十九、自然资源海洋气象等支出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二十、住房保障支出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76.18</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76.18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二十一、粮油物资储备支出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二十二、国有资本经营预算支出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二十三、灾害防治及应急管理支出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二十四、预备费</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二十五、其他支出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二十六、转移性支出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二十七、债务还本支出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二十八、债务付息支出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二十九、债务发行费用支出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三十、抗疫特别国债安排的支出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三十一、往来性支出</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4"/>
            </w:pPr>
            <w:r>
              <w:t>本年收入合计</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1539.67</w:t>
            </w:r>
          </w:p>
        </w:tc>
        <w:tc>
          <w:tcPr>
            <w:tcW w:w="3402" w:type="dxa"/>
            <w:vAlign w:val="center"/>
          </w:tcPr>
          <w:p>
            <w:pPr>
              <w:pStyle w:val="14"/>
              <w:rPr>
                <w:rFonts w:ascii="方正书宋_GBK" w:hAnsi="方正书宋_GBK" w:eastAsia="方正书宋_GBK" w:cs="方正书宋_GBK"/>
                <w:b/>
                <w:kern w:val="2"/>
                <w:sz w:val="21"/>
                <w:szCs w:val="24"/>
                <w:lang w:val="en-US" w:eastAsia="uk-UA" w:bidi="ar-SA"/>
              </w:rPr>
            </w:pPr>
            <w:r>
              <w:t>本年支出合计</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2"/>
            </w:pPr>
            <w:r>
              <w:t>年初财政拨款结转和结余</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0.20</w:t>
            </w:r>
          </w:p>
        </w:tc>
        <w:tc>
          <w:tcPr>
            <w:tcW w:w="3402" w:type="dxa"/>
            <w:vAlign w:val="center"/>
          </w:tcPr>
          <w:p>
            <w:pPr>
              <w:pStyle w:val="12"/>
              <w:rPr>
                <w:rFonts w:ascii="方正书宋_GBK" w:hAnsi="方正书宋_GBK" w:eastAsia="方正书宋_GBK" w:cs="方正书宋_GBK"/>
                <w:kern w:val="2"/>
                <w:sz w:val="21"/>
                <w:szCs w:val="24"/>
                <w:lang w:val="en-US" w:eastAsia="uk-UA" w:bidi="ar-SA"/>
              </w:rPr>
            </w:pPr>
            <w:r>
              <w:t>年末财政拨款结转和结余</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2"/>
            </w:pPr>
            <w:r>
              <w:t>一、一般公共预算拨款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r>
              <w:t>0.20</w:t>
            </w:r>
          </w:p>
        </w:tc>
        <w:tc>
          <w:tcPr>
            <w:tcW w:w="3402" w:type="dxa"/>
            <w:vAlign w:val="center"/>
          </w:tcPr>
          <w:p>
            <w:pPr>
              <w:pStyle w:val="12"/>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2"/>
            </w:pPr>
            <w:r>
              <w:t>二、政府性基金预算拨款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三、国有资本经营预算拨款</w:t>
            </w: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3402" w:type="dxa"/>
            <w:vAlign w:val="center"/>
          </w:tcPr>
          <w:p>
            <w:pPr>
              <w:pStyle w:val="12"/>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rPr>
                <w:rFonts w:ascii="方正书宋_GBK" w:hAnsi="方正书宋_GBK" w:eastAsia="方正书宋_GBK" w:cs="方正书宋_GBK"/>
                <w:kern w:val="2"/>
                <w:sz w:val="21"/>
                <w:szCs w:val="24"/>
                <w:lang w:val="en-US" w:eastAsia="uk-UA" w:bidi="ar-SA"/>
              </w:rPr>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4"/>
            </w:pPr>
            <w:r>
              <w:t>收入总计</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3402" w:type="dxa"/>
            <w:vAlign w:val="center"/>
          </w:tcPr>
          <w:p>
            <w:pPr>
              <w:pStyle w:val="14"/>
              <w:rPr>
                <w:rFonts w:ascii="方正书宋_GBK" w:hAnsi="方正书宋_GBK" w:eastAsia="方正书宋_GBK" w:cs="方正书宋_GBK"/>
                <w:b/>
                <w:kern w:val="2"/>
                <w:sz w:val="21"/>
                <w:szCs w:val="24"/>
                <w:lang w:val="en-US" w:eastAsia="uk-UA" w:bidi="ar-SA"/>
              </w:rPr>
            </w:pPr>
            <w:r>
              <w:t>支出总计</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1474" w:type="dxa"/>
            <w:vAlign w:val="center"/>
          </w:tcPr>
          <w:p>
            <w:pPr>
              <w:pStyle w:val="15"/>
              <w:rPr>
                <w:rFonts w:ascii="方正书宋_GBK" w:hAnsi="方正书宋_GBK" w:eastAsia="方正书宋_GBK" w:cs="方正书宋_GBK"/>
                <w:b/>
                <w:kern w:val="2"/>
                <w:sz w:val="21"/>
                <w:szCs w:val="24"/>
                <w:lang w:val="en-US" w:eastAsia="uk-UA" w:bidi="ar-SA"/>
              </w:rPr>
            </w:pPr>
            <w:r>
              <w:t>1539.87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5" w:name="_Toc2817"/>
      <w:r>
        <w:rPr>
          <w:rFonts w:ascii="方正小标宋_GBK" w:hAnsi="方正小标宋_GBK" w:eastAsia="方正小标宋_GBK" w:cs="方正小标宋_GBK"/>
          <w:color w:val="000000"/>
          <w:sz w:val="36"/>
        </w:rPr>
        <w:t>单位预算一般公共预算财政拨款支出表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rPr>
                <w:rFonts w:ascii="方正书宋_GBK" w:hAnsi="方正书宋_GBK" w:eastAsia="方正书宋_GBK" w:cs="方正书宋_GBK"/>
                <w:b/>
                <w:kern w:val="2"/>
                <w:sz w:val="21"/>
                <w:szCs w:val="24"/>
                <w:lang w:val="en-US" w:eastAsia="zh-CN" w:bidi="ar-SA"/>
              </w:rPr>
            </w:pPr>
            <w:r>
              <w:t>1539.87</w:t>
            </w:r>
          </w:p>
        </w:tc>
        <w:tc>
          <w:tcPr>
            <w:tcW w:w="2551" w:type="dxa"/>
            <w:vAlign w:val="center"/>
          </w:tcPr>
          <w:p>
            <w:pPr>
              <w:pStyle w:val="15"/>
              <w:rPr>
                <w:rFonts w:ascii="方正书宋_GBK" w:hAnsi="方正书宋_GBK" w:eastAsia="方正书宋_GBK" w:cs="方正书宋_GBK"/>
                <w:b/>
                <w:kern w:val="2"/>
                <w:sz w:val="21"/>
                <w:szCs w:val="24"/>
                <w:lang w:val="en-US" w:eastAsia="zh-CN" w:bidi="ar-SA"/>
              </w:rPr>
            </w:pPr>
            <w:r>
              <w:t>1286.46</w:t>
            </w:r>
          </w:p>
        </w:tc>
        <w:tc>
          <w:tcPr>
            <w:tcW w:w="2551" w:type="dxa"/>
            <w:vAlign w:val="center"/>
          </w:tcPr>
          <w:p>
            <w:pPr>
              <w:pStyle w:val="15"/>
            </w:pPr>
            <w:r>
              <w:t>253.41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2551" w:type="dxa"/>
            <w:vAlign w:val="center"/>
          </w:tcPr>
          <w:p>
            <w:pPr>
              <w:pStyle w:val="13"/>
            </w:pPr>
            <w:r>
              <w:t>253.41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20111</w:t>
            </w:r>
          </w:p>
        </w:tc>
        <w:tc>
          <w:tcPr>
            <w:tcW w:w="4535" w:type="dxa"/>
            <w:vAlign w:val="center"/>
          </w:tcPr>
          <w:p>
            <w:pPr>
              <w:pStyle w:val="12"/>
            </w:pPr>
            <w:r>
              <w:t>纪检监察事务</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1223.95</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2551" w:type="dxa"/>
            <w:vAlign w:val="center"/>
          </w:tcPr>
          <w:p>
            <w:pPr>
              <w:pStyle w:val="13"/>
            </w:pPr>
            <w:r>
              <w:t>253.41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2011101</w:t>
            </w:r>
          </w:p>
        </w:tc>
        <w:tc>
          <w:tcPr>
            <w:tcW w:w="4535" w:type="dxa"/>
            <w:vAlign w:val="center"/>
          </w:tcPr>
          <w:p>
            <w:pPr>
              <w:pStyle w:val="12"/>
            </w:pPr>
            <w:r>
              <w:t>行政运行</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1118.92</w:t>
            </w:r>
          </w:p>
        </w:tc>
        <w:tc>
          <w:tcPr>
            <w:tcW w:w="2551" w:type="dxa"/>
            <w:vAlign w:val="center"/>
          </w:tcPr>
          <w:p>
            <w:pPr>
              <w:pStyle w:val="13"/>
              <w:rPr>
                <w:rFonts w:ascii="方正书宋_GBK" w:hAnsi="方正书宋_GBK" w:eastAsia="方正书宋_GBK" w:cs="方正书宋_GBK"/>
                <w:kern w:val="2"/>
                <w:sz w:val="21"/>
                <w:szCs w:val="24"/>
                <w:lang w:val="en-US" w:eastAsia="zh-CN" w:bidi="ar-SA"/>
              </w:rPr>
            </w:pPr>
            <w:r>
              <w:t>970.54</w:t>
            </w:r>
          </w:p>
        </w:tc>
        <w:tc>
          <w:tcPr>
            <w:tcW w:w="2551" w:type="dxa"/>
            <w:vAlign w:val="center"/>
          </w:tcPr>
          <w:p>
            <w:pPr>
              <w:pStyle w:val="13"/>
            </w:pPr>
            <w:r>
              <w:t>148.38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2011102</w:t>
            </w:r>
          </w:p>
        </w:tc>
        <w:tc>
          <w:tcPr>
            <w:tcW w:w="4535" w:type="dxa"/>
            <w:vAlign w:val="center"/>
          </w:tcPr>
          <w:p>
            <w:pPr>
              <w:pStyle w:val="12"/>
            </w:pPr>
            <w:r>
              <w:t>一般行政管理事务</w:t>
            </w:r>
          </w:p>
        </w:tc>
        <w:tc>
          <w:tcPr>
            <w:tcW w:w="2551" w:type="dxa"/>
            <w:vAlign w:val="center"/>
          </w:tcPr>
          <w:p>
            <w:pPr>
              <w:pStyle w:val="13"/>
            </w:pPr>
            <w:r>
              <w:t>32.23</w:t>
            </w:r>
          </w:p>
        </w:tc>
        <w:tc>
          <w:tcPr>
            <w:tcW w:w="2551" w:type="dxa"/>
            <w:vAlign w:val="center"/>
          </w:tcPr>
          <w:p>
            <w:pPr>
              <w:pStyle w:val="13"/>
            </w:pPr>
          </w:p>
        </w:tc>
        <w:tc>
          <w:tcPr>
            <w:tcW w:w="2551" w:type="dxa"/>
            <w:vAlign w:val="center"/>
          </w:tcPr>
          <w:p>
            <w:pPr>
              <w:pStyle w:val="13"/>
            </w:pPr>
            <w:r>
              <w:t>32.23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2011199</w:t>
            </w:r>
          </w:p>
        </w:tc>
        <w:tc>
          <w:tcPr>
            <w:tcW w:w="4535" w:type="dxa"/>
            <w:vAlign w:val="center"/>
          </w:tcPr>
          <w:p>
            <w:pPr>
              <w:pStyle w:val="12"/>
            </w:pPr>
            <w:r>
              <w:t>其他纪检监察事务支出</w:t>
            </w:r>
          </w:p>
        </w:tc>
        <w:tc>
          <w:tcPr>
            <w:tcW w:w="2551" w:type="dxa"/>
            <w:vAlign w:val="center"/>
          </w:tcPr>
          <w:p>
            <w:pPr>
              <w:pStyle w:val="13"/>
            </w:pPr>
            <w:r>
              <w:t>72.80</w:t>
            </w:r>
          </w:p>
        </w:tc>
        <w:tc>
          <w:tcPr>
            <w:tcW w:w="2551" w:type="dxa"/>
            <w:vAlign w:val="center"/>
          </w:tcPr>
          <w:p>
            <w:pPr>
              <w:pStyle w:val="13"/>
            </w:pPr>
          </w:p>
        </w:tc>
        <w:tc>
          <w:tcPr>
            <w:tcW w:w="2551" w:type="dxa"/>
            <w:vAlign w:val="center"/>
          </w:tcPr>
          <w:p>
            <w:pPr>
              <w:pStyle w:val="13"/>
            </w:pPr>
            <w:r>
              <w:t>72.80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3"/>
            </w:pPr>
            <w:r>
              <w:t>190.24</w:t>
            </w:r>
          </w:p>
        </w:tc>
        <w:tc>
          <w:tcPr>
            <w:tcW w:w="2551" w:type="dxa"/>
            <w:vAlign w:val="center"/>
          </w:tcPr>
          <w:p>
            <w:pPr>
              <w:pStyle w:val="13"/>
            </w:pPr>
            <w:r>
              <w:t>190.24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3"/>
            </w:pPr>
            <w:r>
              <w:t>190.24</w:t>
            </w:r>
          </w:p>
        </w:tc>
        <w:tc>
          <w:tcPr>
            <w:tcW w:w="2551" w:type="dxa"/>
            <w:vAlign w:val="center"/>
          </w:tcPr>
          <w:p>
            <w:pPr>
              <w:pStyle w:val="13"/>
            </w:pPr>
            <w:r>
              <w:t>190.24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3"/>
            </w:pPr>
            <w:r>
              <w:t>64.55</w:t>
            </w:r>
          </w:p>
        </w:tc>
        <w:tc>
          <w:tcPr>
            <w:tcW w:w="2551" w:type="dxa"/>
            <w:vAlign w:val="center"/>
          </w:tcPr>
          <w:p>
            <w:pPr>
              <w:pStyle w:val="13"/>
            </w:pPr>
            <w:r>
              <w:t>64.55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3"/>
            </w:pPr>
            <w:r>
              <w:t>125.70</w:t>
            </w:r>
          </w:p>
        </w:tc>
        <w:tc>
          <w:tcPr>
            <w:tcW w:w="2551" w:type="dxa"/>
            <w:vAlign w:val="center"/>
          </w:tcPr>
          <w:p>
            <w:pPr>
              <w:pStyle w:val="13"/>
            </w:pPr>
            <w:r>
              <w:t>125.70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3"/>
            </w:pPr>
            <w:r>
              <w:t>49.50</w:t>
            </w:r>
          </w:p>
        </w:tc>
        <w:tc>
          <w:tcPr>
            <w:tcW w:w="2551" w:type="dxa"/>
            <w:vAlign w:val="center"/>
          </w:tcPr>
          <w:p>
            <w:pPr>
              <w:pStyle w:val="13"/>
            </w:pPr>
            <w:r>
              <w:t>49.50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3"/>
            </w:pPr>
            <w:r>
              <w:t>49.50</w:t>
            </w:r>
          </w:p>
        </w:tc>
        <w:tc>
          <w:tcPr>
            <w:tcW w:w="2551" w:type="dxa"/>
            <w:vAlign w:val="center"/>
          </w:tcPr>
          <w:p>
            <w:pPr>
              <w:pStyle w:val="13"/>
            </w:pPr>
            <w:r>
              <w:t>49.50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3"/>
            </w:pPr>
            <w:r>
              <w:t>49.50</w:t>
            </w:r>
          </w:p>
        </w:tc>
        <w:tc>
          <w:tcPr>
            <w:tcW w:w="2551" w:type="dxa"/>
            <w:vAlign w:val="center"/>
          </w:tcPr>
          <w:p>
            <w:pPr>
              <w:pStyle w:val="13"/>
            </w:pPr>
            <w:r>
              <w:t>49.50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3"/>
            </w:pPr>
            <w:r>
              <w:t>76.18</w:t>
            </w:r>
          </w:p>
        </w:tc>
        <w:tc>
          <w:tcPr>
            <w:tcW w:w="2551" w:type="dxa"/>
            <w:vAlign w:val="center"/>
          </w:tcPr>
          <w:p>
            <w:pPr>
              <w:pStyle w:val="13"/>
            </w:pPr>
            <w:r>
              <w:t>76.18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3"/>
            </w:pPr>
            <w:r>
              <w:t>76.18</w:t>
            </w:r>
          </w:p>
        </w:tc>
        <w:tc>
          <w:tcPr>
            <w:tcW w:w="2551" w:type="dxa"/>
            <w:vAlign w:val="center"/>
          </w:tcPr>
          <w:p>
            <w:pPr>
              <w:pStyle w:val="13"/>
            </w:pPr>
            <w:r>
              <w:t>76.18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3"/>
            </w:pPr>
            <w:r>
              <w:t>76.18</w:t>
            </w:r>
          </w:p>
        </w:tc>
        <w:tc>
          <w:tcPr>
            <w:tcW w:w="2551" w:type="dxa"/>
            <w:vAlign w:val="center"/>
          </w:tcPr>
          <w:p>
            <w:pPr>
              <w:pStyle w:val="13"/>
            </w:pPr>
            <w:r>
              <w:t>76.18</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6" w:name="_Toc15605"/>
      <w:r>
        <w:rPr>
          <w:rFonts w:ascii="方正小标宋_GBK" w:hAnsi="方正小标宋_GBK" w:eastAsia="方正小标宋_GBK" w:cs="方正小标宋_GBK"/>
          <w:color w:val="000000"/>
          <w:sz w:val="36"/>
        </w:rPr>
        <w:t>单位预算一般公共预算财政拨款基本支出表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rPr>
                <w:rFonts w:ascii="方正书宋_GBK" w:hAnsi="方正书宋_GBK" w:eastAsia="方正书宋_GBK" w:cs="方正书宋_GBK"/>
                <w:b/>
                <w:kern w:val="2"/>
                <w:sz w:val="21"/>
                <w:szCs w:val="24"/>
                <w:lang w:val="en-US" w:eastAsia="uk-UA" w:bidi="ar-SA"/>
              </w:rPr>
            </w:pPr>
            <w:r>
              <w:t>1286.46</w:t>
            </w:r>
          </w:p>
        </w:tc>
        <w:tc>
          <w:tcPr>
            <w:tcW w:w="2551" w:type="dxa"/>
            <w:vAlign w:val="center"/>
          </w:tcPr>
          <w:p>
            <w:pPr>
              <w:pStyle w:val="15"/>
              <w:rPr>
                <w:rFonts w:ascii="方正书宋_GBK" w:hAnsi="方正书宋_GBK" w:eastAsia="方正书宋_GBK" w:cs="方正书宋_GBK"/>
                <w:b/>
                <w:kern w:val="2"/>
                <w:sz w:val="21"/>
                <w:szCs w:val="24"/>
                <w:lang w:val="en-US" w:eastAsia="uk-UA" w:bidi="ar-SA"/>
              </w:rPr>
            </w:pPr>
            <w:r>
              <w:t>1165.96</w:t>
            </w:r>
          </w:p>
        </w:tc>
        <w:tc>
          <w:tcPr>
            <w:tcW w:w="2552" w:type="dxa"/>
            <w:vAlign w:val="center"/>
          </w:tcPr>
          <w:p>
            <w:pPr>
              <w:pStyle w:val="15"/>
              <w:rPr>
                <w:rFonts w:ascii="方正书宋_GBK" w:hAnsi="方正书宋_GBK" w:eastAsia="方正书宋_GBK" w:cs="方正书宋_GBK"/>
                <w:b/>
                <w:kern w:val="2"/>
                <w:sz w:val="21"/>
                <w:szCs w:val="24"/>
                <w:lang w:val="en-US" w:eastAsia="uk-UA" w:bidi="ar-SA"/>
              </w:rPr>
            </w:pPr>
            <w:r>
              <w:t>120.50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1066.92</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1066.92</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365.03</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365.03</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311.13</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311.13</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139.38</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139.38</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121.89</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121.89</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48.75</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48.75</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4.55</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4.55</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76.18</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76.18</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120.50</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120.50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5.95</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0.24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0.80</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35.74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35.74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0.85</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0.42</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0.42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2.59</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4.38</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3.65</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12.00</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52.44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52.44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1.44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p>
        </w:tc>
        <w:tc>
          <w:tcPr>
            <w:tcW w:w="2552" w:type="dxa"/>
            <w:vAlign w:val="center"/>
          </w:tcPr>
          <w:p>
            <w:pPr>
              <w:pStyle w:val="13"/>
              <w:rPr>
                <w:rFonts w:ascii="方正书宋_GBK" w:hAnsi="方正书宋_GBK" w:eastAsia="方正书宋_GBK" w:cs="方正书宋_GBK"/>
                <w:kern w:val="2"/>
                <w:sz w:val="21"/>
                <w:szCs w:val="24"/>
                <w:lang w:val="en-US" w:eastAsia="uk-UA" w:bidi="ar-SA"/>
              </w:rPr>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99.04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99.04</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63.11</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63.11</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3.60</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3.60</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32.34</w:t>
            </w:r>
          </w:p>
        </w:tc>
        <w:tc>
          <w:tcPr>
            <w:tcW w:w="2551" w:type="dxa"/>
            <w:vAlign w:val="center"/>
          </w:tcPr>
          <w:p>
            <w:pPr>
              <w:pStyle w:val="13"/>
              <w:rPr>
                <w:rFonts w:ascii="方正书宋_GBK" w:hAnsi="方正书宋_GBK" w:eastAsia="方正书宋_GBK" w:cs="方正书宋_GBK"/>
                <w:kern w:val="2"/>
                <w:sz w:val="21"/>
                <w:szCs w:val="24"/>
                <w:lang w:val="en-US" w:eastAsia="uk-UA" w:bidi="ar-SA"/>
              </w:rPr>
            </w:pPr>
            <w:r>
              <w:t>32.34</w:t>
            </w:r>
          </w:p>
        </w:tc>
        <w:tc>
          <w:tcPr>
            <w:tcW w:w="2552" w:type="dxa"/>
            <w:vAlign w:val="center"/>
          </w:tcPr>
          <w:p>
            <w:pPr>
              <w:pStyle w:val="13"/>
              <w:rPr>
                <w:rFonts w:ascii="方正书宋_GBK" w:hAnsi="方正书宋_GBK" w:eastAsia="方正书宋_GBK" w:cs="方正书宋_GBK"/>
                <w:kern w:val="2"/>
                <w:sz w:val="21"/>
                <w:szCs w:val="24"/>
                <w:lang w:val="en-US" w:eastAsia="uk-UA" w:bidi="ar-SA"/>
              </w:rPr>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7" w:name="_Toc29820"/>
      <w:r>
        <w:rPr>
          <w:rFonts w:ascii="方正小标宋_GBK" w:hAnsi="方正小标宋_GBK" w:eastAsia="方正小标宋_GBK" w:cs="方正小标宋_GBK"/>
          <w:color w:val="000000"/>
          <w:sz w:val="36"/>
        </w:rPr>
        <w:t>单位预算政府基金预算财政拨款支出表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0"/>
      </w:pPr>
      <w:bookmarkStart w:id="8" w:name="_Toc14065"/>
      <w:r>
        <w:rPr>
          <w:rFonts w:ascii="方正小标宋_GBK" w:hAnsi="方正小标宋_GBK" w:eastAsia="方正小标宋_GBK" w:cs="方正小标宋_GBK"/>
          <w:color w:val="000000"/>
          <w:sz w:val="36"/>
        </w:rPr>
        <w:t>单位预算国有资本经营预算财政拨款支出表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0"/>
      </w:pPr>
      <w:bookmarkStart w:id="9" w:name="_Toc233"/>
      <w:r>
        <w:rPr>
          <w:rFonts w:ascii="方正小标宋_GBK" w:hAnsi="方正小标宋_GBK" w:eastAsia="方正小标宋_GBK" w:cs="方正小标宋_GBK"/>
          <w:color w:val="000000"/>
          <w:sz w:val="36"/>
        </w:rPr>
        <w:t>单位预算财政拨款“三公”经费支出表</w:t>
      </w:r>
      <w:bookmarkEnd w:id="9"/>
    </w:p>
    <w:tbl>
      <w:tblPr>
        <w:tblStyle w:val="5"/>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2" w:hRule="atLeast"/>
        </w:trPr>
        <w:tc>
          <w:tcPr>
            <w:tcW w:w="14173" w:type="dxa"/>
            <w:gridSpan w:val="6"/>
            <w:tcBorders>
              <w:top w:val="nil"/>
              <w:bottom w:val="single" w:color="000000" w:sz="6" w:space="0"/>
            </w:tcBorders>
          </w:tcPr>
          <w:p>
            <w:pPr>
              <w:pStyle w:val="17"/>
              <w:tabs>
                <w:tab w:val="left" w:pos="7340"/>
                <w:tab w:val="left" w:pos="12864"/>
              </w:tabs>
              <w:spacing w:line="406" w:lineRule="exact"/>
              <w:ind w:left="106"/>
              <w:rPr>
                <w:sz w:val="24"/>
              </w:rPr>
            </w:pPr>
            <w:r>
              <w:t>222001中国共产党满城区纪律检查委员会</w:t>
            </w:r>
            <w:r>
              <w:rPr>
                <w:sz w:val="24"/>
              </w:rPr>
              <w:tab/>
            </w:r>
            <w:r>
              <w:rPr>
                <w:sz w:val="24"/>
              </w:rPr>
              <w:t>预算年度：202</w:t>
            </w:r>
            <w:r>
              <w:rPr>
                <w:rFonts w:hint="eastAsia" w:eastAsia="宋体"/>
                <w:sz w:val="24"/>
                <w:lang w:val="en-US" w:eastAsia="zh-CN"/>
              </w:rPr>
              <w:t>3</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1"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7"/>
              <w:spacing w:before="6"/>
              <w:rPr>
                <w:sz w:val="19"/>
              </w:rPr>
            </w:pPr>
          </w:p>
          <w:p>
            <w:pPr>
              <w:pStyle w:val="17"/>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7"/>
              <w:spacing w:before="6"/>
              <w:rPr>
                <w:sz w:val="19"/>
              </w:rPr>
            </w:pPr>
          </w:p>
          <w:p>
            <w:pPr>
              <w:pStyle w:val="17"/>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7"/>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7"/>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7"/>
              <w:spacing w:line="361" w:lineRule="exact"/>
              <w:ind w:left="538" w:right="527"/>
              <w:jc w:val="center"/>
              <w:rPr>
                <w:b/>
                <w:sz w:val="21"/>
              </w:rPr>
            </w:pPr>
            <w:r>
              <w:rPr>
                <w:b/>
                <w:sz w:val="21"/>
              </w:rPr>
              <w:t>一般公共预算</w:t>
            </w:r>
          </w:p>
          <w:p>
            <w:pPr>
              <w:pStyle w:val="17"/>
              <w:spacing w:line="340" w:lineRule="exact"/>
              <w:ind w:left="536" w:right="527"/>
              <w:jc w:val="center"/>
              <w:rPr>
                <w:b/>
                <w:sz w:val="21"/>
              </w:rPr>
            </w:pPr>
            <w:r>
              <w:rPr>
                <w:b/>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7"/>
              <w:spacing w:line="361" w:lineRule="exact"/>
              <w:ind w:left="665"/>
              <w:rPr>
                <w:b/>
                <w:sz w:val="21"/>
              </w:rPr>
            </w:pPr>
            <w:r>
              <w:rPr>
                <w:b/>
                <w:sz w:val="21"/>
              </w:rPr>
              <w:t>政府性基金</w:t>
            </w:r>
          </w:p>
          <w:p>
            <w:pPr>
              <w:pStyle w:val="17"/>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7"/>
              <w:spacing w:line="361" w:lineRule="exact"/>
              <w:ind w:left="559"/>
              <w:rPr>
                <w:b/>
                <w:sz w:val="21"/>
              </w:rPr>
            </w:pPr>
            <w:r>
              <w:rPr>
                <w:b/>
                <w:w w:val="95"/>
                <w:sz w:val="21"/>
              </w:rPr>
              <w:t>国有资本经营</w:t>
            </w:r>
          </w:p>
          <w:p>
            <w:pPr>
              <w:pStyle w:val="17"/>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7"/>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89"/>
              <w:ind w:left="15"/>
              <w:jc w:val="center"/>
              <w:rPr>
                <w:b/>
                <w:sz w:val="21"/>
              </w:rPr>
            </w:pPr>
            <w:r>
              <w:rPr>
                <w:b/>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90"/>
              <w:ind w:left="10"/>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7"/>
              <w:spacing w:before="90"/>
              <w:ind w:right="88"/>
              <w:jc w:val="right"/>
              <w:rPr>
                <w:rFonts w:hint="default" w:eastAsiaTheme="minorEastAsia"/>
                <w:b/>
                <w:sz w:val="21"/>
                <w:lang w:val="en-US" w:eastAsia="zh-CN"/>
              </w:rPr>
            </w:pPr>
            <w:r>
              <w:rPr>
                <w:rFonts w:hint="eastAsia"/>
                <w:b/>
                <w:sz w:val="21"/>
              </w:rPr>
              <w:t>1</w:t>
            </w:r>
            <w:r>
              <w:rPr>
                <w:rFonts w:hint="eastAsia"/>
                <w:b/>
                <w:sz w:val="21"/>
                <w:lang w:val="en-US" w:eastAsia="zh-CN"/>
              </w:rPr>
              <w:t>4</w:t>
            </w:r>
            <w:r>
              <w:rPr>
                <w:rFonts w:hint="eastAsia"/>
                <w:b/>
                <w:sz w:val="21"/>
              </w:rPr>
              <w:t>.</w:t>
            </w:r>
            <w:r>
              <w:rPr>
                <w:rFonts w:hint="eastAsia"/>
                <w:b/>
                <w:sz w:val="21"/>
                <w:lang w:val="en-US" w:eastAsia="zh-CN"/>
              </w:rPr>
              <w:t>59</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90"/>
              <w:ind w:right="88"/>
              <w:jc w:val="right"/>
              <w:rPr>
                <w:rFonts w:hint="default" w:eastAsiaTheme="minorEastAsia"/>
                <w:b/>
                <w:sz w:val="21"/>
                <w:lang w:val="en-US" w:eastAsia="zh-CN"/>
              </w:rPr>
            </w:pPr>
            <w:r>
              <w:rPr>
                <w:rFonts w:hint="eastAsia"/>
                <w:b/>
                <w:sz w:val="21"/>
              </w:rPr>
              <w:t>1</w:t>
            </w:r>
            <w:r>
              <w:rPr>
                <w:rFonts w:hint="eastAsia"/>
                <w:b/>
                <w:sz w:val="21"/>
                <w:lang w:val="en-US" w:eastAsia="zh-CN"/>
              </w:rPr>
              <w:t>4</w:t>
            </w:r>
            <w:r>
              <w:rPr>
                <w:rFonts w:hint="eastAsia"/>
                <w:b/>
                <w:sz w:val="21"/>
              </w:rPr>
              <w:t>.</w:t>
            </w:r>
            <w:r>
              <w:rPr>
                <w:rFonts w:hint="eastAsia"/>
                <w:b/>
                <w:sz w:val="21"/>
                <w:lang w:val="en-US" w:eastAsia="zh-CN"/>
              </w:rPr>
              <w:t>59</w:t>
            </w: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89"/>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7"/>
              <w:spacing w:before="90"/>
              <w:ind w:right="92"/>
              <w:jc w:val="right"/>
              <w:rPr>
                <w:rFonts w:hint="default" w:eastAsiaTheme="minorEastAsia"/>
                <w:sz w:val="21"/>
                <w:lang w:val="en-US" w:eastAsia="zh-CN"/>
              </w:rPr>
            </w:pPr>
            <w:r>
              <w:rPr>
                <w:rFonts w:hint="eastAsia"/>
                <w:sz w:val="21"/>
                <w:lang w:val="en-US" w:eastAsia="zh-CN"/>
              </w:rPr>
              <w:t>12</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90"/>
              <w:ind w:right="92"/>
              <w:jc w:val="right"/>
              <w:rPr>
                <w:rFonts w:hint="default" w:eastAsiaTheme="minorEastAsia"/>
                <w:sz w:val="21"/>
                <w:lang w:val="en-US" w:eastAsia="zh-CN"/>
              </w:rPr>
            </w:pPr>
            <w:r>
              <w:rPr>
                <w:rFonts w:hint="eastAsia"/>
                <w:sz w:val="21"/>
                <w:lang w:val="en-US" w:eastAsia="zh-CN"/>
              </w:rPr>
              <w:t>12</w:t>
            </w: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89"/>
              <w:ind w:left="52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7"/>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7"/>
              <w:spacing w:before="90"/>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7"/>
              <w:spacing w:before="90"/>
              <w:ind w:right="92"/>
              <w:jc w:val="right"/>
              <w:rPr>
                <w:rFonts w:hint="eastAsia" w:eastAsiaTheme="minorEastAsia"/>
                <w:sz w:val="21"/>
                <w:lang w:val="en-US" w:eastAsia="zh-CN"/>
              </w:rPr>
            </w:pPr>
            <w:r>
              <w:rPr>
                <w:rFonts w:hint="eastAsia"/>
                <w:sz w:val="21"/>
              </w:rPr>
              <w:t>1</w:t>
            </w:r>
            <w:r>
              <w:rPr>
                <w:rFonts w:hint="eastAsia"/>
                <w:sz w:val="21"/>
                <w:lang w:val="en-US" w:eastAsia="zh-CN"/>
              </w:rPr>
              <w:t>2</w:t>
            </w:r>
          </w:p>
        </w:tc>
        <w:tc>
          <w:tcPr>
            <w:tcW w:w="2381" w:type="dxa"/>
            <w:tcBorders>
              <w:top w:val="single" w:color="000000" w:sz="6" w:space="0"/>
              <w:left w:val="single" w:color="000000" w:sz="6" w:space="0"/>
              <w:bottom w:val="single" w:color="000000" w:sz="6" w:space="0"/>
              <w:right w:val="single" w:color="000000" w:sz="6" w:space="0"/>
            </w:tcBorders>
          </w:tcPr>
          <w:p>
            <w:pPr>
              <w:pStyle w:val="17"/>
              <w:spacing w:before="90"/>
              <w:ind w:right="92"/>
              <w:jc w:val="right"/>
              <w:rPr>
                <w:rFonts w:hint="eastAsia" w:eastAsiaTheme="minorEastAsia"/>
                <w:sz w:val="21"/>
                <w:lang w:val="en-US" w:eastAsia="zh-CN"/>
              </w:rPr>
            </w:pPr>
            <w:r>
              <w:rPr>
                <w:rFonts w:hint="eastAsia"/>
                <w:sz w:val="21"/>
              </w:rPr>
              <w:t>1</w:t>
            </w:r>
            <w:r>
              <w:rPr>
                <w:rFonts w:hint="eastAsia"/>
                <w:sz w:val="21"/>
                <w:lang w:val="en-US" w:eastAsia="zh-CN"/>
              </w:rPr>
              <w:t>2</w:t>
            </w: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2" w:hRule="atLeast"/>
        </w:trPr>
        <w:tc>
          <w:tcPr>
            <w:tcW w:w="850" w:type="dxa"/>
            <w:tcBorders>
              <w:top w:val="single" w:color="000000" w:sz="6" w:space="0"/>
              <w:left w:val="single" w:color="000000" w:sz="6" w:space="0"/>
              <w:bottom w:val="single" w:color="000000" w:sz="4" w:space="0"/>
              <w:right w:val="single" w:color="000000" w:sz="6" w:space="0"/>
            </w:tcBorders>
          </w:tcPr>
          <w:p>
            <w:pPr>
              <w:pStyle w:val="17"/>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17"/>
              <w:spacing w:before="14" w:line="385" w:lineRule="exact"/>
              <w:ind w:left="108"/>
              <w:rPr>
                <w:sz w:val="21"/>
              </w:rPr>
            </w:pPr>
            <w:r>
              <w:rPr>
                <w:sz w:val="21"/>
              </w:rPr>
              <w:t>三、公务接待费</w:t>
            </w:r>
          </w:p>
        </w:tc>
        <w:tc>
          <w:tcPr>
            <w:tcW w:w="2382" w:type="dxa"/>
            <w:tcBorders>
              <w:top w:val="single" w:color="000000" w:sz="6" w:space="0"/>
              <w:left w:val="single" w:color="000000" w:sz="6" w:space="0"/>
              <w:bottom w:val="single" w:color="000000" w:sz="4" w:space="0"/>
              <w:right w:val="single" w:color="000000" w:sz="6" w:space="0"/>
            </w:tcBorders>
          </w:tcPr>
          <w:p>
            <w:pPr>
              <w:pStyle w:val="17"/>
              <w:spacing w:before="14" w:line="385" w:lineRule="exact"/>
              <w:ind w:right="92"/>
              <w:jc w:val="right"/>
              <w:rPr>
                <w:rFonts w:hint="default" w:eastAsiaTheme="minorEastAsia"/>
                <w:sz w:val="21"/>
                <w:lang w:val="en-US" w:eastAsia="zh-CN"/>
              </w:rPr>
            </w:pPr>
            <w:r>
              <w:rPr>
                <w:rFonts w:hint="eastAsia"/>
                <w:sz w:val="21"/>
              </w:rPr>
              <w:t>2.</w:t>
            </w:r>
            <w:r>
              <w:rPr>
                <w:rFonts w:hint="eastAsia"/>
                <w:sz w:val="21"/>
                <w:lang w:val="en-US" w:eastAsia="zh-CN"/>
              </w:rPr>
              <w:t>59</w:t>
            </w:r>
          </w:p>
        </w:tc>
        <w:tc>
          <w:tcPr>
            <w:tcW w:w="2381" w:type="dxa"/>
            <w:tcBorders>
              <w:top w:val="single" w:color="000000" w:sz="6" w:space="0"/>
              <w:left w:val="single" w:color="000000" w:sz="6" w:space="0"/>
              <w:bottom w:val="single" w:color="000000" w:sz="4" w:space="0"/>
              <w:right w:val="single" w:color="000000" w:sz="6" w:space="0"/>
            </w:tcBorders>
          </w:tcPr>
          <w:p>
            <w:pPr>
              <w:pStyle w:val="17"/>
              <w:spacing w:before="14" w:line="385" w:lineRule="exact"/>
              <w:ind w:right="92"/>
              <w:jc w:val="right"/>
              <w:rPr>
                <w:rFonts w:hint="default" w:eastAsiaTheme="minorEastAsia"/>
                <w:sz w:val="21"/>
                <w:lang w:val="en-US" w:eastAsia="zh-CN"/>
              </w:rPr>
            </w:pPr>
            <w:r>
              <w:rPr>
                <w:rFonts w:hint="eastAsia"/>
                <w:sz w:val="21"/>
              </w:rPr>
              <w:t>2.</w:t>
            </w:r>
            <w:r>
              <w:rPr>
                <w:rFonts w:hint="eastAsia"/>
                <w:sz w:val="21"/>
                <w:lang w:val="en-US" w:eastAsia="zh-CN"/>
              </w:rPr>
              <w:t>59</w:t>
            </w:r>
          </w:p>
        </w:tc>
        <w:tc>
          <w:tcPr>
            <w:tcW w:w="2381" w:type="dxa"/>
            <w:tcBorders>
              <w:top w:val="single" w:color="000000" w:sz="6" w:space="0"/>
              <w:left w:val="single" w:color="000000" w:sz="6" w:space="0"/>
              <w:bottom w:val="single" w:color="000000" w:sz="4" w:space="0"/>
              <w:right w:val="single" w:color="000000" w:sz="6" w:space="0"/>
            </w:tcBorders>
          </w:tcPr>
          <w:p>
            <w:pPr>
              <w:pStyle w:val="17"/>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tcPr>
          <w:p>
            <w:pPr>
              <w:pStyle w:val="17"/>
              <w:rPr>
                <w:rFonts w:ascii="Times New Roman"/>
              </w:rPr>
            </w:pPr>
          </w:p>
        </w:tc>
      </w:tr>
    </w:tbl>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0"/>
      </w:pPr>
      <w:bookmarkStart w:id="10" w:name="_Toc18858"/>
      <w:r>
        <w:rPr>
          <w:rFonts w:ascii="方正小标宋_GBK" w:hAnsi="方正小标宋_GBK" w:eastAsia="方正小标宋_GBK" w:cs="方正小标宋_GBK"/>
          <w:color w:val="000000"/>
          <w:sz w:val="44"/>
        </w:rPr>
        <w:t>中国共产党满城区纪律检查委员会2023年单位预算信息公开情况说明</w:t>
      </w:r>
      <w:bookmarkEnd w:id="10"/>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、《地方预决算公开操作规程》和《关于进一步推进预算公开工作的实施意见》规定，现将中国共产党满城区纪律检查委员会2023年单位预算公开如下：</w:t>
      </w:r>
    </w:p>
    <w:p>
      <w:pPr>
        <w:spacing w:before="10" w:after="10"/>
        <w:ind w:firstLine="640"/>
        <w:outlineLvl w:val="0"/>
      </w:pPr>
      <w:bookmarkStart w:id="11" w:name="_Toc11094"/>
      <w:r>
        <w:rPr>
          <w:rFonts w:ascii="黑体" w:hAnsi="黑体" w:eastAsia="黑体" w:cs="黑体"/>
          <w:color w:val="000000"/>
          <w:sz w:val="32"/>
        </w:rPr>
        <w:t>一、单位职责及机构设置情况</w:t>
      </w:r>
      <w:bookmarkEnd w:id="11"/>
    </w:p>
    <w:p>
      <w:pPr>
        <w:ind w:firstLine="640"/>
      </w:pPr>
      <w:r>
        <w:rPr>
          <w:rFonts w:ascii="方正楷体_GBK" w:hAnsi="方正楷体_GBK" w:eastAsia="方正楷体_GBK" w:cs="方正楷体_GBK"/>
          <w:b/>
          <w:color w:val="000000"/>
          <w:sz w:val="32"/>
        </w:rPr>
        <w:t>单位职责：</w:t>
      </w:r>
    </w:p>
    <w:p>
      <w:pPr>
        <w:pStyle w:val="18"/>
        <w:rPr>
          <w:rFonts w:hint="eastAsia"/>
        </w:rPr>
      </w:pPr>
      <w:r>
        <w:rPr>
          <w:rFonts w:hint="eastAsia"/>
        </w:rPr>
        <w:t>(1)主管全区党的纪律检查工作。负责贯彻落实党中央、中纪委、省委、省纪委、市委、市纪委和区委关于加强党风廉政建设的决定；维护党的章程和其它党内法规；监督检查党的路线、方针、政策和决议的执行情况。</w:t>
      </w:r>
    </w:p>
    <w:p>
      <w:pPr>
        <w:pStyle w:val="18"/>
        <w:rPr>
          <w:rFonts w:hint="eastAsia"/>
        </w:rPr>
      </w:pPr>
      <w:r>
        <w:rPr>
          <w:rFonts w:hint="eastAsia"/>
        </w:rPr>
        <w:t>（2）主管全区行政监察工作。负责宣传贯彻实施《中华人民共和国监察法》；贯彻落实党中央、国务院、省、市及我区有关行政监察工作的决定；监督检查区政府各部门及其工作人员和主要负责人执行政</w:t>
      </w:r>
      <w:bookmarkStart w:id="20" w:name="_GoBack"/>
      <w:bookmarkEnd w:id="20"/>
      <w:r>
        <w:rPr>
          <w:rFonts w:hint="eastAsia"/>
        </w:rPr>
        <w:t>策、法律、法规、国民经济和社会发展计划及国务院、省、市及我区政府颁发的决议、命令的执行情况。</w:t>
      </w:r>
    </w:p>
    <w:p>
      <w:pPr>
        <w:pStyle w:val="18"/>
        <w:rPr>
          <w:rFonts w:hint="eastAsia"/>
        </w:rPr>
      </w:pPr>
      <w:r>
        <w:rPr>
          <w:rFonts w:hint="eastAsia"/>
        </w:rPr>
        <w:t>（3）负责检查并处理区委、区政府机关各部门党的组织和区委管理的党员干部违反党的章程及党内法规的案件，决定或取消对这些案件中的党员的处分；受理党员的控告和申诉。</w:t>
      </w:r>
    </w:p>
    <w:p>
      <w:pPr>
        <w:pStyle w:val="18"/>
        <w:rPr>
          <w:rFonts w:hint="eastAsia"/>
        </w:rPr>
      </w:pPr>
      <w:r>
        <w:rPr>
          <w:rFonts w:hint="eastAsia"/>
        </w:rPr>
        <w:t>（4）负责调查处理区政府各部门及其工作人员和主要负责人违反国家政策、法规及违反政纪的行为，并根据负责人所犯错误的情节轻重，提出处分建议或按权限直接给予行政处分（对涉及选举产生的领导干部按法定程序办理）；受理监察对象不服政纪处分的申诉；受理个人或单位对监察对象违纪行为的检举、控告。</w:t>
      </w:r>
    </w:p>
    <w:p>
      <w:pPr>
        <w:pStyle w:val="18"/>
        <w:rPr>
          <w:rFonts w:hint="eastAsia"/>
        </w:rPr>
      </w:pPr>
      <w:r>
        <w:rPr>
          <w:rFonts w:hint="eastAsia"/>
        </w:rPr>
        <w:t>（5）负责做出关于维护党纪的决定；制定全区党风廉政教育规划；配合有关部门做好宣传党的纪检监察工作方针、政策和教育党员遵守纪律工作。</w:t>
      </w:r>
    </w:p>
    <w:p>
      <w:pPr>
        <w:pStyle w:val="18"/>
        <w:rPr>
          <w:rFonts w:hint="eastAsia"/>
        </w:rPr>
      </w:pPr>
      <w:r>
        <w:rPr>
          <w:rFonts w:hint="eastAsia"/>
        </w:rPr>
        <w:t>（6）负责对党的纪律检查工作理论及有关问题进行调查研究。</w:t>
      </w:r>
    </w:p>
    <w:p>
      <w:pPr>
        <w:pStyle w:val="18"/>
        <w:rPr>
          <w:rFonts w:hint="eastAsia"/>
        </w:rPr>
      </w:pPr>
      <w:r>
        <w:rPr>
          <w:rFonts w:hint="eastAsia"/>
        </w:rPr>
        <w:t>（7）调查研究区政府各部门制定的有关政策、规定情况，对其违反国家法律和有损国家利益的条款提出修改、补充建议。</w:t>
      </w:r>
    </w:p>
    <w:p>
      <w:pPr>
        <w:pStyle w:val="18"/>
        <w:rPr>
          <w:rFonts w:hint="eastAsia"/>
        </w:rPr>
      </w:pPr>
      <w:r>
        <w:rPr>
          <w:rFonts w:hint="eastAsia"/>
        </w:rPr>
        <w:t>（8）会同组织部门做好全区纪检监察系统干部的管理、任免、培训工作。</w:t>
      </w:r>
    </w:p>
    <w:p>
      <w:pPr>
        <w:pStyle w:val="18"/>
        <w:rPr>
          <w:rFonts w:hint="eastAsia"/>
        </w:rPr>
      </w:pPr>
      <w:r>
        <w:rPr>
          <w:rFonts w:hint="eastAsia"/>
        </w:rPr>
        <w:t>（9）承担区委巡察工作的综合协调、组织指导、制度建设服务保障，以及对巡察组的监督管理等工作；对所辖乡（科）级及以下地方、单位党组织领导班子及其成员进行巡察监督。</w:t>
      </w:r>
    </w:p>
    <w:p>
      <w:pPr>
        <w:pStyle w:val="18"/>
        <w:rPr>
          <w:rFonts w:hint="eastAsia"/>
        </w:rPr>
      </w:pPr>
      <w:r>
        <w:rPr>
          <w:rFonts w:hint="eastAsia"/>
        </w:rPr>
        <w:t>（10）承办区委、区政府及中纪委、监察部、省纪委、省监察厅、市纪委、市监察局授权和交办的其它工作</w:t>
      </w:r>
    </w:p>
    <w:p>
      <w:pPr>
        <w:pStyle w:val="18"/>
      </w:pPr>
      <w:r>
        <w:rPr>
          <w:rFonts w:hint="eastAsia"/>
        </w:rPr>
        <w:t>（11）区纪委监委统一设立派驻机构，名称为中共保定市满城区纪律检查委员会保定市满城区监察委员会派驻纪检监察组。由区纪委监委直接领导、统一管理。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中国共产党满城区纪律检查委员会</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ind w:firstLine="640"/>
        <w:outlineLvl w:val="0"/>
      </w:pPr>
      <w:bookmarkStart w:id="12" w:name="_Toc695"/>
      <w:r>
        <w:rPr>
          <w:rFonts w:ascii="黑体" w:hAnsi="黑体" w:eastAsia="黑体" w:cs="黑体"/>
          <w:color w:val="000000"/>
          <w:sz w:val="32"/>
        </w:rPr>
        <w:t>二、单位预算安排的总体情况</w:t>
      </w:r>
      <w:bookmarkEnd w:id="12"/>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区</w:t>
      </w:r>
      <w:r>
        <w:rPr>
          <w:rFonts w:eastAsia="方正仿宋_GBK"/>
          <w:color w:val="000000"/>
          <w:sz w:val="28"/>
        </w:rPr>
        <w:t>单位预算的编制实行综合预算管理，即全部收入和支出都反映在预算中。</w:t>
      </w:r>
    </w:p>
    <w:p>
      <w:pPr>
        <w:spacing w:line="500" w:lineRule="exact"/>
        <w:ind w:firstLine="560"/>
        <w:rPr>
          <w:rFonts w:eastAsia="方正仿宋_GBK"/>
          <w:color w:val="000000"/>
          <w:sz w:val="28"/>
          <w:lang w:val="en-US" w:eastAsia="uk-UA"/>
        </w:rPr>
      </w:pPr>
      <w:bookmarkStart w:id="13" w:name="_Toc3038"/>
      <w:r>
        <w:rPr>
          <w:rFonts w:eastAsia="方正仿宋_GBK"/>
          <w:color w:val="000000"/>
          <w:sz w:val="28"/>
          <w:lang w:val="en-US" w:eastAsia="uk-UA"/>
        </w:rPr>
        <w:t>1、收入说明</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反映本</w:t>
      </w:r>
      <w:r>
        <w:rPr>
          <w:rFonts w:hint="eastAsia" w:eastAsia="方正仿宋_GBK"/>
          <w:color w:val="000000"/>
          <w:sz w:val="28"/>
          <w:lang w:val="en-US" w:eastAsia="zh-CN"/>
        </w:rPr>
        <w:t>单位</w:t>
      </w:r>
      <w:r>
        <w:rPr>
          <w:rFonts w:eastAsia="方正仿宋_GBK"/>
          <w:color w:val="000000"/>
          <w:sz w:val="28"/>
          <w:lang w:val="en-US" w:eastAsia="uk-UA"/>
        </w:rPr>
        <w:t>当年全部收入。202</w:t>
      </w:r>
      <w:r>
        <w:rPr>
          <w:rFonts w:hint="eastAsia" w:eastAsia="方正仿宋_GBK"/>
          <w:color w:val="000000"/>
          <w:sz w:val="28"/>
          <w:lang w:val="en-US" w:eastAsia="zh-CN"/>
        </w:rPr>
        <w:t>3</w:t>
      </w:r>
      <w:r>
        <w:rPr>
          <w:rFonts w:eastAsia="方正仿宋_GBK"/>
          <w:color w:val="000000"/>
          <w:sz w:val="28"/>
          <w:lang w:val="en-US" w:eastAsia="uk-UA"/>
        </w:rPr>
        <w:t xml:space="preserve"> 年预算收入 15</w:t>
      </w:r>
      <w:r>
        <w:rPr>
          <w:rFonts w:hint="eastAsia" w:eastAsia="方正仿宋_GBK"/>
          <w:color w:val="000000"/>
          <w:sz w:val="28"/>
          <w:lang w:val="en-US" w:eastAsia="zh-CN"/>
        </w:rPr>
        <w:t>39</w:t>
      </w:r>
      <w:r>
        <w:rPr>
          <w:rFonts w:eastAsia="方正仿宋_GBK"/>
          <w:color w:val="000000"/>
          <w:sz w:val="28"/>
          <w:lang w:val="en-US" w:eastAsia="uk-UA"/>
        </w:rPr>
        <w:t>.</w:t>
      </w:r>
      <w:r>
        <w:rPr>
          <w:rFonts w:hint="eastAsia" w:eastAsia="方正仿宋_GBK"/>
          <w:color w:val="000000"/>
          <w:sz w:val="28"/>
          <w:lang w:val="en-US" w:eastAsia="zh-CN"/>
        </w:rPr>
        <w:t>8</w:t>
      </w:r>
      <w:r>
        <w:rPr>
          <w:rFonts w:eastAsia="方正仿宋_GBK"/>
          <w:color w:val="000000"/>
          <w:sz w:val="28"/>
          <w:lang w:val="en-US" w:eastAsia="uk-UA"/>
        </w:rPr>
        <w:t>7</w:t>
      </w:r>
      <w:r>
        <w:rPr>
          <w:rFonts w:hint="eastAsia" w:eastAsia="方正仿宋_GBK"/>
          <w:color w:val="000000"/>
          <w:sz w:val="28"/>
          <w:lang w:val="en-US" w:eastAsia="uk-UA"/>
        </w:rPr>
        <w:t>万元，其中：一般公共预算收入</w:t>
      </w:r>
      <w:r>
        <w:rPr>
          <w:rFonts w:eastAsia="方正仿宋_GBK"/>
          <w:color w:val="000000"/>
          <w:sz w:val="28"/>
          <w:lang w:val="en-US" w:eastAsia="uk-UA"/>
        </w:rPr>
        <w:t>15</w:t>
      </w:r>
      <w:r>
        <w:rPr>
          <w:rFonts w:hint="eastAsia" w:eastAsia="方正仿宋_GBK"/>
          <w:color w:val="000000"/>
          <w:sz w:val="28"/>
          <w:lang w:val="en-US" w:eastAsia="zh-CN"/>
        </w:rPr>
        <w:t>39</w:t>
      </w:r>
      <w:r>
        <w:rPr>
          <w:rFonts w:eastAsia="方正仿宋_GBK"/>
          <w:color w:val="000000"/>
          <w:sz w:val="28"/>
          <w:lang w:val="en-US" w:eastAsia="uk-UA"/>
        </w:rPr>
        <w:t>.67</w:t>
      </w:r>
      <w:r>
        <w:rPr>
          <w:rFonts w:hint="eastAsia" w:eastAsia="方正仿宋_GBK"/>
          <w:color w:val="000000"/>
          <w:sz w:val="28"/>
          <w:lang w:val="en-US" w:eastAsia="uk-UA"/>
        </w:rPr>
        <w:t xml:space="preserve"> </w:t>
      </w:r>
      <w:r>
        <w:rPr>
          <w:rFonts w:eastAsia="方正仿宋_GBK"/>
          <w:color w:val="000000"/>
          <w:sz w:val="28"/>
          <w:lang w:val="en-US" w:eastAsia="uk-UA"/>
        </w:rPr>
        <w:t>万元，基金预算收入</w:t>
      </w:r>
      <w:r>
        <w:rPr>
          <w:rFonts w:hint="eastAsia" w:eastAsia="方正仿宋_GBK"/>
          <w:color w:val="000000"/>
          <w:sz w:val="28"/>
          <w:lang w:val="en-US" w:eastAsia="uk-UA"/>
        </w:rPr>
        <w:t>0</w:t>
      </w:r>
      <w:r>
        <w:rPr>
          <w:rFonts w:eastAsia="方正仿宋_GBK"/>
          <w:color w:val="000000"/>
          <w:sz w:val="28"/>
          <w:lang w:val="en-US" w:eastAsia="uk-UA"/>
        </w:rPr>
        <w:t>万元，国有资本经营预算收入 0 万元，财政专户核拨收入 0 万元，单位资金</w:t>
      </w:r>
      <w:r>
        <w:rPr>
          <w:rFonts w:hint="eastAsia" w:eastAsia="方正仿宋_GBK"/>
          <w:color w:val="000000"/>
          <w:sz w:val="28"/>
          <w:lang w:val="en-US" w:eastAsia="zh-CN"/>
        </w:rPr>
        <w:t>收</w:t>
      </w:r>
      <w:r>
        <w:rPr>
          <w:rFonts w:eastAsia="方正仿宋_GBK"/>
          <w:color w:val="000000"/>
          <w:sz w:val="28"/>
          <w:lang w:val="en-US" w:eastAsia="uk-UA"/>
        </w:rPr>
        <w:t xml:space="preserve">入 0 万元，上年结转结余 </w:t>
      </w:r>
      <w:r>
        <w:rPr>
          <w:rFonts w:hint="eastAsia" w:eastAsia="方正仿宋_GBK"/>
          <w:color w:val="000000"/>
          <w:sz w:val="28"/>
          <w:lang w:val="en-US" w:eastAsia="zh-CN"/>
        </w:rPr>
        <w:t>0.2</w:t>
      </w:r>
      <w:r>
        <w:rPr>
          <w:rFonts w:eastAsia="方正仿宋_GBK"/>
          <w:color w:val="000000"/>
          <w:sz w:val="28"/>
          <w:lang w:val="en-US" w:eastAsia="uk-UA"/>
        </w:rPr>
        <w:t>万元。</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2、支出说明</w:t>
      </w:r>
    </w:p>
    <w:p>
      <w:pPr>
        <w:spacing w:line="500" w:lineRule="exact"/>
        <w:ind w:firstLine="560"/>
        <w:rPr>
          <w:rFonts w:hint="eastAsia" w:eastAsia="方正仿宋_GBK"/>
          <w:color w:val="000000"/>
          <w:sz w:val="28"/>
          <w:lang w:val="en-US" w:eastAsia="zh-CN"/>
        </w:rPr>
      </w:pPr>
      <w:r>
        <w:rPr>
          <w:rFonts w:eastAsia="方正仿宋_GBK"/>
          <w:color w:val="000000"/>
          <w:sz w:val="28"/>
          <w:lang w:val="en-US" w:eastAsia="uk-UA"/>
        </w:rPr>
        <w:t>收支预算总表支出栏、基本支出表、项目支出表按经济分类和支出功能分类科目编制，反映</w:t>
      </w:r>
      <w:r>
        <w:rPr>
          <w:rFonts w:hint="eastAsia" w:eastAsia="方正仿宋_GBK"/>
          <w:color w:val="000000"/>
          <w:sz w:val="28"/>
          <w:lang w:val="en-US" w:eastAsia="uk-UA"/>
        </w:rPr>
        <w:t>满城区纪委监委</w:t>
      </w:r>
      <w:r>
        <w:rPr>
          <w:rFonts w:eastAsia="方正仿宋_GBK"/>
          <w:color w:val="000000"/>
          <w:sz w:val="28"/>
          <w:lang w:val="en-US" w:eastAsia="uk-UA"/>
        </w:rPr>
        <w:t>年度</w:t>
      </w:r>
      <w:r>
        <w:rPr>
          <w:rFonts w:hint="eastAsia" w:eastAsia="方正仿宋_GBK"/>
          <w:color w:val="000000"/>
          <w:sz w:val="28"/>
          <w:lang w:val="en-US" w:eastAsia="zh-CN"/>
        </w:rPr>
        <w:t>单位</w:t>
      </w:r>
      <w:r>
        <w:rPr>
          <w:rFonts w:eastAsia="方正仿宋_GBK"/>
          <w:color w:val="000000"/>
          <w:sz w:val="28"/>
          <w:lang w:val="en-US" w:eastAsia="uk-UA"/>
        </w:rPr>
        <w:t>预算中支出预算的总体情况。2022 年支出预算15</w:t>
      </w:r>
      <w:r>
        <w:rPr>
          <w:rFonts w:hint="eastAsia" w:eastAsia="方正仿宋_GBK"/>
          <w:color w:val="000000"/>
          <w:sz w:val="28"/>
          <w:lang w:val="en-US" w:eastAsia="zh-CN"/>
        </w:rPr>
        <w:t>39</w:t>
      </w:r>
      <w:r>
        <w:rPr>
          <w:rFonts w:eastAsia="方正仿宋_GBK"/>
          <w:color w:val="000000"/>
          <w:sz w:val="28"/>
          <w:lang w:val="en-US" w:eastAsia="uk-UA"/>
        </w:rPr>
        <w:t>.87万元，其中基本支出</w:t>
      </w:r>
      <w:r>
        <w:rPr>
          <w:rFonts w:hint="eastAsia" w:eastAsia="方正仿宋_GBK"/>
          <w:color w:val="000000"/>
          <w:sz w:val="28"/>
          <w:lang w:val="en-US" w:eastAsia="zh-CN"/>
        </w:rPr>
        <w:t>1286.46</w:t>
      </w:r>
      <w:r>
        <w:rPr>
          <w:rFonts w:eastAsia="方正仿宋_GBK"/>
          <w:color w:val="000000"/>
          <w:sz w:val="28"/>
          <w:lang w:val="en-US" w:eastAsia="uk-UA"/>
        </w:rPr>
        <w:t xml:space="preserve">万元，包括人员经费 </w:t>
      </w:r>
      <w:r>
        <w:rPr>
          <w:rFonts w:hint="eastAsia" w:eastAsia="方正仿宋_GBK"/>
          <w:color w:val="000000"/>
          <w:sz w:val="28"/>
          <w:lang w:val="en-US" w:eastAsia="zh-CN"/>
        </w:rPr>
        <w:t>1165.96</w:t>
      </w:r>
      <w:r>
        <w:rPr>
          <w:rFonts w:eastAsia="方正仿宋_GBK"/>
          <w:color w:val="000000"/>
          <w:sz w:val="28"/>
          <w:lang w:val="en-US" w:eastAsia="uk-UA"/>
        </w:rPr>
        <w:t>万元和日常公用经费</w:t>
      </w:r>
      <w:r>
        <w:rPr>
          <w:rFonts w:hint="eastAsia" w:eastAsia="方正仿宋_GBK"/>
          <w:color w:val="000000"/>
          <w:sz w:val="28"/>
          <w:lang w:val="en-US" w:eastAsia="zh-CN"/>
        </w:rPr>
        <w:t>120.50</w:t>
      </w:r>
      <w:r>
        <w:rPr>
          <w:rFonts w:eastAsia="方正仿宋_GBK"/>
          <w:color w:val="000000"/>
          <w:sz w:val="28"/>
          <w:lang w:val="en-US" w:eastAsia="uk-UA"/>
        </w:rPr>
        <w:t>万元；项目支出</w:t>
      </w:r>
      <w:r>
        <w:rPr>
          <w:rFonts w:hint="eastAsia" w:eastAsia="方正仿宋_GBK"/>
          <w:color w:val="000000"/>
          <w:sz w:val="28"/>
          <w:lang w:val="en-US" w:eastAsia="uk-UA"/>
        </w:rPr>
        <w:t>25</w:t>
      </w:r>
      <w:r>
        <w:rPr>
          <w:rFonts w:hint="eastAsia" w:eastAsia="方正仿宋_GBK"/>
          <w:color w:val="000000"/>
          <w:sz w:val="28"/>
          <w:lang w:val="en-US" w:eastAsia="zh-CN"/>
        </w:rPr>
        <w:t>3.41</w:t>
      </w:r>
      <w:r>
        <w:rPr>
          <w:rFonts w:eastAsia="方正仿宋_GBK"/>
          <w:color w:val="000000"/>
          <w:sz w:val="28"/>
          <w:lang w:val="en-US" w:eastAsia="uk-UA"/>
        </w:rPr>
        <w:t>万元，主要</w:t>
      </w:r>
      <w:r>
        <w:rPr>
          <w:rFonts w:hint="eastAsia" w:eastAsia="方正仿宋_GBK"/>
          <w:color w:val="000000"/>
          <w:sz w:val="28"/>
          <w:lang w:val="en-US" w:eastAsia="uk-UA"/>
        </w:rPr>
        <w:t>是机关日常办案</w:t>
      </w:r>
      <w:r>
        <w:rPr>
          <w:rFonts w:eastAsia="方正仿宋_GBK"/>
          <w:color w:val="000000"/>
          <w:sz w:val="28"/>
          <w:lang w:val="en-US" w:eastAsia="uk-UA"/>
        </w:rPr>
        <w:t>经费</w:t>
      </w:r>
      <w:r>
        <w:rPr>
          <w:rFonts w:hint="eastAsia" w:eastAsia="方正仿宋_GBK"/>
          <w:color w:val="000000"/>
          <w:sz w:val="28"/>
          <w:lang w:val="en-US" w:eastAsia="zh-CN"/>
        </w:rPr>
        <w:t>。</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3、比上年增减情况</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202</w:t>
      </w:r>
      <w:r>
        <w:rPr>
          <w:rFonts w:hint="eastAsia" w:eastAsia="方正仿宋_GBK"/>
          <w:color w:val="000000"/>
          <w:sz w:val="28"/>
          <w:lang w:val="en-US" w:eastAsia="zh-CN"/>
        </w:rPr>
        <w:t>3</w:t>
      </w:r>
      <w:r>
        <w:rPr>
          <w:rFonts w:eastAsia="方正仿宋_GBK"/>
          <w:color w:val="000000"/>
          <w:sz w:val="28"/>
          <w:lang w:val="en-US" w:eastAsia="uk-UA"/>
        </w:rPr>
        <w:t xml:space="preserve"> 年预算收支安排 </w:t>
      </w:r>
      <w:r>
        <w:rPr>
          <w:rFonts w:hint="eastAsia" w:eastAsia="方正仿宋_GBK"/>
          <w:color w:val="000000"/>
          <w:sz w:val="28"/>
          <w:lang w:val="en-US" w:eastAsia="zh-CN"/>
        </w:rPr>
        <w:t>1539.67</w:t>
      </w:r>
      <w:r>
        <w:rPr>
          <w:rFonts w:eastAsia="方正仿宋_GBK"/>
          <w:color w:val="000000"/>
          <w:sz w:val="28"/>
          <w:lang w:val="en-US" w:eastAsia="uk-UA"/>
        </w:rPr>
        <w:t>万元，较 202</w:t>
      </w:r>
      <w:r>
        <w:rPr>
          <w:rFonts w:hint="eastAsia" w:eastAsia="方正仿宋_GBK"/>
          <w:color w:val="000000"/>
          <w:sz w:val="28"/>
          <w:lang w:val="en-US" w:eastAsia="zh-CN"/>
        </w:rPr>
        <w:t>2</w:t>
      </w:r>
      <w:r>
        <w:rPr>
          <w:rFonts w:eastAsia="方正仿宋_GBK"/>
          <w:color w:val="000000"/>
          <w:sz w:val="28"/>
          <w:lang w:val="en-US" w:eastAsia="uk-UA"/>
        </w:rPr>
        <w:t xml:space="preserve"> 年预算</w:t>
      </w:r>
      <w:r>
        <w:rPr>
          <w:rFonts w:hint="eastAsia" w:eastAsia="方正仿宋_GBK"/>
          <w:color w:val="000000"/>
          <w:sz w:val="28"/>
          <w:lang w:val="en-US" w:eastAsia="uk-UA"/>
        </w:rPr>
        <w:t>增加</w:t>
      </w:r>
      <w:r>
        <w:rPr>
          <w:rFonts w:hint="eastAsia" w:eastAsia="方正仿宋_GBK"/>
          <w:color w:val="000000"/>
          <w:sz w:val="28"/>
          <w:lang w:val="en-US" w:eastAsia="zh-CN"/>
        </w:rPr>
        <w:t>33.84</w:t>
      </w:r>
      <w:r>
        <w:rPr>
          <w:rFonts w:eastAsia="方正仿宋_GBK"/>
          <w:color w:val="000000"/>
          <w:sz w:val="28"/>
          <w:lang w:val="en-US" w:eastAsia="uk-UA"/>
        </w:rPr>
        <w:t>万元，其中：基本支出</w:t>
      </w:r>
      <w:r>
        <w:rPr>
          <w:rFonts w:hint="eastAsia" w:eastAsia="方正仿宋_GBK"/>
          <w:color w:val="000000"/>
          <w:sz w:val="28"/>
          <w:lang w:val="en-US" w:eastAsia="uk-UA"/>
        </w:rPr>
        <w:t>共计</w:t>
      </w:r>
      <w:r>
        <w:rPr>
          <w:rFonts w:hint="eastAsia" w:eastAsia="方正仿宋_GBK"/>
          <w:color w:val="000000"/>
          <w:sz w:val="28"/>
          <w:lang w:val="en-US" w:eastAsia="zh-CN"/>
        </w:rPr>
        <w:t>增加32.94</w:t>
      </w:r>
      <w:r>
        <w:rPr>
          <w:rFonts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人员经费增加</w:t>
      </w:r>
      <w:r>
        <w:rPr>
          <w:rFonts w:hint="eastAsia" w:eastAsia="方正仿宋_GBK"/>
          <w:color w:val="000000"/>
          <w:sz w:val="28"/>
          <w:lang w:val="en-US" w:eastAsia="zh-CN"/>
        </w:rPr>
        <w:t>41.1</w:t>
      </w:r>
      <w:r>
        <w:rPr>
          <w:rFonts w:hint="eastAsia" w:eastAsia="方正仿宋_GBK"/>
          <w:color w:val="000000"/>
          <w:sz w:val="28"/>
          <w:lang w:val="en-US" w:eastAsia="uk-UA"/>
        </w:rPr>
        <w:t>万元，</w:t>
      </w:r>
      <w:r>
        <w:rPr>
          <w:rFonts w:eastAsia="方正仿宋_GBK"/>
          <w:color w:val="000000"/>
          <w:sz w:val="28"/>
          <w:lang w:val="en-US" w:eastAsia="uk-UA"/>
        </w:rPr>
        <w:t>主要</w:t>
      </w:r>
      <w:r>
        <w:rPr>
          <w:rFonts w:hint="eastAsia" w:eastAsia="方正仿宋_GBK"/>
          <w:color w:val="000000"/>
          <w:sz w:val="28"/>
          <w:lang w:val="en-US" w:eastAsia="zh-CN"/>
        </w:rPr>
        <w:t>原因</w:t>
      </w:r>
      <w:r>
        <w:rPr>
          <w:rFonts w:eastAsia="方正仿宋_GBK"/>
          <w:color w:val="000000"/>
          <w:sz w:val="28"/>
          <w:lang w:val="en-US" w:eastAsia="uk-UA"/>
        </w:rPr>
        <w:t>为人员</w:t>
      </w:r>
      <w:r>
        <w:rPr>
          <w:rFonts w:hint="eastAsia" w:eastAsia="方正仿宋_GBK"/>
          <w:color w:val="000000"/>
          <w:sz w:val="28"/>
          <w:lang w:val="en-US" w:eastAsia="uk-UA"/>
        </w:rPr>
        <w:t>调入</w:t>
      </w:r>
      <w:r>
        <w:rPr>
          <w:rFonts w:hint="eastAsia" w:eastAsia="方正仿宋_GBK"/>
          <w:color w:val="000000"/>
          <w:sz w:val="28"/>
          <w:lang w:val="en-US" w:eastAsia="zh-CN"/>
        </w:rPr>
        <w:t>；</w:t>
      </w:r>
      <w:r>
        <w:rPr>
          <w:rFonts w:hint="eastAsia" w:eastAsia="方正仿宋_GBK"/>
          <w:color w:val="000000"/>
          <w:sz w:val="28"/>
          <w:lang w:val="en-US" w:eastAsia="uk-UA"/>
        </w:rPr>
        <w:t>日常公用经费减少</w:t>
      </w:r>
      <w:r>
        <w:rPr>
          <w:rFonts w:hint="eastAsia" w:eastAsia="方正仿宋_GBK"/>
          <w:color w:val="000000"/>
          <w:sz w:val="28"/>
          <w:lang w:val="en-US" w:eastAsia="zh-CN"/>
        </w:rPr>
        <w:t>8.16万元，主要原因是纪委在政府大院办公水电费减少。</w:t>
      </w:r>
      <w:r>
        <w:rPr>
          <w:rFonts w:eastAsia="方正仿宋_GBK"/>
          <w:color w:val="000000"/>
          <w:sz w:val="28"/>
          <w:lang w:val="en-US" w:eastAsia="uk-UA"/>
        </w:rPr>
        <w:t>项目支出</w:t>
      </w:r>
      <w:r>
        <w:rPr>
          <w:rFonts w:hint="eastAsia" w:eastAsia="方正仿宋_GBK"/>
          <w:color w:val="000000"/>
          <w:sz w:val="28"/>
          <w:lang w:val="en-US" w:eastAsia="uk-UA"/>
        </w:rPr>
        <w:t>增加</w:t>
      </w:r>
      <w:r>
        <w:rPr>
          <w:rFonts w:hint="eastAsia" w:eastAsia="方正仿宋_GBK"/>
          <w:color w:val="000000"/>
          <w:sz w:val="28"/>
          <w:lang w:val="en-US" w:eastAsia="zh-CN"/>
        </w:rPr>
        <w:t>1.1</w:t>
      </w:r>
      <w:r>
        <w:rPr>
          <w:rFonts w:eastAsia="方正仿宋_GBK"/>
          <w:color w:val="000000"/>
          <w:sz w:val="28"/>
          <w:lang w:val="en-US" w:eastAsia="uk-UA"/>
        </w:rPr>
        <w:t>万元</w:t>
      </w:r>
      <w:r>
        <w:rPr>
          <w:rFonts w:hint="eastAsia" w:eastAsia="方正仿宋_GBK"/>
          <w:color w:val="000000"/>
          <w:sz w:val="28"/>
          <w:lang w:val="en-US" w:eastAsia="zh-CN"/>
        </w:rPr>
        <w:t>，主要原因是巡察办配备内网计算机终端、保密电脑。</w:t>
      </w:r>
    </w:p>
    <w:p>
      <w:pPr>
        <w:numPr>
          <w:ilvl w:val="0"/>
          <w:numId w:val="1"/>
        </w:numPr>
        <w:spacing w:before="10" w:after="10" w:line="360" w:lineRule="auto"/>
        <w:ind w:firstLine="640"/>
        <w:outlineLvl w:val="2"/>
        <w:rPr>
          <w:rFonts w:ascii="黑体" w:hAnsi="黑体" w:eastAsia="黑体" w:cs="黑体"/>
          <w:color w:val="000000"/>
          <w:sz w:val="32"/>
        </w:rPr>
      </w:pPr>
      <w:bookmarkStart w:id="14" w:name="_Toc_3_3_0000000012"/>
      <w:r>
        <w:rPr>
          <w:rFonts w:ascii="黑体" w:hAnsi="黑体" w:eastAsia="黑体" w:cs="黑体"/>
          <w:color w:val="000000"/>
          <w:sz w:val="32"/>
        </w:rPr>
        <w:t>机关运行经费安排情况</w:t>
      </w:r>
      <w:bookmarkEnd w:id="14"/>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3</w:t>
      </w:r>
      <w:r>
        <w:rPr>
          <w:rFonts w:hint="eastAsia" w:eastAsia="方正仿宋_GBK"/>
          <w:color w:val="000000"/>
          <w:sz w:val="28"/>
          <w:lang w:val="en-US" w:eastAsia="uk-UA"/>
        </w:rPr>
        <w:t>年，我</w:t>
      </w:r>
      <w:r>
        <w:rPr>
          <w:rFonts w:hint="eastAsia" w:eastAsia="方正仿宋_GBK"/>
          <w:color w:val="000000"/>
          <w:sz w:val="28"/>
          <w:lang w:val="en-US" w:eastAsia="zh-CN"/>
        </w:rPr>
        <w:t>单位</w:t>
      </w:r>
      <w:r>
        <w:rPr>
          <w:rFonts w:hint="eastAsia" w:eastAsia="方正仿宋_GBK"/>
          <w:color w:val="000000"/>
          <w:sz w:val="28"/>
          <w:lang w:val="en-US" w:eastAsia="uk-UA"/>
        </w:rPr>
        <w:t>运行经费共计安排</w:t>
      </w:r>
      <w:r>
        <w:rPr>
          <w:rFonts w:hint="eastAsia" w:eastAsia="方正仿宋_GBK"/>
          <w:color w:val="000000"/>
          <w:sz w:val="28"/>
          <w:lang w:val="en-US" w:eastAsia="zh-CN"/>
        </w:rPr>
        <w:t>120.50</w:t>
      </w:r>
      <w:r>
        <w:rPr>
          <w:rFonts w:hint="eastAsia" w:eastAsia="方正仿宋_GBK"/>
          <w:color w:val="000000"/>
          <w:sz w:val="28"/>
          <w:lang w:val="en-US" w:eastAsia="uk-UA"/>
        </w:rPr>
        <w:t>万元，主要用于日常办公费、办公用房水电费、公车运行维护费等日常运行支出。</w:t>
      </w:r>
    </w:p>
    <w:p>
      <w:pPr>
        <w:spacing w:before="10" w:after="10" w:line="360" w:lineRule="auto"/>
        <w:ind w:firstLine="640"/>
        <w:outlineLvl w:val="2"/>
      </w:pPr>
      <w:bookmarkStart w:id="15" w:name="_Toc_3_3_0000000013"/>
      <w:r>
        <w:rPr>
          <w:rFonts w:ascii="黑体" w:hAnsi="黑体" w:eastAsia="黑体" w:cs="黑体"/>
          <w:color w:val="000000"/>
          <w:sz w:val="32"/>
        </w:rPr>
        <w:t>四、财政拨款“三公”经费预算情况及增减变化原因</w:t>
      </w:r>
      <w:bookmarkEnd w:id="15"/>
    </w:p>
    <w:p>
      <w:pPr>
        <w:pStyle w:val="25"/>
      </w:pPr>
      <w:r>
        <w:rPr>
          <w:rFonts w:hint="eastAsia"/>
        </w:rPr>
        <w:t>202</w:t>
      </w:r>
      <w:r>
        <w:rPr>
          <w:rFonts w:hint="eastAsia"/>
          <w:lang w:val="en-US" w:eastAsia="zh-CN"/>
        </w:rPr>
        <w:t>3</w:t>
      </w:r>
      <w:r>
        <w:rPr>
          <w:rFonts w:hint="eastAsia"/>
        </w:rPr>
        <w:t xml:space="preserve"> 年，我</w:t>
      </w:r>
      <w:r>
        <w:rPr>
          <w:rFonts w:hint="eastAsia"/>
          <w:lang w:val="en-US" w:eastAsia="zh-CN"/>
        </w:rPr>
        <w:t>单位</w:t>
      </w:r>
      <w:r>
        <w:rPr>
          <w:rFonts w:hint="eastAsia"/>
        </w:rPr>
        <w:t>财政拨款“三公”经费预算安排1</w:t>
      </w:r>
      <w:r>
        <w:rPr>
          <w:rFonts w:hint="eastAsia"/>
          <w:lang w:val="en-US" w:eastAsia="zh-CN"/>
        </w:rPr>
        <w:t>4</w:t>
      </w:r>
      <w:r>
        <w:rPr>
          <w:rFonts w:hint="eastAsia"/>
        </w:rPr>
        <w:t>.</w:t>
      </w:r>
      <w:r>
        <w:rPr>
          <w:rFonts w:hint="eastAsia"/>
          <w:lang w:val="en-US" w:eastAsia="zh-CN"/>
        </w:rPr>
        <w:t>59</w:t>
      </w:r>
      <w:r>
        <w:rPr>
          <w:rFonts w:hint="eastAsia"/>
        </w:rPr>
        <w:t>万元，其中因公出国（境）费 0 万元；公务用车购置及运维费1</w:t>
      </w:r>
      <w:r>
        <w:rPr>
          <w:rFonts w:hint="eastAsia"/>
          <w:lang w:val="en-US" w:eastAsia="zh-CN"/>
        </w:rPr>
        <w:t>2</w:t>
      </w:r>
      <w:r>
        <w:rPr>
          <w:rFonts w:hint="eastAsia"/>
        </w:rPr>
        <w:t>万元（其中：公务用车购置费为0万元，公务用车运维费1</w:t>
      </w:r>
      <w:r>
        <w:rPr>
          <w:rFonts w:hint="eastAsia"/>
          <w:lang w:val="en-US" w:eastAsia="zh-CN"/>
        </w:rPr>
        <w:t>2</w:t>
      </w:r>
      <w:r>
        <w:rPr>
          <w:rFonts w:hint="eastAsia"/>
        </w:rPr>
        <w:t>万元)</w:t>
      </w:r>
      <w:r>
        <w:rPr>
          <w:rFonts w:hint="eastAsia"/>
          <w:lang w:eastAsia="zh-CN"/>
        </w:rPr>
        <w:t>，</w:t>
      </w:r>
      <w:r>
        <w:rPr>
          <w:rFonts w:hint="eastAsia"/>
          <w:lang w:val="en-US" w:eastAsia="zh-CN"/>
        </w:rPr>
        <w:t>与上年相比减少4万，主要原因是每辆车标准降低。</w:t>
      </w:r>
      <w:r>
        <w:rPr>
          <w:rFonts w:hint="eastAsia"/>
        </w:rPr>
        <w:t>公务接待费2.</w:t>
      </w:r>
      <w:r>
        <w:rPr>
          <w:rFonts w:hint="eastAsia"/>
          <w:lang w:val="en-US" w:eastAsia="zh-CN"/>
        </w:rPr>
        <w:t>59</w:t>
      </w:r>
      <w:r>
        <w:rPr>
          <w:rFonts w:hint="eastAsia"/>
        </w:rPr>
        <w:t>万元</w:t>
      </w:r>
      <w:r>
        <w:rPr>
          <w:rFonts w:hint="eastAsia"/>
          <w:lang w:eastAsia="zh-CN"/>
        </w:rPr>
        <w:t>，</w:t>
      </w:r>
      <w:r>
        <w:rPr>
          <w:rFonts w:hint="eastAsia"/>
        </w:rPr>
        <w:t>与202</w:t>
      </w:r>
      <w:r>
        <w:rPr>
          <w:rFonts w:hint="eastAsia"/>
          <w:lang w:val="en-US" w:eastAsia="zh-CN"/>
        </w:rPr>
        <w:t>2</w:t>
      </w:r>
      <w:r>
        <w:rPr>
          <w:rFonts w:hint="eastAsia"/>
        </w:rPr>
        <w:t>年相比</w:t>
      </w:r>
      <w:r>
        <w:rPr>
          <w:rFonts w:hint="eastAsia"/>
          <w:lang w:val="en-US" w:eastAsia="zh-CN"/>
        </w:rPr>
        <w:t>增加0.26</w:t>
      </w:r>
      <w:r>
        <w:rPr>
          <w:rFonts w:hint="eastAsia"/>
        </w:rPr>
        <w:t>万元，</w:t>
      </w:r>
      <w:r>
        <w:rPr>
          <w:rFonts w:hint="eastAsia"/>
          <w:lang w:val="en-US" w:eastAsia="zh-CN"/>
        </w:rPr>
        <w:t>增加</w:t>
      </w:r>
      <w:r>
        <w:rPr>
          <w:rFonts w:hint="eastAsia"/>
        </w:rPr>
        <w:t>主要原因是：根据年度工作计划实际情况</w:t>
      </w:r>
      <w:r>
        <w:rPr>
          <w:rFonts w:hint="eastAsia"/>
          <w:lang w:val="en-US" w:eastAsia="zh-CN"/>
        </w:rPr>
        <w:t>增加</w:t>
      </w:r>
      <w:r>
        <w:rPr>
          <w:rFonts w:hint="eastAsia"/>
        </w:rPr>
        <w:t>公务接待费预算。</w:t>
      </w:r>
    </w:p>
    <w:p>
      <w:pPr>
        <w:numPr>
          <w:ilvl w:val="0"/>
          <w:numId w:val="2"/>
        </w:numPr>
        <w:spacing w:before="10" w:after="10"/>
        <w:ind w:firstLine="640"/>
        <w:outlineLvl w:val="0"/>
        <w:rPr>
          <w:rFonts w:ascii="黑体" w:hAnsi="黑体" w:eastAsia="黑体" w:cs="黑体"/>
          <w:color w:val="000000"/>
          <w:sz w:val="32"/>
        </w:rPr>
      </w:pPr>
      <w:r>
        <w:rPr>
          <w:rFonts w:ascii="黑体" w:hAnsi="黑体" w:eastAsia="黑体" w:cs="黑体"/>
          <w:color w:val="000000"/>
          <w:sz w:val="32"/>
        </w:rPr>
        <w:t>预算绩效信息</w:t>
      </w:r>
      <w:bookmarkEnd w:id="13"/>
    </w:p>
    <w:p>
      <w:pPr>
        <w:widowControl/>
        <w:ind w:firstLine="643" w:firstLineChars="200"/>
        <w:jc w:val="left"/>
        <w:rPr>
          <w:rFonts w:ascii="黑体" w:hAnsi="黑体" w:eastAsia="黑体" w:cs="黑体"/>
          <w:color w:val="000000"/>
          <w:sz w:val="32"/>
        </w:rPr>
      </w:pPr>
      <w:r>
        <w:rPr>
          <w:rFonts w:hint="eastAsia" w:ascii="方正楷体_GBK" w:hAnsi="方正楷体_GBK" w:eastAsia="方正楷体_GBK" w:cs="方正楷体_GBK"/>
          <w:b/>
          <w:color w:val="000000"/>
          <w:kern w:val="0"/>
          <w:sz w:val="32"/>
          <w:lang w:eastAsia="uk-UA"/>
        </w:rPr>
        <w:t xml:space="preserve">第一部分 </w:t>
      </w:r>
      <w:r>
        <w:rPr>
          <w:rFonts w:hint="eastAsia" w:ascii="方正楷体_GBK" w:hAnsi="方正楷体_GBK" w:eastAsia="方正楷体_GBK" w:cs="方正楷体_GBK"/>
          <w:b/>
          <w:color w:val="000000"/>
          <w:kern w:val="0"/>
          <w:sz w:val="32"/>
          <w:lang w:val="en-US" w:eastAsia="zh-CN"/>
        </w:rPr>
        <w:t>单位</w:t>
      </w:r>
      <w:r>
        <w:rPr>
          <w:rFonts w:hint="eastAsia" w:ascii="方正楷体_GBK" w:hAnsi="方正楷体_GBK" w:eastAsia="方正楷体_GBK" w:cs="方正楷体_GBK"/>
          <w:b/>
          <w:color w:val="000000"/>
          <w:kern w:val="0"/>
          <w:sz w:val="32"/>
          <w:lang w:eastAsia="uk-UA"/>
        </w:rPr>
        <w:t>整体绩效目标</w:t>
      </w:r>
    </w:p>
    <w:p>
      <w:pPr>
        <w:widowControl w:val="0"/>
        <w:numPr>
          <w:ilvl w:val="0"/>
          <w:numId w:val="3"/>
        </w:numPr>
        <w:spacing w:before="10" w:after="10"/>
        <w:ind w:left="480" w:leftChars="0" w:firstLine="0" w:firstLineChars="0"/>
        <w:jc w:val="both"/>
        <w:outlineLvl w:val="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总体绩效目标</w:t>
      </w:r>
    </w:p>
    <w:p>
      <w:pPr>
        <w:ind w:firstLine="560" w:firstLineChars="20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区纪委监委将进一步提高政治站位，全面贯彻党的二十大精神，深入落实省、市、区委全会精神，紧紧围绕中央、省、</w:t>
      </w:r>
    </w:p>
    <w:p>
      <w:pPr>
        <w:rPr>
          <w:rFonts w:hint="eastAsia" w:ascii="方正仿宋_GBK" w:hAnsi="方正仿宋_GBK" w:eastAsia="方正仿宋_GBK" w:cs="方正仿宋_GBK"/>
          <w:b w:val="0"/>
          <w:bCs/>
          <w:color w:val="000000"/>
          <w:sz w:val="28"/>
          <w:lang w:eastAsia="zh-CN"/>
        </w:rPr>
      </w:pPr>
      <w:r>
        <w:rPr>
          <w:rFonts w:hint="eastAsia" w:ascii="方正仿宋_GBK" w:hAnsi="方正仿宋_GBK" w:eastAsia="方正仿宋_GBK" w:cs="方正仿宋_GBK"/>
          <w:b w:val="0"/>
          <w:bCs/>
          <w:color w:val="000000"/>
          <w:sz w:val="28"/>
        </w:rPr>
        <w:t>市纪委全会要求，坚持推动高质量发展的主向不偏差，狠抓监督落实决策部署不放松，保持高压惩治腐败态势不动摇</w:t>
      </w:r>
      <w:r>
        <w:rPr>
          <w:rFonts w:hint="eastAsia" w:ascii="方正仿宋_GBK" w:hAnsi="方正仿宋_GBK" w:eastAsia="方正仿宋_GBK" w:cs="方正仿宋_GBK"/>
          <w:b w:val="0"/>
          <w:bCs/>
          <w:color w:val="000000"/>
          <w:sz w:val="28"/>
          <w:lang w:eastAsia="zh-CN"/>
        </w:rPr>
        <w:t>，</w:t>
      </w:r>
    </w:p>
    <w:p>
      <w:pPr>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抓紧抓牢各项工作落实。以稳中求进为工作总基调，贯彻全面从严治党战略方针，落实不敢腐、不能腐、不想腐一体推进重要方略，坚定不移将党风廉政建设和反腐败斗争进行到底，加强纪检监察机关规范化、法治化、正规化建设，为奋力推动“品质生活新区、善美活力满城”跑出加速度、拼出新精彩提供坚强政治保障。</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（二）分项绩效目标</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一是牢牢把握政治属性，紧扣监督保障再强化。把学习贯彻落实党的二十大精神作为当前和今后一个时期的重大政治任务，强化政治自觉、行动自觉，将二十大部署转化为推动纪检监察工作高质量发展的理念思路、制度机制和治理实践，推动全面从严治党主体责任落到实处，为全面开启社会主义现代化建设新征程提供坚强保障。</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二是全力护航中心工作，推动干部作风再严实。把围绕中心服务大局作为全年纪检监察工作的主线，当好全面从严治党的主力军，全力保障中央和省市区决策部署不折不扣落实到位。特别是围绕发展、稳定、民生等事关全区的重点工作，持续开展优化营商环境专项治理和专项监督，进一步改革创新，当好发展的护卫舰，完善容错纠错机制，以典型案例强化为基层减负、为担当者担当的鲜明导向，积极营造良好的干事氛围。</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三是持之以恒正风肃纪，推动政治生态再优化。努力维护良好的政治生态，持续巩固落实中央八项规定精神成果，紧盯关键时间节点，深入整治“四风”问题，从严查处顶风违纪行为，不断释放全面从严治党的强烈信号。加强对重点领域、重点岗位和“关键少数”的监督检查。</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四是聚焦形成长治长效，聚力标本兼治再深化。保持高压反腐态势，坚持深入查处党员干部和公职人员违纪违法问题，加大整治群众身边的腐败和作风问题。用好“两书”，督促落实突出问题整改，加强建章立制，推动重点领域标本兼治。持续廉洁文化，推进基层廉洁文化示范点建设，多平台、多形式广泛开展廉政教育活动，推动干部崇廉守纪意识内化于心、外化于行。</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五是坚持系统观念原则，助推治理效能再转化。贯彻“一盘棋”理念，加强对“六稳”“六保”、生态环境保护、乡村振兴等国家战略部署的监督检查。善用系统思维和系统方式开展纪检监察各项工作，强化“四项监督”和其他监督的统筹衔接，进一步推动监督全覆盖，增强监督有效性。</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六是严格对标“三化”建设，狠抓政治能力再提升。对标“专业化、规范化、信息化”建设要求，打造纪检监察政治铁军。建立完善对纪检监察权力的常态化监督机制，加强内部风险防控，严防“灯下黑”。用好学习平台，深入开展全员培训，打造政治、业务双过硬队伍。</w:t>
      </w:r>
    </w:p>
    <w:p>
      <w:pPr>
        <w:ind w:firstLine="560"/>
        <w:rPr>
          <w:rFonts w:hint="eastAsia" w:ascii="方正仿宋_GBK" w:hAnsi="方正仿宋_GBK" w:eastAsia="方正仿宋_GBK" w:cs="方正仿宋_GBK"/>
          <w:b w:val="0"/>
          <w:bCs/>
          <w:color w:val="000000"/>
          <w:sz w:val="28"/>
        </w:rPr>
      </w:pP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（三）工作保障措施</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1、加强组织领导。定期召开纪委常委</w:t>
      </w:r>
      <w:r>
        <w:rPr>
          <w:rFonts w:hint="eastAsia" w:ascii="方正仿宋_GBK" w:hAnsi="方正仿宋_GBK" w:eastAsia="方正仿宋_GBK" w:cs="方正仿宋_GBK"/>
          <w:b w:val="0"/>
          <w:bCs/>
          <w:color w:val="000000"/>
          <w:sz w:val="28"/>
          <w:lang w:val="en-US" w:eastAsia="zh-CN"/>
        </w:rPr>
        <w:t>会</w:t>
      </w:r>
      <w:r>
        <w:rPr>
          <w:rFonts w:hint="eastAsia" w:ascii="方正仿宋_GBK" w:hAnsi="方正仿宋_GBK" w:eastAsia="方正仿宋_GBK" w:cs="方正仿宋_GBK"/>
          <w:b w:val="0"/>
          <w:bCs/>
          <w:color w:val="000000"/>
          <w:sz w:val="28"/>
        </w:rPr>
        <w:t>会议、专题会议，调度工作进展，不断完善制度建设。制定了完善的预算绩效管理制度、资金管理办法、工作保障制度等，为全年预算绩效目标的实现奠定制度基础。</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2、加强支出管理。通过优化支出结构、编细编实预算。按规定及时下达资金等多种措施2确保支出进度达标。</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3、加强绩效运行监控。按要求开展绩效运行监控，发现问题及时采取措施，确保绩效目标如期保质实现。</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4、做好绩效自评。按要求开展上年度部门预算绩效自评和重点评价工作，对评价中发现的问题及时整改，调整优化支出结构，提高财政资金使用效益。</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5、规范财务资产管理。完善财务管理制度，严格审批程序，加强固定资产登记、使用和报废处置管理，做到支出合理，物尽其用。</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560"/>
        <w:rPr>
          <w:rFonts w:hint="eastAsia" w:ascii="方正仿宋_GBK" w:hAnsi="方正仿宋_GBK" w:eastAsia="方正仿宋_GBK" w:cs="方正仿宋_GBK"/>
          <w:b w:val="0"/>
          <w:bCs/>
          <w:color w:val="000000"/>
          <w:sz w:val="28"/>
        </w:rPr>
      </w:pPr>
      <w:r>
        <w:rPr>
          <w:rFonts w:hint="eastAsia" w:ascii="方正仿宋_GBK" w:hAnsi="方正仿宋_GBK" w:eastAsia="方正仿宋_GBK" w:cs="方正仿宋_GBK"/>
          <w:b w:val="0"/>
          <w:bCs/>
          <w:color w:val="000000"/>
          <w:sz w:val="28"/>
        </w:rPr>
        <w:t>7、加强宣传培训调研等。加强人员培训，提高本部门职工业务素质；加强调研，提出优化财政资金配置、提高资金使用效益的意</w:t>
      </w:r>
      <w:r>
        <w:rPr>
          <w:rFonts w:hint="eastAsia" w:ascii="方正仿宋_GBK" w:hAnsi="方正仿宋_GBK" w:eastAsia="方正仿宋_GBK" w:cs="方正仿宋_GBK"/>
          <w:b w:val="0"/>
          <w:bCs/>
          <w:color w:val="000000"/>
          <w:sz w:val="28"/>
          <w:lang w:val="en-US" w:eastAsia="zh-CN"/>
        </w:rPr>
        <w:t>见</w:t>
      </w:r>
      <w:r>
        <w:rPr>
          <w:rFonts w:hint="eastAsia" w:ascii="方正仿宋_GBK" w:hAnsi="方正仿宋_GBK" w:eastAsia="方正仿宋_GBK" w:cs="方正仿宋_GBK"/>
          <w:b w:val="0"/>
          <w:bCs/>
          <w:color w:val="000000"/>
          <w:sz w:val="28"/>
        </w:rPr>
        <w:t>；加大宣传力度，强化预算绩效管理意识，促进预算绩效管理水平进一步提升。</w:t>
      </w: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hint="eastAsia" w:ascii="方正楷体_GBK" w:hAnsi="方正楷体_GBK" w:eastAsia="方正楷体_GBK" w:cs="方正楷体_GBK"/>
          <w:b/>
          <w:color w:val="000000"/>
          <w:kern w:val="0"/>
          <w:sz w:val="32"/>
          <w:lang w:eastAsia="uk-UA"/>
        </w:rPr>
      </w:pPr>
    </w:p>
    <w:p>
      <w:pPr>
        <w:widowControl/>
        <w:ind w:firstLine="640"/>
        <w:jc w:val="left"/>
        <w:rPr>
          <w:rFonts w:ascii="方正仿宋_GBK" w:hAnsi="方正仿宋_GBK" w:eastAsia="方正仿宋_GBK" w:cs="方正仿宋_GBK"/>
          <w:b w:val="0"/>
          <w:bCs/>
          <w:color w:val="000000"/>
          <w:sz w:val="28"/>
        </w:rPr>
      </w:pPr>
      <w:r>
        <w:rPr>
          <w:rFonts w:hint="eastAsia" w:ascii="方正楷体_GBK" w:hAnsi="方正楷体_GBK" w:eastAsia="方正楷体_GBK" w:cs="方正楷体_GBK"/>
          <w:b/>
          <w:color w:val="000000"/>
          <w:kern w:val="0"/>
          <w:sz w:val="32"/>
          <w:lang w:eastAsia="uk-UA"/>
        </w:rPr>
        <w:t>第二部分  预算项目绩效目标</w:t>
      </w:r>
    </w:p>
    <w:p>
      <w:pPr>
        <w:ind w:firstLine="560"/>
      </w:pPr>
      <w:r>
        <w:rPr>
          <w:rFonts w:ascii="方正仿宋_GBK" w:hAnsi="方正仿宋_GBK" w:eastAsia="方正仿宋_GBK" w:cs="方正仿宋_GBK"/>
          <w:b/>
          <w:color w:val="000000"/>
          <w:sz w:val="28"/>
        </w:rPr>
        <w:t>1、满城区纪委办案费用绩效目标表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1.目标内容1保障纪委监委机关办案工作正常开展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单位数</w:t>
            </w:r>
          </w:p>
        </w:tc>
        <w:tc>
          <w:tcPr>
            <w:tcW w:w="2835" w:type="dxa"/>
            <w:vAlign w:val="center"/>
          </w:tcPr>
          <w:p>
            <w:pPr>
              <w:pStyle w:val="12"/>
            </w:pPr>
            <w:r>
              <w:t>使用经费的单位数</w:t>
            </w:r>
          </w:p>
        </w:tc>
        <w:tc>
          <w:tcPr>
            <w:tcW w:w="2551" w:type="dxa"/>
            <w:vAlign w:val="center"/>
          </w:tcPr>
          <w:p>
            <w:pPr>
              <w:pStyle w:val="12"/>
            </w:pPr>
            <w:r>
              <w:t>1个</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案件办结率</w:t>
            </w:r>
          </w:p>
        </w:tc>
        <w:tc>
          <w:tcPr>
            <w:tcW w:w="2835" w:type="dxa"/>
            <w:vAlign w:val="center"/>
          </w:tcPr>
          <w:p>
            <w:pPr>
              <w:pStyle w:val="12"/>
            </w:pPr>
            <w:r>
              <w:t>重点案件办结率（%）</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经费支出</w:t>
            </w:r>
          </w:p>
        </w:tc>
        <w:tc>
          <w:tcPr>
            <w:tcW w:w="2835" w:type="dxa"/>
            <w:vAlign w:val="center"/>
          </w:tcPr>
          <w:p>
            <w:pPr>
              <w:pStyle w:val="12"/>
            </w:pPr>
            <w:r>
              <w:t>公用经费支出周期</w:t>
            </w:r>
          </w:p>
        </w:tc>
        <w:tc>
          <w:tcPr>
            <w:tcW w:w="2551" w:type="dxa"/>
            <w:vAlign w:val="center"/>
          </w:tcPr>
          <w:p>
            <w:pPr>
              <w:pStyle w:val="12"/>
            </w:pPr>
            <w:r>
              <w:t>2023年1-12月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人员经费标准</w:t>
            </w:r>
          </w:p>
        </w:tc>
        <w:tc>
          <w:tcPr>
            <w:tcW w:w="2835" w:type="dxa"/>
            <w:vAlign w:val="center"/>
          </w:tcPr>
          <w:p>
            <w:pPr>
              <w:pStyle w:val="12"/>
            </w:pPr>
            <w:r>
              <w:t>人均费用标准</w:t>
            </w:r>
          </w:p>
        </w:tc>
        <w:tc>
          <w:tcPr>
            <w:tcW w:w="2551" w:type="dxa"/>
            <w:vAlign w:val="center"/>
          </w:tcPr>
          <w:p>
            <w:pPr>
              <w:pStyle w:val="12"/>
            </w:pPr>
            <w:r>
              <w:t>2.2万元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工作实施率</w:t>
            </w:r>
          </w:p>
        </w:tc>
        <w:tc>
          <w:tcPr>
            <w:tcW w:w="2835" w:type="dxa"/>
            <w:vAlign w:val="center"/>
          </w:tcPr>
          <w:p>
            <w:pPr>
              <w:pStyle w:val="12"/>
            </w:pPr>
            <w:r>
              <w:t>保障办案工作有效实施率</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服务水平</w:t>
            </w:r>
          </w:p>
        </w:tc>
        <w:tc>
          <w:tcPr>
            <w:tcW w:w="2835" w:type="dxa"/>
            <w:vAlign w:val="center"/>
          </w:tcPr>
          <w:p>
            <w:pPr>
              <w:pStyle w:val="12"/>
            </w:pPr>
            <w:r>
              <w:t>提升机关服务水平</w:t>
            </w:r>
          </w:p>
        </w:tc>
        <w:tc>
          <w:tcPr>
            <w:tcW w:w="2551" w:type="dxa"/>
            <w:vAlign w:val="center"/>
          </w:tcPr>
          <w:p>
            <w:pPr>
              <w:pStyle w:val="12"/>
            </w:pPr>
            <w:r>
              <w:t>提高</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p>
            <w:pPr>
              <w:pStyle w:val="12"/>
            </w:pPr>
          </w:p>
        </w:tc>
        <w:tc>
          <w:tcPr>
            <w:tcW w:w="2551" w:type="dxa"/>
            <w:vAlign w:val="center"/>
          </w:tcPr>
          <w:p>
            <w:pPr>
              <w:pStyle w:val="12"/>
            </w:pPr>
            <w:r>
              <w:t>≤100%</w:t>
            </w:r>
          </w:p>
        </w:tc>
        <w:tc>
          <w:tcPr>
            <w:tcW w:w="2268" w:type="dxa"/>
            <w:vAlign w:val="center"/>
          </w:tcPr>
          <w:p>
            <w:pPr>
              <w:pStyle w:val="12"/>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2、保财行【2022】9号文下达2022年中纪委转移支付资金绩效目标表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购买数量</w:t>
            </w:r>
          </w:p>
        </w:tc>
        <w:tc>
          <w:tcPr>
            <w:tcW w:w="2835" w:type="dxa"/>
            <w:vAlign w:val="center"/>
          </w:tcPr>
          <w:p>
            <w:pPr>
              <w:pStyle w:val="12"/>
            </w:pPr>
            <w:r>
              <w:t>购买数量（套）</w:t>
            </w:r>
          </w:p>
        </w:tc>
        <w:tc>
          <w:tcPr>
            <w:tcW w:w="2551" w:type="dxa"/>
            <w:vAlign w:val="center"/>
          </w:tcPr>
          <w:p>
            <w:pPr>
              <w:pStyle w:val="12"/>
            </w:pPr>
            <w:r>
              <w:t>1购买一套</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购买质量</w:t>
            </w:r>
          </w:p>
        </w:tc>
        <w:tc>
          <w:tcPr>
            <w:tcW w:w="2835" w:type="dxa"/>
            <w:vAlign w:val="center"/>
          </w:tcPr>
          <w:p>
            <w:pPr>
              <w:pStyle w:val="12"/>
            </w:pPr>
            <w:r>
              <w:t>购买质量</w:t>
            </w:r>
          </w:p>
        </w:tc>
        <w:tc>
          <w:tcPr>
            <w:tcW w:w="2551" w:type="dxa"/>
            <w:vAlign w:val="center"/>
          </w:tcPr>
          <w:p>
            <w:pPr>
              <w:pStyle w:val="12"/>
            </w:pPr>
            <w:r>
              <w:t>符合上级要求</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购买时间</w:t>
            </w:r>
          </w:p>
        </w:tc>
        <w:tc>
          <w:tcPr>
            <w:tcW w:w="2835" w:type="dxa"/>
            <w:vAlign w:val="center"/>
          </w:tcPr>
          <w:p>
            <w:pPr>
              <w:pStyle w:val="12"/>
            </w:pPr>
            <w:r>
              <w:t>购买时间</w:t>
            </w:r>
          </w:p>
        </w:tc>
        <w:tc>
          <w:tcPr>
            <w:tcW w:w="2551" w:type="dxa"/>
            <w:vAlign w:val="center"/>
          </w:tcPr>
          <w:p>
            <w:pPr>
              <w:pStyle w:val="12"/>
            </w:pPr>
            <w:r>
              <w:t>按期完成</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提高工作效率</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办公任务开展的持续性</w:t>
            </w:r>
          </w:p>
        </w:tc>
        <w:tc>
          <w:tcPr>
            <w:tcW w:w="2835" w:type="dxa"/>
            <w:vAlign w:val="center"/>
          </w:tcPr>
          <w:p>
            <w:pPr>
              <w:pStyle w:val="12"/>
            </w:pPr>
            <w:r>
              <w:t>办公任务开展的持续性（%）</w:t>
            </w:r>
          </w:p>
        </w:tc>
        <w:tc>
          <w:tcPr>
            <w:tcW w:w="2551" w:type="dxa"/>
            <w:vAlign w:val="center"/>
          </w:tcPr>
          <w:p>
            <w:pPr>
              <w:pStyle w:val="12"/>
            </w:pPr>
            <w:r>
              <w:t>100提高工作效率</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持续提高</w:t>
            </w:r>
          </w:p>
        </w:tc>
        <w:tc>
          <w:tcPr>
            <w:tcW w:w="2268" w:type="dxa"/>
            <w:vAlign w:val="center"/>
          </w:tcPr>
          <w:p>
            <w:pPr>
              <w:pStyle w:val="12"/>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3、采购纪检监察内网网络密码机绩效目标表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采购数量</w:t>
            </w:r>
          </w:p>
        </w:tc>
        <w:tc>
          <w:tcPr>
            <w:tcW w:w="2835" w:type="dxa"/>
            <w:vAlign w:val="center"/>
          </w:tcPr>
          <w:p>
            <w:pPr>
              <w:pStyle w:val="12"/>
            </w:pPr>
            <w:r>
              <w:t>硬件设备采购数量</w:t>
            </w:r>
          </w:p>
        </w:tc>
        <w:tc>
          <w:tcPr>
            <w:tcW w:w="2551" w:type="dxa"/>
            <w:vAlign w:val="center"/>
          </w:tcPr>
          <w:p>
            <w:pPr>
              <w:pStyle w:val="12"/>
            </w:pPr>
            <w:r>
              <w:t>1套</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系统验收合格率</w:t>
            </w:r>
          </w:p>
        </w:tc>
        <w:tc>
          <w:tcPr>
            <w:tcW w:w="2835" w:type="dxa"/>
            <w:vAlign w:val="center"/>
          </w:tcPr>
          <w:p>
            <w:pPr>
              <w:pStyle w:val="12"/>
            </w:pPr>
            <w:r>
              <w:t>验收合格率（%）</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故障维修及时率</w:t>
            </w:r>
          </w:p>
        </w:tc>
        <w:tc>
          <w:tcPr>
            <w:tcW w:w="2835" w:type="dxa"/>
            <w:vAlign w:val="center"/>
          </w:tcPr>
          <w:p>
            <w:pPr>
              <w:pStyle w:val="12"/>
            </w:pPr>
            <w:r>
              <w:t>故障维修及时率（%）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设备采购价格</w:t>
            </w:r>
          </w:p>
        </w:tc>
        <w:tc>
          <w:tcPr>
            <w:tcW w:w="2835" w:type="dxa"/>
            <w:vAlign w:val="center"/>
          </w:tcPr>
          <w:p>
            <w:pPr>
              <w:pStyle w:val="12"/>
            </w:pPr>
            <w:r>
              <w:t>设备采购价格</w:t>
            </w:r>
          </w:p>
        </w:tc>
        <w:tc>
          <w:tcPr>
            <w:tcW w:w="2551" w:type="dxa"/>
            <w:vAlign w:val="center"/>
          </w:tcPr>
          <w:p>
            <w:pPr>
              <w:pStyle w:val="12"/>
            </w:pPr>
            <w:r>
              <w:t>10万元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办公任务开展持续性</w:t>
            </w:r>
          </w:p>
        </w:tc>
        <w:tc>
          <w:tcPr>
            <w:tcW w:w="2835" w:type="dxa"/>
            <w:vAlign w:val="center"/>
          </w:tcPr>
          <w:p>
            <w:pPr>
              <w:pStyle w:val="12"/>
            </w:pPr>
            <w:r>
              <w:t>反映办公任务是否持续开展</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服务水平</w:t>
            </w:r>
          </w:p>
        </w:tc>
        <w:tc>
          <w:tcPr>
            <w:tcW w:w="2835" w:type="dxa"/>
            <w:vAlign w:val="center"/>
          </w:tcPr>
          <w:p>
            <w:pPr>
              <w:pStyle w:val="12"/>
            </w:pPr>
            <w:r>
              <w:t>提升机关服务水平</w:t>
            </w:r>
          </w:p>
        </w:tc>
        <w:tc>
          <w:tcPr>
            <w:tcW w:w="2551" w:type="dxa"/>
            <w:vAlign w:val="center"/>
          </w:tcPr>
          <w:p>
            <w:pPr>
              <w:pStyle w:val="12"/>
            </w:pPr>
            <w:r>
              <w:t>提高</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w:t>
            </w:r>
          </w:p>
        </w:tc>
        <w:tc>
          <w:tcPr>
            <w:tcW w:w="2268" w:type="dxa"/>
            <w:vAlign w:val="center"/>
          </w:tcPr>
          <w:p>
            <w:pPr>
              <w:pStyle w:val="12"/>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4、乡镇纪委办案费用绩效目标表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单位数</w:t>
            </w:r>
          </w:p>
        </w:tc>
        <w:tc>
          <w:tcPr>
            <w:tcW w:w="2835" w:type="dxa"/>
            <w:vAlign w:val="center"/>
          </w:tcPr>
          <w:p>
            <w:pPr>
              <w:pStyle w:val="12"/>
            </w:pPr>
            <w:r>
              <w:t>使用经费的单位数</w:t>
            </w:r>
          </w:p>
        </w:tc>
        <w:tc>
          <w:tcPr>
            <w:tcW w:w="2551" w:type="dxa"/>
            <w:vAlign w:val="center"/>
          </w:tcPr>
          <w:p>
            <w:pPr>
              <w:pStyle w:val="12"/>
            </w:pPr>
            <w:r>
              <w:t>11个</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案件办结率</w:t>
            </w:r>
          </w:p>
        </w:tc>
        <w:tc>
          <w:tcPr>
            <w:tcW w:w="2835" w:type="dxa"/>
            <w:vAlign w:val="center"/>
          </w:tcPr>
          <w:p>
            <w:pPr>
              <w:pStyle w:val="12"/>
            </w:pPr>
            <w:r>
              <w:t>重点案件办结率</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经费支出</w:t>
            </w:r>
          </w:p>
        </w:tc>
        <w:tc>
          <w:tcPr>
            <w:tcW w:w="2835" w:type="dxa"/>
            <w:vAlign w:val="center"/>
          </w:tcPr>
          <w:p>
            <w:pPr>
              <w:pStyle w:val="12"/>
            </w:pPr>
            <w:r>
              <w:t>公用经费支出周期</w:t>
            </w:r>
          </w:p>
        </w:tc>
        <w:tc>
          <w:tcPr>
            <w:tcW w:w="2551" w:type="dxa"/>
            <w:vAlign w:val="center"/>
          </w:tcPr>
          <w:p>
            <w:pPr>
              <w:pStyle w:val="12"/>
            </w:pPr>
            <w:r>
              <w:t>2023年1-12月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人均办案经费</w:t>
            </w:r>
          </w:p>
        </w:tc>
        <w:tc>
          <w:tcPr>
            <w:tcW w:w="2835" w:type="dxa"/>
            <w:vAlign w:val="center"/>
          </w:tcPr>
          <w:p>
            <w:pPr>
              <w:pStyle w:val="12"/>
            </w:pPr>
            <w:r>
              <w:t>人均办案经费标准</w:t>
            </w:r>
          </w:p>
        </w:tc>
        <w:tc>
          <w:tcPr>
            <w:tcW w:w="2551" w:type="dxa"/>
            <w:vAlign w:val="center"/>
          </w:tcPr>
          <w:p>
            <w:pPr>
              <w:pStyle w:val="12"/>
            </w:pPr>
            <w:r>
              <w:t>2.2万元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工作效率</w:t>
            </w:r>
          </w:p>
        </w:tc>
        <w:tc>
          <w:tcPr>
            <w:tcW w:w="2835" w:type="dxa"/>
            <w:vAlign w:val="center"/>
          </w:tcPr>
          <w:p>
            <w:pPr>
              <w:pStyle w:val="12"/>
            </w:pPr>
            <w:r>
              <w:t>保障办案工作正常进行</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服务水平</w:t>
            </w:r>
          </w:p>
        </w:tc>
        <w:tc>
          <w:tcPr>
            <w:tcW w:w="2835" w:type="dxa"/>
            <w:vAlign w:val="center"/>
          </w:tcPr>
          <w:p>
            <w:pPr>
              <w:pStyle w:val="12"/>
            </w:pPr>
            <w:r>
              <w:t>提升机关服务水平（%）</w:t>
            </w:r>
          </w:p>
        </w:tc>
        <w:tc>
          <w:tcPr>
            <w:tcW w:w="2551" w:type="dxa"/>
            <w:vAlign w:val="center"/>
          </w:tcPr>
          <w:p>
            <w:pPr>
              <w:pStyle w:val="12"/>
            </w:pPr>
            <w:r>
              <w:t>提高</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w:t>
            </w:r>
          </w:p>
        </w:tc>
        <w:tc>
          <w:tcPr>
            <w:tcW w:w="2268" w:type="dxa"/>
            <w:vAlign w:val="center"/>
          </w:tcPr>
          <w:p>
            <w:pPr>
              <w:pStyle w:val="12"/>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5、巡察办配备内网计算机终端、保密电脑绩效目标表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1.确保区委巡察办网络安全稳定运行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硬件设备采购数量</w:t>
            </w:r>
          </w:p>
        </w:tc>
        <w:tc>
          <w:tcPr>
            <w:tcW w:w="2835" w:type="dxa"/>
            <w:vAlign w:val="center"/>
          </w:tcPr>
          <w:p>
            <w:pPr>
              <w:pStyle w:val="12"/>
            </w:pPr>
            <w:r>
              <w:t>硬件设备采购数量（套）</w:t>
            </w:r>
          </w:p>
        </w:tc>
        <w:tc>
          <w:tcPr>
            <w:tcW w:w="2551" w:type="dxa"/>
            <w:vAlign w:val="center"/>
          </w:tcPr>
          <w:p>
            <w:pPr>
              <w:pStyle w:val="12"/>
            </w:pPr>
            <w:r>
              <w:t>6套</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系统验收合格率</w:t>
            </w:r>
          </w:p>
        </w:tc>
        <w:tc>
          <w:tcPr>
            <w:tcW w:w="2835" w:type="dxa"/>
            <w:vAlign w:val="center"/>
          </w:tcPr>
          <w:p>
            <w:pPr>
              <w:pStyle w:val="12"/>
            </w:pPr>
            <w:r>
              <w:t>系统验收合格率（%）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故障维修及时率</w:t>
            </w:r>
          </w:p>
        </w:tc>
        <w:tc>
          <w:tcPr>
            <w:tcW w:w="2835" w:type="dxa"/>
            <w:vAlign w:val="center"/>
          </w:tcPr>
          <w:p>
            <w:pPr>
              <w:pStyle w:val="12"/>
            </w:pPr>
            <w:r>
              <w:t>故障维修及时率（%）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设备采购价格</w:t>
            </w:r>
          </w:p>
        </w:tc>
        <w:tc>
          <w:tcPr>
            <w:tcW w:w="2835" w:type="dxa"/>
            <w:vAlign w:val="center"/>
          </w:tcPr>
          <w:p>
            <w:pPr>
              <w:pStyle w:val="12"/>
            </w:pPr>
            <w:r>
              <w:t>设备采购价格</w:t>
            </w:r>
          </w:p>
        </w:tc>
        <w:tc>
          <w:tcPr>
            <w:tcW w:w="2551" w:type="dxa"/>
            <w:vAlign w:val="center"/>
          </w:tcPr>
          <w:p>
            <w:pPr>
              <w:pStyle w:val="12"/>
            </w:pPr>
            <w:r>
              <w:t>1.1万元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办公任务开展的持续性</w:t>
            </w:r>
          </w:p>
        </w:tc>
        <w:tc>
          <w:tcPr>
            <w:tcW w:w="2835" w:type="dxa"/>
            <w:vAlign w:val="center"/>
          </w:tcPr>
          <w:p>
            <w:pPr>
              <w:pStyle w:val="12"/>
            </w:pPr>
            <w:r>
              <w:t>反映办公任务是否持续开展</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服务水平</w:t>
            </w:r>
          </w:p>
        </w:tc>
        <w:tc>
          <w:tcPr>
            <w:tcW w:w="2835" w:type="dxa"/>
            <w:vAlign w:val="center"/>
          </w:tcPr>
          <w:p>
            <w:pPr>
              <w:pStyle w:val="12"/>
            </w:pPr>
            <w:r>
              <w:t>提升机关服务水平</w:t>
            </w:r>
          </w:p>
        </w:tc>
        <w:tc>
          <w:tcPr>
            <w:tcW w:w="2551" w:type="dxa"/>
            <w:vAlign w:val="center"/>
          </w:tcPr>
          <w:p>
            <w:pPr>
              <w:pStyle w:val="12"/>
            </w:pPr>
            <w:r>
              <w:t>提高</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w:t>
            </w:r>
          </w:p>
        </w:tc>
        <w:tc>
          <w:tcPr>
            <w:tcW w:w="2268" w:type="dxa"/>
            <w:vAlign w:val="center"/>
          </w:tcPr>
          <w:p>
            <w:pPr>
              <w:pStyle w:val="12"/>
            </w:pPr>
            <w:r>
              <w:t>工作计划</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0"/>
      </w:pPr>
      <w:bookmarkStart w:id="16" w:name="_Toc6451"/>
      <w:r>
        <w:rPr>
          <w:rFonts w:ascii="黑体" w:hAnsi="黑体" w:eastAsia="黑体" w:cs="黑体"/>
          <w:color w:val="000000"/>
          <w:sz w:val="32"/>
        </w:rPr>
        <w:t>六、政府采购预算情况</w:t>
      </w:r>
      <w:bookmarkEnd w:id="16"/>
    </w:p>
    <w:p>
      <w:pPr>
        <w:spacing w:line="500" w:lineRule="exact"/>
        <w:ind w:firstLine="560"/>
      </w:pPr>
      <w:r>
        <w:rPr>
          <w:rFonts w:eastAsia="方正仿宋_GBK"/>
          <w:color w:val="000000"/>
          <w:sz w:val="28"/>
        </w:rPr>
        <w:t>2023年，中国共产党满城区纪律检查委员会安排政府采购预算0.00万元。具体内容见下表。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3"/>
            </w:pPr>
          </w:p>
        </w:tc>
        <w:tc>
          <w:tcPr>
            <w:tcW w:w="1134" w:type="dxa"/>
            <w:vAlign w:val="center"/>
          </w:tcPr>
          <w:p>
            <w:pPr>
              <w:pStyle w:val="12"/>
            </w:pPr>
          </w:p>
        </w:tc>
        <w:tc>
          <w:tcPr>
            <w:tcW w:w="1134" w:type="dxa"/>
            <w:vAlign w:val="center"/>
          </w:tcPr>
          <w:p>
            <w:pPr>
              <w:pStyle w:val="12"/>
            </w:pPr>
          </w:p>
        </w:tc>
        <w:tc>
          <w:tcPr>
            <w:tcW w:w="709" w:type="dxa"/>
            <w:vAlign w:val="center"/>
          </w:tcPr>
          <w:p>
            <w:pPr>
              <w:pStyle w:val="11"/>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0"/>
      </w:pPr>
      <w:bookmarkStart w:id="17" w:name="_Toc26984"/>
      <w:r>
        <w:rPr>
          <w:rFonts w:ascii="黑体" w:hAnsi="黑体" w:eastAsia="黑体" w:cs="黑体"/>
          <w:color w:val="000000"/>
          <w:sz w:val="32"/>
        </w:rPr>
        <w:t>七、国有资产信息</w:t>
      </w:r>
      <w:bookmarkEnd w:id="17"/>
    </w:p>
    <w:p>
      <w:pPr>
        <w:spacing w:line="500" w:lineRule="exact"/>
        <w:ind w:firstLine="560"/>
        <w:rPr>
          <w:rFonts w:hint="default" w:eastAsia="方正仿宋_GBK"/>
          <w:lang w:val="en-US" w:eastAsia="zh-CN"/>
        </w:rPr>
      </w:pPr>
      <w:r>
        <w:rPr>
          <w:rFonts w:eastAsia="方正仿宋_GBK"/>
          <w:color w:val="000000"/>
          <w:sz w:val="28"/>
        </w:rPr>
        <w:t>中国共产党满城区纪律检查委员会上年末固定资产金额为</w:t>
      </w:r>
      <w:r>
        <w:rPr>
          <w:rFonts w:hint="eastAsia" w:eastAsia="方正仿宋_GBK"/>
          <w:color w:val="000000"/>
          <w:sz w:val="28"/>
          <w:lang w:val="en-US" w:eastAsia="zh-CN"/>
        </w:rPr>
        <w:t>383.23</w:t>
      </w:r>
      <w:r>
        <w:rPr>
          <w:rFonts w:eastAsia="方正仿宋_GBK"/>
          <w:color w:val="000000"/>
          <w:sz w:val="28"/>
        </w:rPr>
        <w:t>万元（详见下表）。本年度</w:t>
      </w:r>
      <w:r>
        <w:rPr>
          <w:rFonts w:hint="eastAsia" w:eastAsia="方正仿宋_GBK"/>
          <w:color w:val="000000"/>
          <w:sz w:val="28"/>
          <w:lang w:val="en-US" w:eastAsia="zh-CN"/>
        </w:rPr>
        <w:t>无购置固定资产计划。</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222001中国共产党满城区纪律检查委员会</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资产总额</w:t>
            </w:r>
          </w:p>
        </w:tc>
        <w:tc>
          <w:tcPr>
            <w:tcW w:w="2835" w:type="dxa"/>
            <w:vAlign w:val="top"/>
          </w:tcPr>
          <w:p>
            <w:pPr>
              <w:pStyle w:val="17"/>
              <w:rPr>
                <w:rFonts w:cs="Times New Roman" w:asciiTheme="majorEastAsia" w:hAnsiTheme="majorEastAsia" w:eastAsiaTheme="majorEastAsia"/>
                <w:kern w:val="2"/>
                <w:sz w:val="26"/>
                <w:szCs w:val="24"/>
                <w:lang w:val="en-US" w:eastAsia="uk-UA" w:bidi="ar-SA"/>
              </w:rPr>
            </w:pPr>
          </w:p>
        </w:tc>
        <w:tc>
          <w:tcPr>
            <w:tcW w:w="2835" w:type="dxa"/>
            <w:vAlign w:val="top"/>
          </w:tcPr>
          <w:p>
            <w:pPr>
              <w:pStyle w:val="17"/>
              <w:spacing w:line="340" w:lineRule="exact"/>
              <w:ind w:right="95" w:rightChars="0"/>
              <w:jc w:val="right"/>
              <w:rPr>
                <w:rFonts w:hint="default" w:cs="Times New Roman" w:asciiTheme="majorEastAsia" w:hAnsiTheme="majorEastAsia" w:eastAsiaTheme="majorEastAsia"/>
                <w:kern w:val="2"/>
                <w:sz w:val="21"/>
                <w:szCs w:val="24"/>
                <w:lang w:val="en-US" w:eastAsia="zh-CN" w:bidi="ar-SA"/>
              </w:rPr>
            </w:pPr>
            <w:r>
              <w:rPr>
                <w:rFonts w:hint="eastAsia" w:asciiTheme="majorEastAsia" w:hAnsiTheme="majorEastAsia" w:eastAsiaTheme="majorEastAsia"/>
                <w:sz w:val="21"/>
                <w:lang w:val="en-US" w:eastAsia="zh-CN"/>
              </w:rPr>
              <w:t>383.23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1、房屋（平方米）</w:t>
            </w:r>
          </w:p>
        </w:tc>
        <w:tc>
          <w:tcPr>
            <w:tcW w:w="2835" w:type="dxa"/>
            <w:vAlign w:val="top"/>
          </w:tcPr>
          <w:p>
            <w:pPr>
              <w:pStyle w:val="17"/>
              <w:spacing w:before="42"/>
              <w:ind w:left="238" w:leftChars="0" w:right="230" w:rightChars="0"/>
              <w:jc w:val="center"/>
              <w:rPr>
                <w:rFonts w:cs="Times New Roman" w:asciiTheme="majorEastAsia" w:hAnsiTheme="majorEastAsia" w:eastAsiaTheme="majorEastAsia"/>
                <w:kern w:val="2"/>
                <w:sz w:val="24"/>
                <w:szCs w:val="24"/>
                <w:lang w:val="en-US" w:eastAsia="uk-UA" w:bidi="ar-SA"/>
              </w:rPr>
            </w:pPr>
            <w:r>
              <w:rPr>
                <w:rFonts w:hint="eastAsia" w:asciiTheme="majorEastAsia" w:hAnsiTheme="majorEastAsia" w:eastAsiaTheme="majorEastAsia"/>
                <w:sz w:val="24"/>
              </w:rPr>
              <w:t>95</w:t>
            </w:r>
          </w:p>
        </w:tc>
        <w:tc>
          <w:tcPr>
            <w:tcW w:w="2835" w:type="dxa"/>
            <w:vAlign w:val="top"/>
          </w:tcPr>
          <w:p>
            <w:pPr>
              <w:pStyle w:val="17"/>
              <w:spacing w:line="340" w:lineRule="exact"/>
              <w:ind w:right="95" w:rightChars="0"/>
              <w:jc w:val="right"/>
              <w:rPr>
                <w:rFonts w:cs="Times New Roman" w:asciiTheme="majorEastAsia" w:hAnsiTheme="majorEastAsia" w:eastAsiaTheme="majorEastAsia"/>
                <w:kern w:val="2"/>
                <w:sz w:val="21"/>
                <w:szCs w:val="24"/>
                <w:lang w:val="en-US" w:eastAsia="uk-UA" w:bidi="ar-SA"/>
              </w:rPr>
            </w:pPr>
            <w:r>
              <w:rPr>
                <w:rFonts w:hint="eastAsia" w:asciiTheme="majorEastAsia" w:hAnsiTheme="majorEastAsia" w:eastAsiaTheme="majorEastAsia"/>
                <w:sz w:val="21"/>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1" w:lineRule="exact"/>
              <w:ind w:left="52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其中：办公用房（平方米）</w:t>
            </w:r>
          </w:p>
        </w:tc>
        <w:tc>
          <w:tcPr>
            <w:tcW w:w="2835" w:type="dxa"/>
            <w:vAlign w:val="top"/>
          </w:tcPr>
          <w:p>
            <w:pPr>
              <w:pStyle w:val="17"/>
              <w:spacing w:before="41"/>
              <w:ind w:left="238" w:leftChars="0" w:right="230" w:rightChars="0"/>
              <w:jc w:val="center"/>
              <w:rPr>
                <w:rFonts w:cs="Times New Roman" w:asciiTheme="majorEastAsia" w:hAnsiTheme="majorEastAsia" w:eastAsiaTheme="majorEastAsia"/>
                <w:kern w:val="2"/>
                <w:sz w:val="24"/>
                <w:szCs w:val="24"/>
                <w:lang w:val="en-US" w:eastAsia="uk-UA" w:bidi="ar-SA"/>
              </w:rPr>
            </w:pPr>
            <w:r>
              <w:rPr>
                <w:rFonts w:hint="eastAsia" w:asciiTheme="majorEastAsia" w:hAnsiTheme="majorEastAsia" w:eastAsiaTheme="majorEastAsia"/>
                <w:sz w:val="24"/>
              </w:rPr>
              <w:t>95</w:t>
            </w:r>
          </w:p>
        </w:tc>
        <w:tc>
          <w:tcPr>
            <w:tcW w:w="2835" w:type="dxa"/>
            <w:vAlign w:val="top"/>
          </w:tcPr>
          <w:p>
            <w:pPr>
              <w:pStyle w:val="17"/>
              <w:spacing w:line="341" w:lineRule="exact"/>
              <w:ind w:right="95" w:rightChars="0"/>
              <w:jc w:val="right"/>
              <w:rPr>
                <w:rFonts w:cs="Times New Roman" w:asciiTheme="majorEastAsia" w:hAnsiTheme="majorEastAsia" w:eastAsiaTheme="majorEastAsia"/>
                <w:kern w:val="2"/>
                <w:sz w:val="21"/>
                <w:szCs w:val="24"/>
                <w:lang w:val="en-US" w:eastAsia="uk-UA" w:bidi="ar-SA"/>
              </w:rPr>
            </w:pPr>
            <w:r>
              <w:rPr>
                <w:rFonts w:hint="eastAsia" w:asciiTheme="majorEastAsia" w:hAnsiTheme="majorEastAsia" w:eastAsiaTheme="majorEastAsia"/>
                <w:sz w:val="21"/>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2、车辆（台、辆）</w:t>
            </w:r>
          </w:p>
        </w:tc>
        <w:tc>
          <w:tcPr>
            <w:tcW w:w="2835" w:type="dxa"/>
            <w:vAlign w:val="top"/>
          </w:tcPr>
          <w:p>
            <w:pPr>
              <w:pStyle w:val="17"/>
              <w:spacing w:line="340" w:lineRule="exact"/>
              <w:ind w:left="238" w:leftChars="0" w:right="230" w:rightChars="0"/>
              <w:jc w:val="center"/>
              <w:rPr>
                <w:rFonts w:cs="Times New Roman" w:asciiTheme="majorEastAsia" w:hAnsiTheme="majorEastAsia" w:eastAsiaTheme="majorEastAsia"/>
                <w:kern w:val="2"/>
                <w:sz w:val="21"/>
                <w:szCs w:val="24"/>
                <w:lang w:val="en-US" w:eastAsia="uk-UA" w:bidi="ar-SA"/>
              </w:rPr>
            </w:pPr>
            <w:r>
              <w:rPr>
                <w:rFonts w:hint="eastAsia" w:asciiTheme="majorEastAsia" w:hAnsiTheme="majorEastAsia" w:eastAsiaTheme="majorEastAsia"/>
                <w:sz w:val="21"/>
              </w:rPr>
              <w:t>8</w:t>
            </w:r>
          </w:p>
        </w:tc>
        <w:tc>
          <w:tcPr>
            <w:tcW w:w="2835" w:type="dxa"/>
            <w:vAlign w:val="top"/>
          </w:tcPr>
          <w:p>
            <w:pPr>
              <w:pStyle w:val="17"/>
              <w:spacing w:line="340" w:lineRule="exact"/>
              <w:ind w:right="95" w:rightChars="0"/>
              <w:jc w:val="right"/>
              <w:rPr>
                <w:rFonts w:cs="Times New Roman" w:asciiTheme="majorEastAsia" w:hAnsiTheme="majorEastAsia" w:eastAsiaTheme="majorEastAsia"/>
                <w:kern w:val="2"/>
                <w:sz w:val="21"/>
                <w:szCs w:val="24"/>
                <w:lang w:val="en-US" w:eastAsia="uk-UA" w:bidi="ar-SA"/>
              </w:rPr>
            </w:pPr>
            <w:r>
              <w:rPr>
                <w:rFonts w:hint="eastAsia" w:asciiTheme="majorEastAsia" w:hAnsiTheme="majorEastAsia" w:eastAsiaTheme="majorEastAsia"/>
                <w:sz w:val="21"/>
              </w:rPr>
              <w:t>102.90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r>
              <w:rPr>
                <w:rFonts w:hint="eastAsia" w:asciiTheme="majorEastAsia" w:hAnsiTheme="majorEastAsia" w:eastAsiaTheme="majorEastAsia"/>
                <w:spacing w:val="-4"/>
                <w:sz w:val="21"/>
              </w:rPr>
              <w:t>（除车辆外）</w:t>
            </w:r>
          </w:p>
        </w:tc>
        <w:tc>
          <w:tcPr>
            <w:tcW w:w="2835" w:type="dxa"/>
            <w:vAlign w:val="top"/>
          </w:tcPr>
          <w:p>
            <w:pPr>
              <w:pStyle w:val="17"/>
              <w:rPr>
                <w:rFonts w:cs="Times New Roman" w:asciiTheme="majorEastAsia" w:hAnsiTheme="majorEastAsia" w:eastAsiaTheme="majorEastAsia"/>
                <w:kern w:val="2"/>
                <w:sz w:val="26"/>
                <w:szCs w:val="24"/>
                <w:lang w:val="en-US" w:eastAsia="uk-UA" w:bidi="ar-SA"/>
              </w:rPr>
            </w:pPr>
          </w:p>
        </w:tc>
        <w:tc>
          <w:tcPr>
            <w:tcW w:w="2835" w:type="dxa"/>
            <w:vAlign w:val="top"/>
          </w:tcPr>
          <w:p>
            <w:pPr>
              <w:pStyle w:val="17"/>
              <w:spacing w:line="340" w:lineRule="exact"/>
              <w:ind w:right="96" w:rightChars="0"/>
              <w:jc w:val="right"/>
              <w:rPr>
                <w:rFonts w:hint="default" w:cs="Times New Roman" w:asciiTheme="majorEastAsia" w:hAnsiTheme="majorEastAsia" w:eastAsiaTheme="majorEastAsia"/>
                <w:kern w:val="2"/>
                <w:sz w:val="21"/>
                <w:szCs w:val="24"/>
                <w:lang w:val="en-US" w:eastAsia="zh-CN" w:bidi="ar-SA"/>
              </w:rPr>
            </w:pPr>
            <w:r>
              <w:rPr>
                <w:rFonts w:hint="eastAsia" w:asciiTheme="majorEastAsia" w:hAnsiTheme="majorEastAsia" w:eastAsiaTheme="majorEastAsia"/>
                <w:w w:val="99"/>
                <w:sz w:val="21"/>
                <w:lang w:val="en-US" w:eastAsia="zh-CN"/>
              </w:rPr>
              <w:t>221.28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hint="eastAsia" w:asciiTheme="majorEastAsia" w:hAnsiTheme="majorEastAsia" w:eastAsiaTheme="majorEastAsia"/>
                <w:sz w:val="21"/>
              </w:rPr>
              <w:t>4、专用设备</w:t>
            </w:r>
          </w:p>
        </w:tc>
        <w:tc>
          <w:tcPr>
            <w:tcW w:w="2835" w:type="dxa"/>
            <w:vAlign w:val="top"/>
          </w:tcPr>
          <w:p>
            <w:pPr>
              <w:pStyle w:val="17"/>
              <w:rPr>
                <w:rFonts w:cs="Times New Roman" w:asciiTheme="majorEastAsia" w:hAnsiTheme="majorEastAsia" w:eastAsiaTheme="majorEastAsia"/>
                <w:kern w:val="2"/>
                <w:sz w:val="26"/>
                <w:szCs w:val="24"/>
                <w:lang w:val="en-US" w:eastAsia="uk-UA" w:bidi="ar-SA"/>
              </w:rPr>
            </w:pPr>
          </w:p>
        </w:tc>
        <w:tc>
          <w:tcPr>
            <w:tcW w:w="2835" w:type="dxa"/>
            <w:vAlign w:val="top"/>
          </w:tcPr>
          <w:p>
            <w:pPr>
              <w:pStyle w:val="17"/>
              <w:spacing w:line="340" w:lineRule="exact"/>
              <w:ind w:right="96" w:rightChars="0"/>
              <w:jc w:val="right"/>
              <w:rPr>
                <w:rFonts w:cs="Times New Roman" w:asciiTheme="majorEastAsia" w:hAnsiTheme="majorEastAsia" w:eastAsiaTheme="majorEastAsia"/>
                <w:w w:val="99"/>
                <w:kern w:val="2"/>
                <w:sz w:val="21"/>
                <w:szCs w:val="24"/>
                <w:lang w:val="en-US" w:eastAsia="uk-UA" w:bidi="ar-SA"/>
              </w:rPr>
            </w:pPr>
            <w:r>
              <w:rPr>
                <w:rFonts w:hint="eastAsia" w:asciiTheme="majorEastAsia" w:hAnsiTheme="majorEastAsia" w:eastAsiaTheme="majorEastAsia"/>
                <w:w w:val="99"/>
                <w:sz w:val="21"/>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17"/>
              <w:spacing w:line="340" w:lineRule="exact"/>
              <w:ind w:left="108" w:leftChars="0"/>
              <w:rPr>
                <w:rFonts w:cs="Times New Roman" w:asciiTheme="majorEastAsia" w:hAnsiTheme="majorEastAsia" w:eastAsiaTheme="majorEastAsia"/>
                <w:kern w:val="2"/>
                <w:sz w:val="21"/>
                <w:szCs w:val="24"/>
                <w:lang w:val="en-US" w:eastAsia="uk-UA" w:bidi="ar-SA"/>
              </w:rPr>
            </w:pPr>
            <w:r>
              <w:rPr>
                <w:rFonts w:asciiTheme="majorEastAsia" w:hAnsiTheme="majorEastAsia" w:eastAsiaTheme="majorEastAsia"/>
                <w:sz w:val="21"/>
              </w:rPr>
              <w:t>4、</w:t>
            </w:r>
            <w:r>
              <w:rPr>
                <w:rFonts w:hint="eastAsia" w:asciiTheme="majorEastAsia" w:hAnsiTheme="majorEastAsia" w:eastAsiaTheme="majorEastAsia"/>
                <w:sz w:val="21"/>
              </w:rPr>
              <w:t>家具、用具、装具等</w:t>
            </w:r>
          </w:p>
        </w:tc>
        <w:tc>
          <w:tcPr>
            <w:tcW w:w="2835" w:type="dxa"/>
            <w:vAlign w:val="top"/>
          </w:tcPr>
          <w:p>
            <w:pPr>
              <w:pStyle w:val="17"/>
              <w:rPr>
                <w:rFonts w:cs="Times New Roman" w:asciiTheme="majorEastAsia" w:hAnsiTheme="majorEastAsia" w:eastAsiaTheme="majorEastAsia"/>
                <w:kern w:val="2"/>
                <w:sz w:val="26"/>
                <w:szCs w:val="24"/>
                <w:lang w:val="en-US" w:eastAsia="uk-UA" w:bidi="ar-SA"/>
              </w:rPr>
            </w:pPr>
          </w:p>
        </w:tc>
        <w:tc>
          <w:tcPr>
            <w:tcW w:w="2835" w:type="dxa"/>
            <w:vAlign w:val="top"/>
          </w:tcPr>
          <w:p>
            <w:pPr>
              <w:pStyle w:val="17"/>
              <w:spacing w:line="340" w:lineRule="exact"/>
              <w:ind w:right="95" w:rightChars="0"/>
              <w:jc w:val="right"/>
              <w:rPr>
                <w:rFonts w:hint="default" w:cs="Times New Roman" w:asciiTheme="majorEastAsia" w:hAnsiTheme="majorEastAsia" w:eastAsiaTheme="majorEastAsia"/>
                <w:kern w:val="2"/>
                <w:sz w:val="21"/>
                <w:szCs w:val="24"/>
                <w:lang w:val="en-US" w:eastAsia="zh-CN" w:bidi="ar-SA"/>
              </w:rPr>
            </w:pPr>
            <w:r>
              <w:rPr>
                <w:rFonts w:hint="eastAsia" w:asciiTheme="majorEastAsia" w:hAnsiTheme="majorEastAsia" w:eastAsiaTheme="majorEastAsia"/>
                <w:sz w:val="21"/>
                <w:lang w:val="en-US" w:eastAsia="zh-CN"/>
              </w:rPr>
              <w:t>45.55</w:t>
            </w:r>
          </w:p>
        </w:tc>
      </w:tr>
    </w:tbl>
    <w:p>
      <w:pPr>
        <w:ind w:firstLine="640"/>
      </w:pPr>
      <w:r>
        <w:rPr>
          <w:rFonts w:eastAsia="方正仿宋_GBK"/>
          <w:color w:val="000000"/>
          <w:sz w:val="32"/>
        </w:rPr>
        <w:t xml:space="preserve"> </w:t>
      </w:r>
    </w:p>
    <w:p>
      <w:pPr>
        <w:spacing w:before="10" w:after="10"/>
        <w:ind w:firstLine="640"/>
        <w:outlineLvl w:val="0"/>
        <w:rPr>
          <w:rFonts w:ascii="黑体" w:hAnsi="黑体" w:eastAsia="黑体" w:cs="黑体"/>
          <w:color w:val="000000"/>
          <w:sz w:val="32"/>
        </w:rPr>
      </w:pPr>
      <w:bookmarkStart w:id="18" w:name="_Toc18647"/>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pPr>
      <w:r>
        <w:rPr>
          <w:rFonts w:ascii="黑体" w:hAnsi="黑体" w:eastAsia="黑体" w:cs="黑体"/>
          <w:color w:val="000000"/>
          <w:sz w:val="32"/>
        </w:rPr>
        <w:t>八、名词解释</w:t>
      </w:r>
      <w:bookmarkEnd w:id="1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0"/>
      </w:pPr>
      <w:bookmarkStart w:id="19" w:name="_Toc20565"/>
      <w:r>
        <w:rPr>
          <w:rFonts w:ascii="黑体" w:hAnsi="黑体" w:eastAsia="黑体" w:cs="黑体"/>
          <w:color w:val="000000"/>
          <w:sz w:val="32"/>
        </w:rPr>
        <w:t>九、其他需要说明的事项</w:t>
      </w:r>
      <w:bookmarkEnd w:id="19"/>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43669"/>
    <w:multiLevelType w:val="singleLevel"/>
    <w:tmpl w:val="0FD43669"/>
    <w:lvl w:ilvl="0" w:tentative="0">
      <w:start w:val="3"/>
      <w:numFmt w:val="chineseCounting"/>
      <w:suff w:val="nothing"/>
      <w:lvlText w:val="%1、"/>
      <w:lvlJc w:val="left"/>
      <w:rPr>
        <w:rFonts w:hint="eastAsia"/>
      </w:rPr>
    </w:lvl>
  </w:abstractNum>
  <w:abstractNum w:abstractNumId="1">
    <w:nsid w:val="34EE0A57"/>
    <w:multiLevelType w:val="singleLevel"/>
    <w:tmpl w:val="34EE0A57"/>
    <w:lvl w:ilvl="0" w:tentative="0">
      <w:start w:val="1"/>
      <w:numFmt w:val="chineseCounting"/>
      <w:suff w:val="nothing"/>
      <w:lvlText w:val="（%1）"/>
      <w:lvlJc w:val="left"/>
      <w:pPr>
        <w:ind w:left="480" w:leftChars="0" w:firstLine="0" w:firstLineChars="0"/>
      </w:pPr>
      <w:rPr>
        <w:rFonts w:hint="eastAsia"/>
      </w:rPr>
    </w:lvl>
  </w:abstractNum>
  <w:abstractNum w:abstractNumId="2">
    <w:nsid w:val="453F41A4"/>
    <w:multiLevelType w:val="singleLevel"/>
    <w:tmpl w:val="453F41A4"/>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ZTgxMzNmOWUxYWEzNzAwMzYzZTMzZDc5MDI0YjEifQ=="/>
  </w:docVars>
  <w:rsids>
    <w:rsidRoot w:val="21CB4532"/>
    <w:rsid w:val="08072ADB"/>
    <w:rsid w:val="083B6895"/>
    <w:rsid w:val="21CB4532"/>
    <w:rsid w:val="251D766A"/>
    <w:rsid w:val="2D034394"/>
    <w:rsid w:val="2E083D08"/>
    <w:rsid w:val="3471370F"/>
    <w:rsid w:val="35A673C5"/>
    <w:rsid w:val="3A816AFB"/>
    <w:rsid w:val="45D17B6E"/>
    <w:rsid w:val="5DE937A8"/>
    <w:rsid w:val="5E3243EE"/>
    <w:rsid w:val="6B234D8A"/>
    <w:rsid w:val="73D5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Table Paragraph"/>
    <w:basedOn w:val="1"/>
    <w:autoRedefine/>
    <w:qFormat/>
    <w:uiPriority w:val="1"/>
  </w:style>
  <w:style w:type="paragraph" w:customStyle="1" w:styleId="18">
    <w:name w:val="插入文本样式-插入单位职责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1"/>
    <w:basedOn w:val="1"/>
    <w:autoRedefine/>
    <w:qFormat/>
    <w:uiPriority w:val="0"/>
    <w:pPr>
      <w:spacing w:before="120"/>
      <w:ind w:firstLine="560"/>
    </w:pPr>
    <w:rPr>
      <w:rFonts w:eastAsia="方正仿宋_GBK"/>
      <w:color w:val="000000"/>
      <w:sz w:val="28"/>
    </w:rPr>
  </w:style>
  <w:style w:type="paragraph" w:customStyle="1" w:styleId="24">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8625</Words>
  <Characters>10285</Characters>
  <Lines>0</Lines>
  <Paragraphs>0</Paragraphs>
  <TotalTime>9</TotalTime>
  <ScaleCrop>false</ScaleCrop>
  <LinksUpToDate>false</LinksUpToDate>
  <CharactersWithSpaces>10433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2023-03-09T06:36:00Z</dcterms:created>
  <dc:creator>Administrator</dc:creator>
  <cp:lastModifiedBy>Administrator</cp:lastModifiedBy>
  <dcterms:modified xsi:type="dcterms:W3CDTF">2024-01-29T07:46:37Z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79EC6E9A342D47FD9A0F7075CF70A3B6</vt:lpwstr>
  </property>
</Properties>
</file>