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 w:name="_GoBack"/>
      <w:bookmarkEnd w:id="1"/>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pPr>
        <w:pStyle w:val="23"/>
        <w:tabs>
          <w:tab w:val="right" w:leader="dot" w:pos="14562"/>
        </w:tabs>
        <w:ind w:left="0" w:leftChars="0" w:firstLine="0" w:firstLineChars="0"/>
        <w:rPr>
          <w:rFonts w:hint="eastAsia" w:ascii="方正楷体_GBK" w:hAnsi="方正楷体_GBK" w:eastAsia="方正楷体_GBK" w:cs="方正楷体_GBK"/>
          <w:b/>
          <w:color w:val="000000"/>
          <w:sz w:val="28"/>
          <w:szCs w:val="24"/>
          <w:lang w:val="en-US" w:eastAsia="uk-UA" w:bidi="ar-SA"/>
        </w:rPr>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rFonts w:hint="eastAsia"/>
          <w:b/>
          <w:bCs/>
          <w:lang w:val="en-US" w:eastAsia="zh-CN"/>
        </w:rPr>
        <w:t>单</w:t>
      </w:r>
      <w:r>
        <w:rPr>
          <w:rFonts w:hint="eastAsia" w:ascii="方正楷体_GBK" w:hAnsi="方正楷体_GBK" w:eastAsia="方正楷体_GBK" w:cs="方正楷体_GBK"/>
          <w:b/>
          <w:bCs/>
          <w:color w:val="000000"/>
          <w:sz w:val="28"/>
          <w:szCs w:val="24"/>
          <w:lang w:val="en-US" w:eastAsia="zh-CN" w:bidi="ar-SA"/>
        </w:rPr>
        <w:t>位</w:t>
      </w:r>
      <w:r>
        <w:rPr>
          <w:rFonts w:hint="eastAsia" w:ascii="方正楷体_GBK" w:hAnsi="方正楷体_GBK" w:eastAsia="方正楷体_GBK" w:cs="方正楷体_GBK"/>
          <w:b/>
          <w:bCs/>
          <w:color w:val="000000"/>
          <w:sz w:val="28"/>
          <w:szCs w:val="24"/>
          <w:lang w:val="en-US" w:eastAsia="uk-UA" w:bidi="ar-SA"/>
        </w:rPr>
        <w:t>预算公开表</w:t>
      </w:r>
    </w:p>
    <w:p>
      <w:pPr>
        <w:pStyle w:val="23"/>
        <w:tabs>
          <w:tab w:val="right" w:leader="dot" w:pos="14562"/>
        </w:tabs>
        <w:rPr>
          <w:rFonts w:hint="eastAsia"/>
        </w:rPr>
      </w:pPr>
      <w:r>
        <w:rPr>
          <w:rFonts w:hint="eastAsia"/>
          <w:lang w:val="en-US" w:eastAsia="zh-CN"/>
        </w:rPr>
        <w:t>单位</w:t>
      </w:r>
      <w:r>
        <w:rPr>
          <w:rFonts w:hint="eastAsia"/>
        </w:rPr>
        <w:t>预算收支总表</w:t>
      </w:r>
      <w:r>
        <w:rPr>
          <w:rFonts w:hint="eastAsia"/>
        </w:rPr>
        <w:tab/>
      </w:r>
      <w:r>
        <w:rPr>
          <w:rFonts w:hint="eastAsia"/>
        </w:rPr>
        <w:t>1</w:t>
      </w:r>
    </w:p>
    <w:p>
      <w:pPr>
        <w:pStyle w:val="23"/>
        <w:tabs>
          <w:tab w:val="right" w:leader="dot" w:pos="14562"/>
        </w:tabs>
        <w:rPr>
          <w:rFonts w:hint="eastAsia"/>
        </w:rPr>
      </w:pPr>
      <w:r>
        <w:rPr>
          <w:rFonts w:hint="eastAsia"/>
          <w:lang w:val="en-US" w:eastAsia="zh-CN"/>
        </w:rPr>
        <w:t>单位</w:t>
      </w:r>
      <w:r>
        <w:rPr>
          <w:rFonts w:hint="eastAsia"/>
        </w:rPr>
        <w:t>预算收入总表</w:t>
      </w:r>
      <w:r>
        <w:rPr>
          <w:rFonts w:hint="eastAsia"/>
        </w:rPr>
        <w:tab/>
      </w:r>
      <w:r>
        <w:rPr>
          <w:rFonts w:hint="eastAsia"/>
        </w:rPr>
        <w:t>3</w:t>
      </w:r>
    </w:p>
    <w:p>
      <w:pPr>
        <w:pStyle w:val="23"/>
        <w:tabs>
          <w:tab w:val="right" w:leader="dot" w:pos="14562"/>
        </w:tabs>
        <w:rPr>
          <w:rFonts w:hint="eastAsia" w:eastAsia="方正仿宋_GBK"/>
          <w:lang w:eastAsia="zh-CN"/>
        </w:rPr>
      </w:pPr>
      <w:r>
        <w:rPr>
          <w:rFonts w:hint="eastAsia"/>
          <w:lang w:val="en-US" w:eastAsia="zh-CN"/>
        </w:rPr>
        <w:t>单位</w:t>
      </w:r>
      <w:r>
        <w:rPr>
          <w:rFonts w:hint="eastAsia"/>
        </w:rPr>
        <w:t>预算支出总表</w:t>
      </w:r>
      <w:r>
        <w:rPr>
          <w:rFonts w:hint="eastAsia"/>
        </w:rPr>
        <w:tab/>
      </w:r>
      <w:r>
        <w:rPr>
          <w:rFonts w:hint="eastAsia"/>
          <w:lang w:val="en-US" w:eastAsia="zh-CN"/>
        </w:rPr>
        <w:t>5</w:t>
      </w:r>
    </w:p>
    <w:p>
      <w:pPr>
        <w:pStyle w:val="23"/>
        <w:tabs>
          <w:tab w:val="right" w:leader="dot" w:pos="14562"/>
        </w:tabs>
        <w:rPr>
          <w:rFonts w:hint="eastAsia" w:eastAsia="方正仿宋_GBK"/>
          <w:lang w:eastAsia="zh-CN"/>
        </w:rPr>
      </w:pPr>
      <w:r>
        <w:rPr>
          <w:rFonts w:hint="eastAsia"/>
          <w:lang w:val="en-US" w:eastAsia="zh-CN"/>
        </w:rPr>
        <w:t>单位</w:t>
      </w:r>
      <w:r>
        <w:rPr>
          <w:rFonts w:hint="eastAsia"/>
        </w:rPr>
        <w:t>预算财政拨款收支总表</w:t>
      </w:r>
      <w:r>
        <w:rPr>
          <w:rFonts w:hint="eastAsia"/>
        </w:rPr>
        <w:tab/>
      </w:r>
      <w:r>
        <w:rPr>
          <w:rFonts w:hint="eastAsia"/>
          <w:lang w:val="en-US" w:eastAsia="zh-CN"/>
        </w:rPr>
        <w:t>6</w:t>
      </w:r>
    </w:p>
    <w:p>
      <w:pPr>
        <w:pStyle w:val="23"/>
        <w:tabs>
          <w:tab w:val="right" w:leader="dot" w:pos="14562"/>
        </w:tabs>
        <w:rPr>
          <w:rFonts w:hint="eastAsia" w:eastAsia="方正仿宋_GBK"/>
          <w:lang w:eastAsia="zh-CN"/>
        </w:rPr>
      </w:pPr>
      <w:r>
        <w:rPr>
          <w:rFonts w:hint="eastAsia"/>
          <w:lang w:val="en-US" w:eastAsia="zh-CN"/>
        </w:rPr>
        <w:t>单位</w:t>
      </w:r>
      <w:r>
        <w:rPr>
          <w:rFonts w:hint="eastAsia"/>
        </w:rPr>
        <w:t>预算一般公共预算财政拨款支出表</w:t>
      </w:r>
      <w:r>
        <w:rPr>
          <w:rFonts w:hint="eastAsia"/>
        </w:rPr>
        <w:tab/>
      </w:r>
      <w:r>
        <w:rPr>
          <w:rFonts w:hint="eastAsia"/>
          <w:lang w:val="en-US" w:eastAsia="zh-CN"/>
        </w:rPr>
        <w:t>8</w:t>
      </w:r>
    </w:p>
    <w:p>
      <w:pPr>
        <w:pStyle w:val="23"/>
        <w:tabs>
          <w:tab w:val="right" w:leader="dot" w:pos="14562"/>
        </w:tabs>
        <w:rPr>
          <w:rFonts w:hint="eastAsia" w:eastAsia="方正仿宋_GBK"/>
          <w:lang w:eastAsia="zh-CN"/>
        </w:rPr>
      </w:pPr>
      <w:r>
        <w:rPr>
          <w:rFonts w:hint="eastAsia"/>
          <w:lang w:val="en-US" w:eastAsia="zh-CN"/>
        </w:rPr>
        <w:t>单位</w:t>
      </w:r>
      <w:r>
        <w:rPr>
          <w:rFonts w:hint="eastAsia"/>
        </w:rPr>
        <w:t>预算一般公共预算财政拨款基本支出表</w:t>
      </w:r>
      <w:r>
        <w:rPr>
          <w:rFonts w:hint="eastAsia"/>
        </w:rPr>
        <w:tab/>
      </w:r>
      <w:r>
        <w:rPr>
          <w:rFonts w:hint="eastAsia"/>
          <w:lang w:val="en-US" w:eastAsia="zh-CN"/>
        </w:rPr>
        <w:t>9</w:t>
      </w:r>
    </w:p>
    <w:p>
      <w:pPr>
        <w:pStyle w:val="23"/>
        <w:tabs>
          <w:tab w:val="right" w:leader="dot" w:pos="14562"/>
        </w:tabs>
        <w:rPr>
          <w:rFonts w:hint="eastAsia" w:eastAsia="方正仿宋_GBK"/>
          <w:lang w:val="en-US" w:eastAsia="zh-CN"/>
        </w:rPr>
      </w:pPr>
      <w:r>
        <w:rPr>
          <w:rFonts w:hint="eastAsia"/>
          <w:lang w:val="en-US" w:eastAsia="zh-CN"/>
        </w:rPr>
        <w:t>单位</w:t>
      </w:r>
      <w:r>
        <w:rPr>
          <w:rFonts w:hint="eastAsia"/>
        </w:rPr>
        <w:t>预算政府性基金预算财政拨款支出表</w:t>
      </w:r>
      <w:r>
        <w:rPr>
          <w:rFonts w:hint="eastAsia"/>
        </w:rPr>
        <w:tab/>
      </w:r>
      <w:r>
        <w:rPr>
          <w:rFonts w:hint="eastAsia"/>
        </w:rPr>
        <w:t>1</w:t>
      </w:r>
      <w:r>
        <w:rPr>
          <w:rFonts w:hint="eastAsia"/>
          <w:lang w:val="en-US" w:eastAsia="zh-CN"/>
        </w:rPr>
        <w:t>1</w:t>
      </w:r>
    </w:p>
    <w:p>
      <w:pPr>
        <w:pStyle w:val="23"/>
        <w:tabs>
          <w:tab w:val="right" w:leader="dot" w:pos="14562"/>
        </w:tabs>
        <w:rPr>
          <w:rFonts w:hint="default" w:eastAsia="方正仿宋_GBK"/>
          <w:lang w:val="en-US" w:eastAsia="zh-CN"/>
        </w:rPr>
      </w:pPr>
      <w:r>
        <w:rPr>
          <w:rFonts w:hint="eastAsia"/>
          <w:lang w:val="en-US" w:eastAsia="zh-CN"/>
        </w:rPr>
        <w:t>单位</w:t>
      </w:r>
      <w:r>
        <w:rPr>
          <w:rFonts w:hint="eastAsia"/>
        </w:rPr>
        <w:t>预算国有资本经营预算财政拨款支出表</w:t>
      </w:r>
      <w:r>
        <w:rPr>
          <w:rFonts w:hint="eastAsia"/>
        </w:rPr>
        <w:tab/>
      </w:r>
      <w:r>
        <w:rPr>
          <w:rFonts w:hint="eastAsia"/>
          <w:lang w:val="en-US" w:eastAsia="zh-CN"/>
        </w:rPr>
        <w:t>12</w:t>
      </w:r>
    </w:p>
    <w:p>
      <w:pPr>
        <w:pStyle w:val="23"/>
        <w:tabs>
          <w:tab w:val="right" w:leader="dot" w:pos="14562"/>
        </w:tabs>
        <w:rPr>
          <w:rFonts w:hint="eastAsia" w:eastAsia="方正仿宋_GBK"/>
          <w:lang w:val="en-US" w:eastAsia="zh-CN"/>
        </w:rPr>
      </w:pPr>
      <w:r>
        <w:rPr>
          <w:rFonts w:hint="eastAsia"/>
          <w:lang w:val="en-US" w:eastAsia="zh-CN"/>
        </w:rPr>
        <w:t>单位</w:t>
      </w:r>
      <w:r>
        <w:rPr>
          <w:rFonts w:hint="eastAsia"/>
        </w:rPr>
        <w:t>预算财政拨款“三公”经费支出表</w:t>
      </w:r>
      <w:r>
        <w:rPr>
          <w:rFonts w:hint="eastAsia"/>
        </w:rPr>
        <w:tab/>
      </w:r>
      <w:r>
        <w:rPr>
          <w:rFonts w:hint="eastAsia"/>
          <w:lang w:val="en-US" w:eastAsia="zh-CN"/>
        </w:rPr>
        <w:t>1</w:t>
      </w:r>
      <w:r>
        <w:fldChar w:fldCharType="end"/>
      </w:r>
      <w:r>
        <w:rPr>
          <w:rFonts w:hint="eastAsia"/>
          <w:lang w:val="en-US" w:eastAsia="zh-CN"/>
        </w:rPr>
        <w:t>3</w:t>
      </w:r>
    </w:p>
    <w:p>
      <w:pPr>
        <w:pStyle w:val="23"/>
        <w:tabs>
          <w:tab w:val="right" w:leader="dot" w:pos="14562"/>
        </w:tabs>
        <w:ind w:left="0" w:leftChars="0" w:firstLine="0" w:firstLineChars="0"/>
        <w:rPr>
          <w:rFonts w:hint="eastAsia" w:ascii="方正楷体_GBK" w:hAnsi="方正楷体_GBK" w:eastAsia="方正楷体_GBK" w:cs="方正楷体_GBK"/>
          <w:b/>
          <w:color w:val="000000"/>
          <w:sz w:val="28"/>
          <w:szCs w:val="24"/>
          <w:lang w:val="en-US" w:eastAsia="uk-UA" w:bidi="ar-SA"/>
        </w:rPr>
      </w:pPr>
    </w:p>
    <w:p>
      <w:pPr>
        <w:pStyle w:val="23"/>
        <w:tabs>
          <w:tab w:val="right" w:leader="dot" w:pos="14562"/>
        </w:tabs>
        <w:ind w:left="0" w:leftChars="0" w:firstLine="0" w:firstLineChars="0"/>
        <w:rPr>
          <w:rFonts w:hint="eastAsia" w:ascii="方正楷体_GBK" w:hAnsi="方正楷体_GBK" w:eastAsia="方正楷体_GBK" w:cs="方正楷体_GBK"/>
          <w:b/>
          <w:color w:val="000000"/>
          <w:sz w:val="28"/>
          <w:szCs w:val="24"/>
          <w:lang w:val="en-US" w:eastAsia="uk-UA" w:bidi="ar-SA"/>
        </w:rPr>
      </w:pPr>
      <w:r>
        <w:rPr>
          <w:rFonts w:hint="eastAsia" w:ascii="方正楷体_GBK" w:hAnsi="方正楷体_GBK" w:eastAsia="方正楷体_GBK" w:cs="方正楷体_GBK"/>
          <w:b/>
          <w:color w:val="000000"/>
          <w:sz w:val="28"/>
          <w:szCs w:val="24"/>
          <w:lang w:val="en-US" w:eastAsia="uk-UA" w:bidi="ar-SA"/>
        </w:rPr>
        <w:t>单位预算信息公开情况说明</w:t>
      </w:r>
    </w:p>
    <w:p>
      <w:pPr>
        <w:pStyle w:val="23"/>
        <w:tabs>
          <w:tab w:val="right" w:leader="dot" w:pos="14562"/>
        </w:tabs>
        <w:rPr>
          <w:rFonts w:hint="eastAsia" w:eastAsia="方正仿宋_GBK"/>
          <w:lang w:val="en-US" w:eastAsia="zh-CN"/>
        </w:rPr>
      </w:pPr>
      <w:r>
        <w:rPr>
          <w:rFonts w:hint="eastAsia"/>
        </w:rPr>
        <w:t>一、单位职责及机构设置情况</w:t>
      </w:r>
      <w:r>
        <w:rPr>
          <w:rFonts w:hint="eastAsia"/>
        </w:rPr>
        <w:tab/>
      </w:r>
      <w:r>
        <w:rPr>
          <w:rFonts w:hint="eastAsia"/>
        </w:rPr>
        <w:t>1</w:t>
      </w:r>
      <w:r>
        <w:rPr>
          <w:rFonts w:hint="eastAsia"/>
          <w:lang w:val="en-US" w:eastAsia="zh-CN"/>
        </w:rPr>
        <w:t>4</w:t>
      </w:r>
    </w:p>
    <w:p>
      <w:pPr>
        <w:pStyle w:val="23"/>
        <w:tabs>
          <w:tab w:val="right" w:leader="dot" w:pos="14562"/>
        </w:tabs>
        <w:rPr>
          <w:rFonts w:hint="eastAsia" w:eastAsia="方正仿宋_GBK"/>
          <w:lang w:val="en-US" w:eastAsia="zh-CN"/>
        </w:rPr>
      </w:pPr>
      <w:r>
        <w:rPr>
          <w:rFonts w:hint="eastAsia"/>
        </w:rPr>
        <w:t>二、单位预算安排的总体情况</w:t>
      </w:r>
      <w:r>
        <w:rPr>
          <w:rFonts w:hint="eastAsia"/>
        </w:rPr>
        <w:tab/>
      </w:r>
      <w:r>
        <w:rPr>
          <w:rFonts w:hint="eastAsia"/>
        </w:rPr>
        <w:t>1</w:t>
      </w:r>
      <w:r>
        <w:rPr>
          <w:rFonts w:hint="eastAsia"/>
          <w:lang w:val="en-US" w:eastAsia="zh-CN"/>
        </w:rPr>
        <w:t>6</w:t>
      </w:r>
    </w:p>
    <w:p>
      <w:pPr>
        <w:pStyle w:val="23"/>
        <w:tabs>
          <w:tab w:val="right" w:leader="dot" w:pos="14562"/>
        </w:tabs>
        <w:rPr>
          <w:rFonts w:hint="eastAsia" w:eastAsia="方正仿宋_GBK"/>
          <w:lang w:val="en-US" w:eastAsia="zh-CN"/>
        </w:rPr>
      </w:pPr>
      <w:r>
        <w:rPr>
          <w:rFonts w:hint="eastAsia"/>
        </w:rPr>
        <w:t>三、机关运行经费安排情况</w:t>
      </w:r>
      <w:r>
        <w:rPr>
          <w:rFonts w:hint="eastAsia"/>
        </w:rPr>
        <w:tab/>
      </w:r>
      <w:r>
        <w:rPr>
          <w:rFonts w:hint="eastAsia"/>
        </w:rPr>
        <w:t>1</w:t>
      </w:r>
      <w:r>
        <w:rPr>
          <w:rFonts w:hint="eastAsia"/>
          <w:lang w:val="en-US" w:eastAsia="zh-CN"/>
        </w:rPr>
        <w:t>7</w:t>
      </w:r>
    </w:p>
    <w:p>
      <w:pPr>
        <w:pStyle w:val="23"/>
        <w:tabs>
          <w:tab w:val="right" w:leader="dot" w:pos="14562"/>
        </w:tabs>
        <w:rPr>
          <w:rFonts w:hint="eastAsia" w:eastAsia="方正仿宋_GBK"/>
          <w:lang w:val="en-US" w:eastAsia="zh-CN"/>
        </w:rPr>
      </w:pPr>
      <w:r>
        <w:rPr>
          <w:rFonts w:hint="eastAsia"/>
        </w:rPr>
        <w:t>四、财政拨款“三公”经费预算情况及增减变化原因</w:t>
      </w:r>
      <w:r>
        <w:rPr>
          <w:rFonts w:hint="eastAsia"/>
        </w:rPr>
        <w:tab/>
      </w:r>
      <w:r>
        <w:rPr>
          <w:rFonts w:hint="eastAsia"/>
        </w:rPr>
        <w:t>1</w:t>
      </w:r>
      <w:r>
        <w:rPr>
          <w:rFonts w:hint="eastAsia"/>
          <w:lang w:val="en-US" w:eastAsia="zh-CN"/>
        </w:rPr>
        <w:t>7</w:t>
      </w:r>
    </w:p>
    <w:p>
      <w:pPr>
        <w:pStyle w:val="23"/>
        <w:tabs>
          <w:tab w:val="right" w:leader="dot" w:pos="14562"/>
        </w:tabs>
        <w:rPr>
          <w:rFonts w:hint="eastAsia" w:eastAsia="方正仿宋_GBK"/>
          <w:lang w:val="en-US" w:eastAsia="zh-CN"/>
        </w:rPr>
      </w:pPr>
      <w:r>
        <w:rPr>
          <w:rFonts w:hint="eastAsia"/>
        </w:rPr>
        <w:t>五、单位项目预算安排情况及绩效目标</w:t>
      </w:r>
      <w:r>
        <w:rPr>
          <w:rFonts w:hint="eastAsia"/>
        </w:rPr>
        <w:tab/>
      </w:r>
      <w:r>
        <w:rPr>
          <w:rFonts w:hint="eastAsia"/>
        </w:rPr>
        <w:t>1</w:t>
      </w:r>
      <w:r>
        <w:rPr>
          <w:rFonts w:hint="eastAsia"/>
          <w:lang w:val="en-US" w:eastAsia="zh-CN"/>
        </w:rPr>
        <w:t>7</w:t>
      </w:r>
    </w:p>
    <w:p>
      <w:pPr>
        <w:pStyle w:val="23"/>
        <w:tabs>
          <w:tab w:val="right" w:leader="dot" w:pos="14562"/>
        </w:tabs>
        <w:rPr>
          <w:rFonts w:hint="default" w:eastAsia="方正仿宋_GBK"/>
          <w:lang w:val="en-US" w:eastAsia="zh-CN"/>
        </w:rPr>
      </w:pPr>
      <w:r>
        <w:rPr>
          <w:rFonts w:hint="eastAsia"/>
        </w:rPr>
        <w:t>六、政府采购预算情况</w:t>
      </w:r>
      <w:r>
        <w:rPr>
          <w:rFonts w:hint="eastAsia"/>
        </w:rPr>
        <w:tab/>
      </w:r>
      <w:r>
        <w:rPr>
          <w:rFonts w:hint="eastAsia"/>
          <w:lang w:val="en-US" w:eastAsia="zh-CN"/>
        </w:rPr>
        <w:t>20</w:t>
      </w:r>
    </w:p>
    <w:p>
      <w:pPr>
        <w:pStyle w:val="23"/>
        <w:tabs>
          <w:tab w:val="right" w:leader="dot" w:pos="14562"/>
        </w:tabs>
        <w:rPr>
          <w:rFonts w:hint="default" w:eastAsia="方正仿宋_GBK"/>
          <w:lang w:val="en-US" w:eastAsia="zh-CN"/>
        </w:rPr>
      </w:pPr>
      <w:r>
        <w:rPr>
          <w:rFonts w:hint="eastAsia"/>
        </w:rPr>
        <w:t>七、国有资产信息</w:t>
      </w:r>
      <w:r>
        <w:rPr>
          <w:rFonts w:hint="eastAsia"/>
        </w:rPr>
        <w:tab/>
      </w:r>
      <w:r>
        <w:rPr>
          <w:rFonts w:hint="eastAsia"/>
          <w:lang w:val="en-US" w:eastAsia="zh-CN"/>
        </w:rPr>
        <w:t>20</w:t>
      </w:r>
    </w:p>
    <w:p>
      <w:pPr>
        <w:pStyle w:val="23"/>
        <w:tabs>
          <w:tab w:val="right" w:leader="dot" w:pos="14562"/>
        </w:tabs>
        <w:rPr>
          <w:rFonts w:hint="default" w:eastAsia="方正仿宋_GBK"/>
          <w:lang w:val="en-US" w:eastAsia="zh-CN"/>
        </w:rPr>
      </w:pPr>
      <w:r>
        <w:rPr>
          <w:rFonts w:hint="eastAsia"/>
        </w:rPr>
        <w:t>八、名词解释</w:t>
      </w:r>
      <w:r>
        <w:rPr>
          <w:rFonts w:hint="eastAsia"/>
        </w:rPr>
        <w:tab/>
      </w:r>
      <w:r>
        <w:rPr>
          <w:rFonts w:hint="eastAsia"/>
          <w:lang w:val="en-US" w:eastAsia="zh-CN"/>
        </w:rPr>
        <w:t>21</w:t>
      </w:r>
    </w:p>
    <w:p>
      <w:pPr>
        <w:pStyle w:val="23"/>
        <w:tabs>
          <w:tab w:val="right" w:leader="dot" w:pos="14562"/>
        </w:tabs>
        <w:rPr>
          <w:rFonts w:hint="eastAsia" w:eastAsia="方正仿宋_GBK"/>
          <w:lang w:eastAsia="zh-CN"/>
        </w:rPr>
      </w:pPr>
      <w:r>
        <w:rPr>
          <w:rFonts w:hint="eastAsia"/>
        </w:rPr>
        <w:t>九、其他需要说明的事项</w:t>
      </w:r>
      <w:r>
        <w:rPr>
          <w:rFonts w:hint="eastAsia"/>
        </w:rPr>
        <w:tab/>
      </w:r>
      <w:r>
        <w:rPr>
          <w:rFonts w:hint="eastAsia"/>
        </w:rPr>
        <w:t>2</w:t>
      </w:r>
      <w:r>
        <w:rPr>
          <w:rFonts w:hint="eastAsia"/>
          <w:lang w:val="en-US" w:eastAsia="zh-CN"/>
        </w:rPr>
        <w:t>2</w:t>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一、保定市满城区审计局本级收支预算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319001保定市满城区审计局本级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765.27</w:t>
            </w:r>
          </w:p>
        </w:tc>
        <w:tc>
          <w:tcPr>
            <w:tcW w:w="4535" w:type="dxa"/>
            <w:vAlign w:val="center"/>
          </w:tcPr>
          <w:p>
            <w:pPr>
              <w:pStyle w:val="12"/>
            </w:pPr>
            <w:r>
              <w:t>一、一般公共服务支出</w:t>
            </w:r>
          </w:p>
        </w:tc>
        <w:tc>
          <w:tcPr>
            <w:tcW w:w="2126" w:type="dxa"/>
            <w:vAlign w:val="center"/>
          </w:tcPr>
          <w:p>
            <w:pPr>
              <w:pStyle w:val="11"/>
            </w:pPr>
            <w:r>
              <w:t>614.60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765.27</w:t>
            </w:r>
          </w:p>
        </w:tc>
        <w:tc>
          <w:tcPr>
            <w:tcW w:w="4535" w:type="dxa"/>
            <w:vAlign w:val="center"/>
          </w:tcPr>
          <w:p>
            <w:pPr>
              <w:pStyle w:val="14"/>
            </w:pPr>
            <w:r>
              <w:t>本年支出合计</w:t>
            </w:r>
          </w:p>
        </w:tc>
        <w:tc>
          <w:tcPr>
            <w:tcW w:w="2126" w:type="dxa"/>
            <w:vAlign w:val="center"/>
          </w:tcPr>
          <w:p>
            <w:pPr>
              <w:pStyle w:val="15"/>
            </w:pPr>
            <w:r>
              <w:t>765.27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765.27</w:t>
            </w:r>
          </w:p>
        </w:tc>
        <w:tc>
          <w:tcPr>
            <w:tcW w:w="4535" w:type="dxa"/>
            <w:vAlign w:val="center"/>
          </w:tcPr>
          <w:p>
            <w:pPr>
              <w:pStyle w:val="14"/>
            </w:pPr>
            <w:r>
              <w:t>支出总计</w:t>
            </w:r>
          </w:p>
        </w:tc>
        <w:tc>
          <w:tcPr>
            <w:tcW w:w="2126" w:type="dxa"/>
            <w:vAlign w:val="center"/>
          </w:tcPr>
          <w:p>
            <w:pPr>
              <w:pStyle w:val="15"/>
            </w:pPr>
            <w:r>
              <w:t>765.27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319001保定市满城区审计局本级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765.27</w:t>
            </w:r>
          </w:p>
        </w:tc>
        <w:tc>
          <w:tcPr>
            <w:tcW w:w="1134" w:type="dxa"/>
            <w:vAlign w:val="center"/>
          </w:tcPr>
          <w:p>
            <w:pPr>
              <w:pStyle w:val="15"/>
            </w:pPr>
            <w:r>
              <w:t>765.27</w:t>
            </w:r>
          </w:p>
        </w:tc>
        <w:tc>
          <w:tcPr>
            <w:tcW w:w="1134" w:type="dxa"/>
            <w:vAlign w:val="center"/>
          </w:tcPr>
          <w:p>
            <w:pPr>
              <w:pStyle w:val="15"/>
            </w:pPr>
            <w:r>
              <w:t>765.27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614.60</w:t>
            </w:r>
          </w:p>
        </w:tc>
        <w:tc>
          <w:tcPr>
            <w:tcW w:w="1134" w:type="dxa"/>
            <w:vAlign w:val="center"/>
          </w:tcPr>
          <w:p>
            <w:pPr>
              <w:pStyle w:val="11"/>
            </w:pPr>
            <w:r>
              <w:t>614.60</w:t>
            </w:r>
          </w:p>
        </w:tc>
        <w:tc>
          <w:tcPr>
            <w:tcW w:w="1134" w:type="dxa"/>
            <w:vAlign w:val="center"/>
          </w:tcPr>
          <w:p>
            <w:pPr>
              <w:pStyle w:val="11"/>
            </w:pPr>
            <w:r>
              <w:t>614.60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20108</w:t>
            </w:r>
          </w:p>
        </w:tc>
        <w:tc>
          <w:tcPr>
            <w:tcW w:w="1559" w:type="dxa"/>
            <w:vAlign w:val="center"/>
          </w:tcPr>
          <w:p>
            <w:pPr>
              <w:pStyle w:val="12"/>
            </w:pPr>
            <w:r>
              <w:t>审计事务</w:t>
            </w:r>
          </w:p>
        </w:tc>
        <w:tc>
          <w:tcPr>
            <w:tcW w:w="1134" w:type="dxa"/>
            <w:vAlign w:val="center"/>
          </w:tcPr>
          <w:p>
            <w:pPr>
              <w:pStyle w:val="11"/>
            </w:pPr>
            <w:r>
              <w:t>614.60</w:t>
            </w:r>
          </w:p>
        </w:tc>
        <w:tc>
          <w:tcPr>
            <w:tcW w:w="1134" w:type="dxa"/>
            <w:vAlign w:val="center"/>
          </w:tcPr>
          <w:p>
            <w:pPr>
              <w:pStyle w:val="11"/>
            </w:pPr>
            <w:r>
              <w:t>614.60</w:t>
            </w:r>
          </w:p>
        </w:tc>
        <w:tc>
          <w:tcPr>
            <w:tcW w:w="1134" w:type="dxa"/>
            <w:vAlign w:val="center"/>
          </w:tcPr>
          <w:p>
            <w:pPr>
              <w:pStyle w:val="11"/>
            </w:pPr>
            <w:r>
              <w:t>614.60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2010801</w:t>
            </w:r>
          </w:p>
        </w:tc>
        <w:tc>
          <w:tcPr>
            <w:tcW w:w="1559" w:type="dxa"/>
            <w:vAlign w:val="center"/>
          </w:tcPr>
          <w:p>
            <w:pPr>
              <w:pStyle w:val="12"/>
            </w:pPr>
            <w:r>
              <w:t>行政运行</w:t>
            </w:r>
          </w:p>
        </w:tc>
        <w:tc>
          <w:tcPr>
            <w:tcW w:w="1134" w:type="dxa"/>
            <w:vAlign w:val="center"/>
          </w:tcPr>
          <w:p>
            <w:pPr>
              <w:pStyle w:val="11"/>
            </w:pPr>
            <w:r>
              <w:t>301.88</w:t>
            </w:r>
          </w:p>
        </w:tc>
        <w:tc>
          <w:tcPr>
            <w:tcW w:w="1134" w:type="dxa"/>
            <w:vAlign w:val="center"/>
          </w:tcPr>
          <w:p>
            <w:pPr>
              <w:pStyle w:val="11"/>
            </w:pPr>
            <w:r>
              <w:t>301.88</w:t>
            </w:r>
          </w:p>
        </w:tc>
        <w:tc>
          <w:tcPr>
            <w:tcW w:w="1134" w:type="dxa"/>
            <w:vAlign w:val="center"/>
          </w:tcPr>
          <w:p>
            <w:pPr>
              <w:pStyle w:val="11"/>
            </w:pPr>
            <w:r>
              <w:t>301.88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2010802</w:t>
            </w:r>
          </w:p>
        </w:tc>
        <w:tc>
          <w:tcPr>
            <w:tcW w:w="1559" w:type="dxa"/>
            <w:vAlign w:val="center"/>
          </w:tcPr>
          <w:p>
            <w:pPr>
              <w:pStyle w:val="12"/>
            </w:pPr>
            <w:r>
              <w:t>一般行政管理事务</w:t>
            </w:r>
          </w:p>
        </w:tc>
        <w:tc>
          <w:tcPr>
            <w:tcW w:w="1134" w:type="dxa"/>
            <w:vAlign w:val="center"/>
          </w:tcPr>
          <w:p>
            <w:pPr>
              <w:pStyle w:val="11"/>
            </w:pPr>
            <w:r>
              <w:t>12.72</w:t>
            </w:r>
          </w:p>
        </w:tc>
        <w:tc>
          <w:tcPr>
            <w:tcW w:w="1134" w:type="dxa"/>
            <w:vAlign w:val="center"/>
          </w:tcPr>
          <w:p>
            <w:pPr>
              <w:pStyle w:val="11"/>
            </w:pPr>
            <w:r>
              <w:t>12.72</w:t>
            </w:r>
          </w:p>
        </w:tc>
        <w:tc>
          <w:tcPr>
            <w:tcW w:w="1134" w:type="dxa"/>
            <w:vAlign w:val="center"/>
          </w:tcPr>
          <w:p>
            <w:pPr>
              <w:pStyle w:val="11"/>
            </w:pPr>
            <w:r>
              <w:t>12.72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2010804</w:t>
            </w:r>
          </w:p>
        </w:tc>
        <w:tc>
          <w:tcPr>
            <w:tcW w:w="1559" w:type="dxa"/>
            <w:vAlign w:val="center"/>
          </w:tcPr>
          <w:p>
            <w:pPr>
              <w:pStyle w:val="12"/>
            </w:pPr>
            <w:r>
              <w:t>审计业务</w:t>
            </w:r>
          </w:p>
        </w:tc>
        <w:tc>
          <w:tcPr>
            <w:tcW w:w="1134" w:type="dxa"/>
            <w:vAlign w:val="center"/>
          </w:tcPr>
          <w:p>
            <w:pPr>
              <w:pStyle w:val="11"/>
            </w:pPr>
            <w:r>
              <w:t>300.00</w:t>
            </w:r>
          </w:p>
        </w:tc>
        <w:tc>
          <w:tcPr>
            <w:tcW w:w="1134" w:type="dxa"/>
            <w:vAlign w:val="center"/>
          </w:tcPr>
          <w:p>
            <w:pPr>
              <w:pStyle w:val="11"/>
            </w:pPr>
            <w:r>
              <w:t>300.00</w:t>
            </w:r>
          </w:p>
        </w:tc>
        <w:tc>
          <w:tcPr>
            <w:tcW w:w="1134" w:type="dxa"/>
            <w:vAlign w:val="center"/>
          </w:tcPr>
          <w:p>
            <w:pPr>
              <w:pStyle w:val="11"/>
            </w:pPr>
            <w:r>
              <w:t>300.00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111.65</w:t>
            </w:r>
          </w:p>
        </w:tc>
        <w:tc>
          <w:tcPr>
            <w:tcW w:w="1134" w:type="dxa"/>
            <w:vAlign w:val="center"/>
          </w:tcPr>
          <w:p>
            <w:pPr>
              <w:pStyle w:val="11"/>
            </w:pPr>
            <w:r>
              <w:t>111.65</w:t>
            </w:r>
          </w:p>
        </w:tc>
        <w:tc>
          <w:tcPr>
            <w:tcW w:w="1134" w:type="dxa"/>
            <w:vAlign w:val="center"/>
          </w:tcPr>
          <w:p>
            <w:pPr>
              <w:pStyle w:val="11"/>
            </w:pPr>
            <w:r>
              <w:t>111.65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111.65</w:t>
            </w:r>
          </w:p>
        </w:tc>
        <w:tc>
          <w:tcPr>
            <w:tcW w:w="1134" w:type="dxa"/>
            <w:vAlign w:val="center"/>
          </w:tcPr>
          <w:p>
            <w:pPr>
              <w:pStyle w:val="11"/>
            </w:pPr>
            <w:r>
              <w:t>111.65</w:t>
            </w:r>
          </w:p>
        </w:tc>
        <w:tc>
          <w:tcPr>
            <w:tcW w:w="1134" w:type="dxa"/>
            <w:vAlign w:val="center"/>
          </w:tcPr>
          <w:p>
            <w:pPr>
              <w:pStyle w:val="11"/>
            </w:pPr>
            <w:r>
              <w:t>111.65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39.48</w:t>
            </w:r>
          </w:p>
        </w:tc>
        <w:tc>
          <w:tcPr>
            <w:tcW w:w="1134" w:type="dxa"/>
            <w:vAlign w:val="center"/>
          </w:tcPr>
          <w:p>
            <w:pPr>
              <w:pStyle w:val="11"/>
            </w:pPr>
            <w:r>
              <w:t>39.48</w:t>
            </w:r>
          </w:p>
        </w:tc>
        <w:tc>
          <w:tcPr>
            <w:tcW w:w="1134" w:type="dxa"/>
            <w:vAlign w:val="center"/>
          </w:tcPr>
          <w:p>
            <w:pPr>
              <w:pStyle w:val="11"/>
            </w:pPr>
            <w:r>
              <w:t>39.48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36.66</w:t>
            </w:r>
          </w:p>
        </w:tc>
        <w:tc>
          <w:tcPr>
            <w:tcW w:w="1134" w:type="dxa"/>
            <w:vAlign w:val="center"/>
          </w:tcPr>
          <w:p>
            <w:pPr>
              <w:pStyle w:val="11"/>
            </w:pPr>
            <w:r>
              <w:t>36.66</w:t>
            </w:r>
          </w:p>
        </w:tc>
        <w:tc>
          <w:tcPr>
            <w:tcW w:w="1134" w:type="dxa"/>
            <w:vAlign w:val="center"/>
          </w:tcPr>
          <w:p>
            <w:pPr>
              <w:pStyle w:val="11"/>
            </w:pPr>
            <w:r>
              <w:t>36.66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35.51</w:t>
            </w:r>
          </w:p>
        </w:tc>
        <w:tc>
          <w:tcPr>
            <w:tcW w:w="1134" w:type="dxa"/>
            <w:vAlign w:val="center"/>
          </w:tcPr>
          <w:p>
            <w:pPr>
              <w:pStyle w:val="11"/>
            </w:pPr>
            <w:r>
              <w:t>35.51</w:t>
            </w:r>
          </w:p>
        </w:tc>
        <w:tc>
          <w:tcPr>
            <w:tcW w:w="1134" w:type="dxa"/>
            <w:vAlign w:val="center"/>
          </w:tcPr>
          <w:p>
            <w:pPr>
              <w:pStyle w:val="11"/>
            </w:pPr>
            <w:r>
              <w:t>35.51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14.97</w:t>
            </w:r>
          </w:p>
        </w:tc>
        <w:tc>
          <w:tcPr>
            <w:tcW w:w="1134" w:type="dxa"/>
            <w:vAlign w:val="center"/>
          </w:tcPr>
          <w:p>
            <w:pPr>
              <w:pStyle w:val="11"/>
            </w:pPr>
            <w:r>
              <w:t>14.97</w:t>
            </w:r>
          </w:p>
        </w:tc>
        <w:tc>
          <w:tcPr>
            <w:tcW w:w="1134" w:type="dxa"/>
            <w:vAlign w:val="center"/>
          </w:tcPr>
          <w:p>
            <w:pPr>
              <w:pStyle w:val="11"/>
            </w:pPr>
            <w:r>
              <w:t>14.97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14.97</w:t>
            </w:r>
          </w:p>
        </w:tc>
        <w:tc>
          <w:tcPr>
            <w:tcW w:w="1134" w:type="dxa"/>
            <w:vAlign w:val="center"/>
          </w:tcPr>
          <w:p>
            <w:pPr>
              <w:pStyle w:val="11"/>
            </w:pPr>
            <w:r>
              <w:t>14.97</w:t>
            </w:r>
          </w:p>
        </w:tc>
        <w:tc>
          <w:tcPr>
            <w:tcW w:w="1134" w:type="dxa"/>
            <w:vAlign w:val="center"/>
          </w:tcPr>
          <w:p>
            <w:pPr>
              <w:pStyle w:val="11"/>
            </w:pPr>
            <w:r>
              <w:t>14.97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14.97</w:t>
            </w:r>
          </w:p>
        </w:tc>
        <w:tc>
          <w:tcPr>
            <w:tcW w:w="1134" w:type="dxa"/>
            <w:vAlign w:val="center"/>
          </w:tcPr>
          <w:p>
            <w:pPr>
              <w:pStyle w:val="11"/>
            </w:pPr>
            <w:r>
              <w:t>14.97</w:t>
            </w:r>
          </w:p>
        </w:tc>
        <w:tc>
          <w:tcPr>
            <w:tcW w:w="1134" w:type="dxa"/>
            <w:vAlign w:val="center"/>
          </w:tcPr>
          <w:p>
            <w:pPr>
              <w:pStyle w:val="11"/>
            </w:pPr>
            <w:r>
              <w:t>14.97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24.05</w:t>
            </w:r>
          </w:p>
        </w:tc>
        <w:tc>
          <w:tcPr>
            <w:tcW w:w="1134" w:type="dxa"/>
            <w:vAlign w:val="center"/>
          </w:tcPr>
          <w:p>
            <w:pPr>
              <w:pStyle w:val="11"/>
            </w:pPr>
            <w:r>
              <w:t>24.05</w:t>
            </w:r>
          </w:p>
        </w:tc>
        <w:tc>
          <w:tcPr>
            <w:tcW w:w="1134" w:type="dxa"/>
            <w:vAlign w:val="center"/>
          </w:tcPr>
          <w:p>
            <w:pPr>
              <w:pStyle w:val="11"/>
            </w:pPr>
            <w:r>
              <w:t>24.05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24.05</w:t>
            </w:r>
          </w:p>
        </w:tc>
        <w:tc>
          <w:tcPr>
            <w:tcW w:w="1134" w:type="dxa"/>
            <w:vAlign w:val="center"/>
          </w:tcPr>
          <w:p>
            <w:pPr>
              <w:pStyle w:val="11"/>
            </w:pPr>
            <w:r>
              <w:t>24.05</w:t>
            </w:r>
          </w:p>
        </w:tc>
        <w:tc>
          <w:tcPr>
            <w:tcW w:w="1134" w:type="dxa"/>
            <w:vAlign w:val="center"/>
          </w:tcPr>
          <w:p>
            <w:pPr>
              <w:pStyle w:val="11"/>
            </w:pPr>
            <w:r>
              <w:t>24.05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24.05</w:t>
            </w:r>
          </w:p>
        </w:tc>
        <w:tc>
          <w:tcPr>
            <w:tcW w:w="1134" w:type="dxa"/>
            <w:vAlign w:val="center"/>
          </w:tcPr>
          <w:p>
            <w:pPr>
              <w:pStyle w:val="11"/>
            </w:pPr>
            <w:r>
              <w:t>24.05</w:t>
            </w:r>
          </w:p>
        </w:tc>
        <w:tc>
          <w:tcPr>
            <w:tcW w:w="1134" w:type="dxa"/>
            <w:vAlign w:val="center"/>
          </w:tcPr>
          <w:p>
            <w:pPr>
              <w:pStyle w:val="11"/>
            </w:pPr>
            <w:r>
              <w:t>24.05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319001保定市满城区审计局本级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765.27</w:t>
            </w:r>
          </w:p>
        </w:tc>
        <w:tc>
          <w:tcPr>
            <w:tcW w:w="1361" w:type="dxa"/>
            <w:vAlign w:val="center"/>
          </w:tcPr>
          <w:p>
            <w:pPr>
              <w:pStyle w:val="15"/>
            </w:pPr>
            <w:r>
              <w:t>452.56</w:t>
            </w:r>
          </w:p>
        </w:tc>
        <w:tc>
          <w:tcPr>
            <w:tcW w:w="1361" w:type="dxa"/>
            <w:vAlign w:val="center"/>
          </w:tcPr>
          <w:p>
            <w:pPr>
              <w:pStyle w:val="15"/>
            </w:pPr>
            <w:r>
              <w:t>312.72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614.60</w:t>
            </w:r>
          </w:p>
        </w:tc>
        <w:tc>
          <w:tcPr>
            <w:tcW w:w="1361" w:type="dxa"/>
            <w:vAlign w:val="center"/>
          </w:tcPr>
          <w:p>
            <w:pPr>
              <w:pStyle w:val="11"/>
            </w:pPr>
            <w:r>
              <w:t>301.88</w:t>
            </w:r>
          </w:p>
        </w:tc>
        <w:tc>
          <w:tcPr>
            <w:tcW w:w="1361" w:type="dxa"/>
            <w:vAlign w:val="center"/>
          </w:tcPr>
          <w:p>
            <w:pPr>
              <w:pStyle w:val="11"/>
            </w:pPr>
            <w:r>
              <w:t>312.72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20108</w:t>
            </w:r>
          </w:p>
        </w:tc>
        <w:tc>
          <w:tcPr>
            <w:tcW w:w="4535" w:type="dxa"/>
            <w:vAlign w:val="center"/>
          </w:tcPr>
          <w:p>
            <w:pPr>
              <w:pStyle w:val="12"/>
            </w:pPr>
            <w:r>
              <w:t>审计事务</w:t>
            </w:r>
          </w:p>
        </w:tc>
        <w:tc>
          <w:tcPr>
            <w:tcW w:w="1361" w:type="dxa"/>
            <w:vAlign w:val="center"/>
          </w:tcPr>
          <w:p>
            <w:pPr>
              <w:pStyle w:val="11"/>
            </w:pPr>
            <w:r>
              <w:t>614.60</w:t>
            </w:r>
          </w:p>
        </w:tc>
        <w:tc>
          <w:tcPr>
            <w:tcW w:w="1361" w:type="dxa"/>
            <w:vAlign w:val="center"/>
          </w:tcPr>
          <w:p>
            <w:pPr>
              <w:pStyle w:val="11"/>
            </w:pPr>
            <w:r>
              <w:t>301.88</w:t>
            </w:r>
          </w:p>
        </w:tc>
        <w:tc>
          <w:tcPr>
            <w:tcW w:w="1361" w:type="dxa"/>
            <w:vAlign w:val="center"/>
          </w:tcPr>
          <w:p>
            <w:pPr>
              <w:pStyle w:val="11"/>
            </w:pPr>
            <w:r>
              <w:t>312.72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2010801</w:t>
            </w:r>
          </w:p>
        </w:tc>
        <w:tc>
          <w:tcPr>
            <w:tcW w:w="4535" w:type="dxa"/>
            <w:vAlign w:val="center"/>
          </w:tcPr>
          <w:p>
            <w:pPr>
              <w:pStyle w:val="12"/>
            </w:pPr>
            <w:r>
              <w:t>行政运行</w:t>
            </w:r>
          </w:p>
        </w:tc>
        <w:tc>
          <w:tcPr>
            <w:tcW w:w="1361" w:type="dxa"/>
            <w:vAlign w:val="center"/>
          </w:tcPr>
          <w:p>
            <w:pPr>
              <w:pStyle w:val="11"/>
            </w:pPr>
            <w:r>
              <w:t>301.88</w:t>
            </w:r>
          </w:p>
        </w:tc>
        <w:tc>
          <w:tcPr>
            <w:tcW w:w="1361" w:type="dxa"/>
            <w:vAlign w:val="center"/>
          </w:tcPr>
          <w:p>
            <w:pPr>
              <w:pStyle w:val="11"/>
            </w:pPr>
            <w:r>
              <w:t>301.88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2010802</w:t>
            </w:r>
          </w:p>
        </w:tc>
        <w:tc>
          <w:tcPr>
            <w:tcW w:w="4535" w:type="dxa"/>
            <w:vAlign w:val="center"/>
          </w:tcPr>
          <w:p>
            <w:pPr>
              <w:pStyle w:val="12"/>
            </w:pPr>
            <w:r>
              <w:t>一般行政管理事务</w:t>
            </w:r>
          </w:p>
        </w:tc>
        <w:tc>
          <w:tcPr>
            <w:tcW w:w="1361" w:type="dxa"/>
            <w:vAlign w:val="center"/>
          </w:tcPr>
          <w:p>
            <w:pPr>
              <w:pStyle w:val="11"/>
            </w:pPr>
            <w:r>
              <w:t>12.72</w:t>
            </w:r>
          </w:p>
        </w:tc>
        <w:tc>
          <w:tcPr>
            <w:tcW w:w="1361" w:type="dxa"/>
            <w:vAlign w:val="center"/>
          </w:tcPr>
          <w:p>
            <w:pPr>
              <w:pStyle w:val="11"/>
            </w:pPr>
          </w:p>
        </w:tc>
        <w:tc>
          <w:tcPr>
            <w:tcW w:w="1361" w:type="dxa"/>
            <w:vAlign w:val="center"/>
          </w:tcPr>
          <w:p>
            <w:pPr>
              <w:pStyle w:val="11"/>
            </w:pPr>
            <w:r>
              <w:t>12.72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2010804</w:t>
            </w:r>
          </w:p>
        </w:tc>
        <w:tc>
          <w:tcPr>
            <w:tcW w:w="4535" w:type="dxa"/>
            <w:vAlign w:val="center"/>
          </w:tcPr>
          <w:p>
            <w:pPr>
              <w:pStyle w:val="12"/>
            </w:pPr>
            <w:r>
              <w:t>审计业务</w:t>
            </w:r>
          </w:p>
        </w:tc>
        <w:tc>
          <w:tcPr>
            <w:tcW w:w="1361" w:type="dxa"/>
            <w:vAlign w:val="center"/>
          </w:tcPr>
          <w:p>
            <w:pPr>
              <w:pStyle w:val="11"/>
            </w:pPr>
            <w:r>
              <w:t>300.00</w:t>
            </w:r>
          </w:p>
        </w:tc>
        <w:tc>
          <w:tcPr>
            <w:tcW w:w="1361" w:type="dxa"/>
            <w:vAlign w:val="center"/>
          </w:tcPr>
          <w:p>
            <w:pPr>
              <w:pStyle w:val="11"/>
            </w:pPr>
          </w:p>
        </w:tc>
        <w:tc>
          <w:tcPr>
            <w:tcW w:w="1361" w:type="dxa"/>
            <w:vAlign w:val="center"/>
          </w:tcPr>
          <w:p>
            <w:pPr>
              <w:pStyle w:val="11"/>
            </w:pPr>
            <w:r>
              <w:t>300.00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111.65</w:t>
            </w:r>
          </w:p>
        </w:tc>
        <w:tc>
          <w:tcPr>
            <w:tcW w:w="1361" w:type="dxa"/>
            <w:vAlign w:val="center"/>
          </w:tcPr>
          <w:p>
            <w:pPr>
              <w:pStyle w:val="11"/>
            </w:pPr>
            <w:r>
              <w:t>111.65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111.65</w:t>
            </w:r>
          </w:p>
        </w:tc>
        <w:tc>
          <w:tcPr>
            <w:tcW w:w="1361" w:type="dxa"/>
            <w:vAlign w:val="center"/>
          </w:tcPr>
          <w:p>
            <w:pPr>
              <w:pStyle w:val="11"/>
            </w:pPr>
            <w:r>
              <w:t>111.65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39.48</w:t>
            </w:r>
          </w:p>
        </w:tc>
        <w:tc>
          <w:tcPr>
            <w:tcW w:w="1361" w:type="dxa"/>
            <w:vAlign w:val="center"/>
          </w:tcPr>
          <w:p>
            <w:pPr>
              <w:pStyle w:val="11"/>
            </w:pPr>
            <w:r>
              <w:t>39.48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36.66</w:t>
            </w:r>
          </w:p>
        </w:tc>
        <w:tc>
          <w:tcPr>
            <w:tcW w:w="1361" w:type="dxa"/>
            <w:vAlign w:val="center"/>
          </w:tcPr>
          <w:p>
            <w:pPr>
              <w:pStyle w:val="11"/>
            </w:pPr>
            <w:r>
              <w:t>36.66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2080506</w:t>
            </w:r>
          </w:p>
        </w:tc>
        <w:tc>
          <w:tcPr>
            <w:tcW w:w="4535" w:type="dxa"/>
            <w:vAlign w:val="center"/>
          </w:tcPr>
          <w:p>
            <w:pPr>
              <w:pStyle w:val="12"/>
            </w:pPr>
            <w:r>
              <w:t>机关事业单位职业年金缴费支出</w:t>
            </w:r>
          </w:p>
        </w:tc>
        <w:tc>
          <w:tcPr>
            <w:tcW w:w="1361" w:type="dxa"/>
            <w:vAlign w:val="center"/>
          </w:tcPr>
          <w:p>
            <w:pPr>
              <w:pStyle w:val="11"/>
            </w:pPr>
            <w:r>
              <w:t>35.51</w:t>
            </w:r>
          </w:p>
        </w:tc>
        <w:tc>
          <w:tcPr>
            <w:tcW w:w="1361" w:type="dxa"/>
            <w:vAlign w:val="center"/>
          </w:tcPr>
          <w:p>
            <w:pPr>
              <w:pStyle w:val="11"/>
            </w:pPr>
            <w:r>
              <w:t>35.51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14.97</w:t>
            </w:r>
          </w:p>
        </w:tc>
        <w:tc>
          <w:tcPr>
            <w:tcW w:w="1361" w:type="dxa"/>
            <w:vAlign w:val="center"/>
          </w:tcPr>
          <w:p>
            <w:pPr>
              <w:pStyle w:val="11"/>
            </w:pPr>
            <w:r>
              <w:t>14.97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14.97</w:t>
            </w:r>
          </w:p>
        </w:tc>
        <w:tc>
          <w:tcPr>
            <w:tcW w:w="1361" w:type="dxa"/>
            <w:vAlign w:val="center"/>
          </w:tcPr>
          <w:p>
            <w:pPr>
              <w:pStyle w:val="11"/>
            </w:pPr>
            <w:r>
              <w:t>14.97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14.97</w:t>
            </w:r>
          </w:p>
        </w:tc>
        <w:tc>
          <w:tcPr>
            <w:tcW w:w="1361" w:type="dxa"/>
            <w:vAlign w:val="center"/>
          </w:tcPr>
          <w:p>
            <w:pPr>
              <w:pStyle w:val="11"/>
            </w:pPr>
            <w:r>
              <w:t>14.97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24.05</w:t>
            </w:r>
          </w:p>
        </w:tc>
        <w:tc>
          <w:tcPr>
            <w:tcW w:w="1361" w:type="dxa"/>
            <w:vAlign w:val="center"/>
          </w:tcPr>
          <w:p>
            <w:pPr>
              <w:pStyle w:val="11"/>
            </w:pPr>
            <w:r>
              <w:t>24.05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24.05</w:t>
            </w:r>
          </w:p>
        </w:tc>
        <w:tc>
          <w:tcPr>
            <w:tcW w:w="1361" w:type="dxa"/>
            <w:vAlign w:val="center"/>
          </w:tcPr>
          <w:p>
            <w:pPr>
              <w:pStyle w:val="11"/>
            </w:pPr>
            <w:r>
              <w:t>24.05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24.05</w:t>
            </w:r>
          </w:p>
        </w:tc>
        <w:tc>
          <w:tcPr>
            <w:tcW w:w="1361" w:type="dxa"/>
            <w:vAlign w:val="center"/>
          </w:tcPr>
          <w:p>
            <w:pPr>
              <w:pStyle w:val="11"/>
            </w:pPr>
            <w:r>
              <w:t>24.05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319001保定市满城区审计局本级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765.27</w:t>
            </w:r>
          </w:p>
        </w:tc>
        <w:tc>
          <w:tcPr>
            <w:tcW w:w="3402" w:type="dxa"/>
            <w:vAlign w:val="center"/>
          </w:tcPr>
          <w:p>
            <w:pPr>
              <w:pStyle w:val="12"/>
            </w:pPr>
            <w:r>
              <w:t>一、一般公共服务支出</w:t>
            </w:r>
          </w:p>
        </w:tc>
        <w:tc>
          <w:tcPr>
            <w:tcW w:w="1474" w:type="dxa"/>
            <w:vAlign w:val="center"/>
          </w:tcPr>
          <w:p>
            <w:pPr>
              <w:pStyle w:val="11"/>
            </w:pPr>
            <w:r>
              <w:t>614.60</w:t>
            </w:r>
          </w:p>
        </w:tc>
        <w:tc>
          <w:tcPr>
            <w:tcW w:w="1474" w:type="dxa"/>
            <w:vAlign w:val="center"/>
          </w:tcPr>
          <w:p>
            <w:pPr>
              <w:pStyle w:val="11"/>
            </w:pPr>
            <w:r>
              <w:t>614.60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111.65</w:t>
            </w:r>
          </w:p>
        </w:tc>
        <w:tc>
          <w:tcPr>
            <w:tcW w:w="1474" w:type="dxa"/>
            <w:vAlign w:val="center"/>
          </w:tcPr>
          <w:p>
            <w:pPr>
              <w:pStyle w:val="11"/>
            </w:pPr>
            <w:r>
              <w:t>111.65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14.97</w:t>
            </w:r>
          </w:p>
        </w:tc>
        <w:tc>
          <w:tcPr>
            <w:tcW w:w="1474" w:type="dxa"/>
            <w:vAlign w:val="center"/>
          </w:tcPr>
          <w:p>
            <w:pPr>
              <w:pStyle w:val="11"/>
            </w:pPr>
            <w:r>
              <w:t>14.97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24.05</w:t>
            </w:r>
          </w:p>
        </w:tc>
        <w:tc>
          <w:tcPr>
            <w:tcW w:w="1474" w:type="dxa"/>
            <w:vAlign w:val="center"/>
          </w:tcPr>
          <w:p>
            <w:pPr>
              <w:pStyle w:val="11"/>
            </w:pPr>
            <w:r>
              <w:t>24.05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765.27</w:t>
            </w:r>
          </w:p>
        </w:tc>
        <w:tc>
          <w:tcPr>
            <w:tcW w:w="3402" w:type="dxa"/>
            <w:vAlign w:val="center"/>
          </w:tcPr>
          <w:p>
            <w:pPr>
              <w:pStyle w:val="14"/>
            </w:pPr>
            <w:r>
              <w:t>本年支出合计</w:t>
            </w:r>
          </w:p>
        </w:tc>
        <w:tc>
          <w:tcPr>
            <w:tcW w:w="1474" w:type="dxa"/>
            <w:vAlign w:val="center"/>
          </w:tcPr>
          <w:p>
            <w:pPr>
              <w:pStyle w:val="15"/>
            </w:pPr>
            <w:r>
              <w:t>765.27</w:t>
            </w:r>
          </w:p>
        </w:tc>
        <w:tc>
          <w:tcPr>
            <w:tcW w:w="1474" w:type="dxa"/>
            <w:vAlign w:val="center"/>
          </w:tcPr>
          <w:p>
            <w:pPr>
              <w:pStyle w:val="15"/>
            </w:pPr>
            <w:r>
              <w:t>765.27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765.27</w:t>
            </w:r>
          </w:p>
        </w:tc>
        <w:tc>
          <w:tcPr>
            <w:tcW w:w="3402" w:type="dxa"/>
            <w:vAlign w:val="center"/>
          </w:tcPr>
          <w:p>
            <w:pPr>
              <w:pStyle w:val="14"/>
            </w:pPr>
            <w:r>
              <w:t>支出总计</w:t>
            </w:r>
          </w:p>
        </w:tc>
        <w:tc>
          <w:tcPr>
            <w:tcW w:w="1474" w:type="dxa"/>
            <w:vAlign w:val="center"/>
          </w:tcPr>
          <w:p>
            <w:pPr>
              <w:pStyle w:val="15"/>
            </w:pPr>
            <w:r>
              <w:t>765.27</w:t>
            </w:r>
          </w:p>
        </w:tc>
        <w:tc>
          <w:tcPr>
            <w:tcW w:w="1474" w:type="dxa"/>
            <w:vAlign w:val="center"/>
          </w:tcPr>
          <w:p>
            <w:pPr>
              <w:pStyle w:val="15"/>
            </w:pPr>
            <w:r>
              <w:t>765.27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319001保定市满城区审计局本级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765.27</w:t>
            </w:r>
          </w:p>
        </w:tc>
        <w:tc>
          <w:tcPr>
            <w:tcW w:w="2551" w:type="dxa"/>
            <w:vAlign w:val="center"/>
          </w:tcPr>
          <w:p>
            <w:pPr>
              <w:pStyle w:val="15"/>
            </w:pPr>
            <w:r>
              <w:t>452.56</w:t>
            </w:r>
          </w:p>
        </w:tc>
        <w:tc>
          <w:tcPr>
            <w:tcW w:w="2551" w:type="dxa"/>
            <w:vAlign w:val="center"/>
          </w:tcPr>
          <w:p>
            <w:pPr>
              <w:pStyle w:val="15"/>
            </w:pPr>
            <w:r>
              <w:t>312.72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614.60</w:t>
            </w:r>
          </w:p>
        </w:tc>
        <w:tc>
          <w:tcPr>
            <w:tcW w:w="2551" w:type="dxa"/>
            <w:vAlign w:val="center"/>
          </w:tcPr>
          <w:p>
            <w:pPr>
              <w:pStyle w:val="11"/>
            </w:pPr>
            <w:r>
              <w:t>301.88</w:t>
            </w:r>
          </w:p>
        </w:tc>
        <w:tc>
          <w:tcPr>
            <w:tcW w:w="2551" w:type="dxa"/>
            <w:vAlign w:val="center"/>
          </w:tcPr>
          <w:p>
            <w:pPr>
              <w:pStyle w:val="11"/>
            </w:pPr>
            <w:r>
              <w:t>312.72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20108</w:t>
            </w:r>
          </w:p>
        </w:tc>
        <w:tc>
          <w:tcPr>
            <w:tcW w:w="4535" w:type="dxa"/>
            <w:vAlign w:val="center"/>
          </w:tcPr>
          <w:p>
            <w:pPr>
              <w:pStyle w:val="12"/>
            </w:pPr>
            <w:r>
              <w:t>审计事务</w:t>
            </w:r>
          </w:p>
        </w:tc>
        <w:tc>
          <w:tcPr>
            <w:tcW w:w="2551" w:type="dxa"/>
            <w:vAlign w:val="center"/>
          </w:tcPr>
          <w:p>
            <w:pPr>
              <w:pStyle w:val="11"/>
            </w:pPr>
            <w:r>
              <w:t>614.60</w:t>
            </w:r>
          </w:p>
        </w:tc>
        <w:tc>
          <w:tcPr>
            <w:tcW w:w="2551" w:type="dxa"/>
            <w:vAlign w:val="center"/>
          </w:tcPr>
          <w:p>
            <w:pPr>
              <w:pStyle w:val="11"/>
            </w:pPr>
            <w:r>
              <w:t>301.88</w:t>
            </w:r>
          </w:p>
        </w:tc>
        <w:tc>
          <w:tcPr>
            <w:tcW w:w="2551" w:type="dxa"/>
            <w:vAlign w:val="center"/>
          </w:tcPr>
          <w:p>
            <w:pPr>
              <w:pStyle w:val="11"/>
            </w:pPr>
            <w:r>
              <w:t>312.72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2010801</w:t>
            </w:r>
          </w:p>
        </w:tc>
        <w:tc>
          <w:tcPr>
            <w:tcW w:w="4535" w:type="dxa"/>
            <w:vAlign w:val="center"/>
          </w:tcPr>
          <w:p>
            <w:pPr>
              <w:pStyle w:val="12"/>
            </w:pPr>
            <w:r>
              <w:t>行政运行</w:t>
            </w:r>
          </w:p>
        </w:tc>
        <w:tc>
          <w:tcPr>
            <w:tcW w:w="2551" w:type="dxa"/>
            <w:vAlign w:val="center"/>
          </w:tcPr>
          <w:p>
            <w:pPr>
              <w:pStyle w:val="11"/>
            </w:pPr>
            <w:r>
              <w:t>301.88</w:t>
            </w:r>
          </w:p>
        </w:tc>
        <w:tc>
          <w:tcPr>
            <w:tcW w:w="2551" w:type="dxa"/>
            <w:vAlign w:val="center"/>
          </w:tcPr>
          <w:p>
            <w:pPr>
              <w:pStyle w:val="11"/>
            </w:pPr>
            <w:r>
              <w:t>301.88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2010802</w:t>
            </w:r>
          </w:p>
        </w:tc>
        <w:tc>
          <w:tcPr>
            <w:tcW w:w="4535" w:type="dxa"/>
            <w:vAlign w:val="center"/>
          </w:tcPr>
          <w:p>
            <w:pPr>
              <w:pStyle w:val="12"/>
            </w:pPr>
            <w:r>
              <w:t>一般行政管理事务</w:t>
            </w:r>
          </w:p>
        </w:tc>
        <w:tc>
          <w:tcPr>
            <w:tcW w:w="2551" w:type="dxa"/>
            <w:vAlign w:val="center"/>
          </w:tcPr>
          <w:p>
            <w:pPr>
              <w:pStyle w:val="11"/>
            </w:pPr>
            <w:r>
              <w:t>12.72</w:t>
            </w:r>
          </w:p>
        </w:tc>
        <w:tc>
          <w:tcPr>
            <w:tcW w:w="2551" w:type="dxa"/>
            <w:vAlign w:val="center"/>
          </w:tcPr>
          <w:p>
            <w:pPr>
              <w:pStyle w:val="11"/>
            </w:pPr>
          </w:p>
        </w:tc>
        <w:tc>
          <w:tcPr>
            <w:tcW w:w="2551" w:type="dxa"/>
            <w:vAlign w:val="center"/>
          </w:tcPr>
          <w:p>
            <w:pPr>
              <w:pStyle w:val="11"/>
            </w:pPr>
            <w:r>
              <w:t>12.72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2010804</w:t>
            </w:r>
          </w:p>
        </w:tc>
        <w:tc>
          <w:tcPr>
            <w:tcW w:w="4535" w:type="dxa"/>
            <w:vAlign w:val="center"/>
          </w:tcPr>
          <w:p>
            <w:pPr>
              <w:pStyle w:val="12"/>
            </w:pPr>
            <w:r>
              <w:t>审计业务</w:t>
            </w:r>
          </w:p>
        </w:tc>
        <w:tc>
          <w:tcPr>
            <w:tcW w:w="2551" w:type="dxa"/>
            <w:vAlign w:val="center"/>
          </w:tcPr>
          <w:p>
            <w:pPr>
              <w:pStyle w:val="11"/>
            </w:pPr>
            <w:r>
              <w:t>300.00</w:t>
            </w:r>
          </w:p>
        </w:tc>
        <w:tc>
          <w:tcPr>
            <w:tcW w:w="2551" w:type="dxa"/>
            <w:vAlign w:val="center"/>
          </w:tcPr>
          <w:p>
            <w:pPr>
              <w:pStyle w:val="11"/>
            </w:pPr>
          </w:p>
        </w:tc>
        <w:tc>
          <w:tcPr>
            <w:tcW w:w="2551" w:type="dxa"/>
            <w:vAlign w:val="center"/>
          </w:tcPr>
          <w:p>
            <w:pPr>
              <w:pStyle w:val="11"/>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111.65</w:t>
            </w:r>
          </w:p>
        </w:tc>
        <w:tc>
          <w:tcPr>
            <w:tcW w:w="2551" w:type="dxa"/>
            <w:vAlign w:val="center"/>
          </w:tcPr>
          <w:p>
            <w:pPr>
              <w:pStyle w:val="11"/>
            </w:pPr>
            <w:r>
              <w:t>111.65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111.65</w:t>
            </w:r>
          </w:p>
        </w:tc>
        <w:tc>
          <w:tcPr>
            <w:tcW w:w="2551" w:type="dxa"/>
            <w:vAlign w:val="center"/>
          </w:tcPr>
          <w:p>
            <w:pPr>
              <w:pStyle w:val="11"/>
            </w:pPr>
            <w:r>
              <w:t>111.65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39.48</w:t>
            </w:r>
          </w:p>
        </w:tc>
        <w:tc>
          <w:tcPr>
            <w:tcW w:w="2551" w:type="dxa"/>
            <w:vAlign w:val="center"/>
          </w:tcPr>
          <w:p>
            <w:pPr>
              <w:pStyle w:val="11"/>
            </w:pPr>
            <w:r>
              <w:t>39.48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36.66</w:t>
            </w:r>
          </w:p>
        </w:tc>
        <w:tc>
          <w:tcPr>
            <w:tcW w:w="2551" w:type="dxa"/>
            <w:vAlign w:val="center"/>
          </w:tcPr>
          <w:p>
            <w:pPr>
              <w:pStyle w:val="11"/>
            </w:pPr>
            <w:r>
              <w:t>36.66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35.51</w:t>
            </w:r>
          </w:p>
        </w:tc>
        <w:tc>
          <w:tcPr>
            <w:tcW w:w="2551" w:type="dxa"/>
            <w:vAlign w:val="center"/>
          </w:tcPr>
          <w:p>
            <w:pPr>
              <w:pStyle w:val="11"/>
            </w:pPr>
            <w:r>
              <w:t>35.51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14.97</w:t>
            </w:r>
          </w:p>
        </w:tc>
        <w:tc>
          <w:tcPr>
            <w:tcW w:w="2551" w:type="dxa"/>
            <w:vAlign w:val="center"/>
          </w:tcPr>
          <w:p>
            <w:pPr>
              <w:pStyle w:val="11"/>
            </w:pPr>
            <w:r>
              <w:t>14.97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14.97</w:t>
            </w:r>
          </w:p>
        </w:tc>
        <w:tc>
          <w:tcPr>
            <w:tcW w:w="2551" w:type="dxa"/>
            <w:vAlign w:val="center"/>
          </w:tcPr>
          <w:p>
            <w:pPr>
              <w:pStyle w:val="11"/>
            </w:pPr>
            <w:r>
              <w:t>14.97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14.97</w:t>
            </w:r>
          </w:p>
        </w:tc>
        <w:tc>
          <w:tcPr>
            <w:tcW w:w="2551" w:type="dxa"/>
            <w:vAlign w:val="center"/>
          </w:tcPr>
          <w:p>
            <w:pPr>
              <w:pStyle w:val="11"/>
            </w:pPr>
            <w:r>
              <w:t>14.97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24.05</w:t>
            </w:r>
          </w:p>
        </w:tc>
        <w:tc>
          <w:tcPr>
            <w:tcW w:w="2551" w:type="dxa"/>
            <w:vAlign w:val="center"/>
          </w:tcPr>
          <w:p>
            <w:pPr>
              <w:pStyle w:val="11"/>
            </w:pPr>
            <w:r>
              <w:t>24.05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24.05</w:t>
            </w:r>
          </w:p>
        </w:tc>
        <w:tc>
          <w:tcPr>
            <w:tcW w:w="2551" w:type="dxa"/>
            <w:vAlign w:val="center"/>
          </w:tcPr>
          <w:p>
            <w:pPr>
              <w:pStyle w:val="11"/>
            </w:pPr>
            <w:r>
              <w:t>24.05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24.05</w:t>
            </w:r>
          </w:p>
        </w:tc>
        <w:tc>
          <w:tcPr>
            <w:tcW w:w="2551" w:type="dxa"/>
            <w:vAlign w:val="center"/>
          </w:tcPr>
          <w:p>
            <w:pPr>
              <w:pStyle w:val="11"/>
            </w:pPr>
            <w:r>
              <w:t>24.05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319001保定市满城区审计局本级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452.56</w:t>
            </w:r>
          </w:p>
        </w:tc>
        <w:tc>
          <w:tcPr>
            <w:tcW w:w="2551" w:type="dxa"/>
            <w:vAlign w:val="center"/>
          </w:tcPr>
          <w:p>
            <w:pPr>
              <w:pStyle w:val="15"/>
            </w:pPr>
            <w:r>
              <w:t>429.19</w:t>
            </w:r>
          </w:p>
        </w:tc>
        <w:tc>
          <w:tcPr>
            <w:tcW w:w="2551" w:type="dxa"/>
            <w:vAlign w:val="center"/>
          </w:tcPr>
          <w:p>
            <w:pPr>
              <w:pStyle w:val="15"/>
            </w:pPr>
            <w: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365.57</w:t>
            </w:r>
          </w:p>
        </w:tc>
        <w:tc>
          <w:tcPr>
            <w:tcW w:w="2551" w:type="dxa"/>
            <w:vAlign w:val="center"/>
          </w:tcPr>
          <w:p>
            <w:pPr>
              <w:pStyle w:val="11"/>
            </w:pPr>
            <w:r>
              <w:t>365.57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115.75</w:t>
            </w:r>
          </w:p>
        </w:tc>
        <w:tc>
          <w:tcPr>
            <w:tcW w:w="2551" w:type="dxa"/>
            <w:vAlign w:val="center"/>
          </w:tcPr>
          <w:p>
            <w:pPr>
              <w:pStyle w:val="11"/>
            </w:pPr>
            <w:r>
              <w:t>115.75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51.97</w:t>
            </w:r>
          </w:p>
        </w:tc>
        <w:tc>
          <w:tcPr>
            <w:tcW w:w="2551" w:type="dxa"/>
            <w:vAlign w:val="center"/>
          </w:tcPr>
          <w:p>
            <w:pPr>
              <w:pStyle w:val="11"/>
            </w:pPr>
            <w:r>
              <w:t>51.97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21.47</w:t>
            </w:r>
          </w:p>
        </w:tc>
        <w:tc>
          <w:tcPr>
            <w:tcW w:w="2551" w:type="dxa"/>
            <w:vAlign w:val="center"/>
          </w:tcPr>
          <w:p>
            <w:pPr>
              <w:pStyle w:val="11"/>
            </w:pPr>
            <w:r>
              <w:t>21.47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63.90</w:t>
            </w:r>
          </w:p>
        </w:tc>
        <w:tc>
          <w:tcPr>
            <w:tcW w:w="2551" w:type="dxa"/>
            <w:vAlign w:val="center"/>
          </w:tcPr>
          <w:p>
            <w:pPr>
              <w:pStyle w:val="11"/>
            </w:pPr>
            <w:r>
              <w:t>63.90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36.66</w:t>
            </w:r>
          </w:p>
        </w:tc>
        <w:tc>
          <w:tcPr>
            <w:tcW w:w="2551" w:type="dxa"/>
            <w:vAlign w:val="center"/>
          </w:tcPr>
          <w:p>
            <w:pPr>
              <w:pStyle w:val="11"/>
            </w:pPr>
            <w:r>
              <w:t>36.66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35.51</w:t>
            </w:r>
          </w:p>
        </w:tc>
        <w:tc>
          <w:tcPr>
            <w:tcW w:w="2551" w:type="dxa"/>
            <w:vAlign w:val="center"/>
          </w:tcPr>
          <w:p>
            <w:pPr>
              <w:pStyle w:val="11"/>
            </w:pPr>
            <w:r>
              <w:t>35.51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14.97</w:t>
            </w:r>
          </w:p>
        </w:tc>
        <w:tc>
          <w:tcPr>
            <w:tcW w:w="2551" w:type="dxa"/>
            <w:vAlign w:val="center"/>
          </w:tcPr>
          <w:p>
            <w:pPr>
              <w:pStyle w:val="11"/>
            </w:pPr>
            <w:r>
              <w:t>14.97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1.28</w:t>
            </w:r>
          </w:p>
        </w:tc>
        <w:tc>
          <w:tcPr>
            <w:tcW w:w="2551" w:type="dxa"/>
            <w:vAlign w:val="center"/>
          </w:tcPr>
          <w:p>
            <w:pPr>
              <w:pStyle w:val="11"/>
            </w:pPr>
            <w:r>
              <w:t>1.28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24.05</w:t>
            </w:r>
          </w:p>
        </w:tc>
        <w:tc>
          <w:tcPr>
            <w:tcW w:w="2551" w:type="dxa"/>
            <w:vAlign w:val="center"/>
          </w:tcPr>
          <w:p>
            <w:pPr>
              <w:pStyle w:val="11"/>
            </w:pPr>
            <w:r>
              <w:t>24.05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23.37</w:t>
            </w:r>
          </w:p>
        </w:tc>
        <w:tc>
          <w:tcPr>
            <w:tcW w:w="2551" w:type="dxa"/>
            <w:vAlign w:val="center"/>
          </w:tcPr>
          <w:p>
            <w:pPr>
              <w:pStyle w:val="11"/>
            </w:pPr>
          </w:p>
        </w:tc>
        <w:tc>
          <w:tcPr>
            <w:tcW w:w="2551" w:type="dxa"/>
            <w:vAlign w:val="center"/>
          </w:tcPr>
          <w:p>
            <w:pPr>
              <w:pStyle w:val="11"/>
            </w:pPr>
            <w:r>
              <w:t>23.37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1.89</w:t>
            </w:r>
          </w:p>
        </w:tc>
        <w:tc>
          <w:tcPr>
            <w:tcW w:w="2551" w:type="dxa"/>
            <w:vAlign w:val="center"/>
          </w:tcPr>
          <w:p>
            <w:pPr>
              <w:pStyle w:val="11"/>
            </w:pPr>
          </w:p>
        </w:tc>
        <w:tc>
          <w:tcPr>
            <w:tcW w:w="2551" w:type="dxa"/>
            <w:vAlign w:val="center"/>
          </w:tcPr>
          <w:p>
            <w:pPr>
              <w:pStyle w:val="11"/>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0.41</w:t>
            </w:r>
          </w:p>
        </w:tc>
        <w:tc>
          <w:tcPr>
            <w:tcW w:w="2551" w:type="dxa"/>
            <w:vAlign w:val="center"/>
          </w:tcPr>
          <w:p>
            <w:pPr>
              <w:pStyle w:val="11"/>
            </w:pPr>
          </w:p>
        </w:tc>
        <w:tc>
          <w:tcPr>
            <w:tcW w:w="2551" w:type="dxa"/>
            <w:vAlign w:val="center"/>
          </w:tcPr>
          <w:p>
            <w:pPr>
              <w:pStyle w:val="11"/>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1.35</w:t>
            </w:r>
          </w:p>
        </w:tc>
        <w:tc>
          <w:tcPr>
            <w:tcW w:w="2551" w:type="dxa"/>
            <w:vAlign w:val="center"/>
          </w:tcPr>
          <w:p>
            <w:pPr>
              <w:pStyle w:val="11"/>
            </w:pPr>
          </w:p>
        </w:tc>
        <w:tc>
          <w:tcPr>
            <w:tcW w:w="2551" w:type="dxa"/>
            <w:vAlign w:val="center"/>
          </w:tcPr>
          <w:p>
            <w:pPr>
              <w:pStyle w:val="11"/>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6.16</w:t>
            </w:r>
          </w:p>
        </w:tc>
        <w:tc>
          <w:tcPr>
            <w:tcW w:w="2551" w:type="dxa"/>
            <w:vAlign w:val="center"/>
          </w:tcPr>
          <w:p>
            <w:pPr>
              <w:pStyle w:val="11"/>
            </w:pPr>
          </w:p>
        </w:tc>
        <w:tc>
          <w:tcPr>
            <w:tcW w:w="2551" w:type="dxa"/>
            <w:vAlign w:val="center"/>
          </w:tcPr>
          <w:p>
            <w:pPr>
              <w:pStyle w:val="11"/>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0.41</w:t>
            </w:r>
          </w:p>
        </w:tc>
        <w:tc>
          <w:tcPr>
            <w:tcW w:w="2551" w:type="dxa"/>
            <w:vAlign w:val="center"/>
          </w:tcPr>
          <w:p>
            <w:pPr>
              <w:pStyle w:val="11"/>
            </w:pPr>
          </w:p>
        </w:tc>
        <w:tc>
          <w:tcPr>
            <w:tcW w:w="2551" w:type="dxa"/>
            <w:vAlign w:val="center"/>
          </w:tcPr>
          <w:p>
            <w:pPr>
              <w:pStyle w:val="11"/>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0.47</w:t>
            </w:r>
          </w:p>
        </w:tc>
        <w:tc>
          <w:tcPr>
            <w:tcW w:w="2551" w:type="dxa"/>
            <w:vAlign w:val="center"/>
          </w:tcPr>
          <w:p>
            <w:pPr>
              <w:pStyle w:val="11"/>
            </w:pPr>
          </w:p>
        </w:tc>
        <w:tc>
          <w:tcPr>
            <w:tcW w:w="2551" w:type="dxa"/>
            <w:vAlign w:val="center"/>
          </w:tcPr>
          <w:p>
            <w:pPr>
              <w:pStyle w:val="11"/>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1.39</w:t>
            </w:r>
          </w:p>
        </w:tc>
        <w:tc>
          <w:tcPr>
            <w:tcW w:w="2551" w:type="dxa"/>
            <w:vAlign w:val="center"/>
          </w:tcPr>
          <w:p>
            <w:pPr>
              <w:pStyle w:val="11"/>
            </w:pPr>
          </w:p>
        </w:tc>
        <w:tc>
          <w:tcPr>
            <w:tcW w:w="2551" w:type="dxa"/>
            <w:vAlign w:val="center"/>
          </w:tcPr>
          <w:p>
            <w:pPr>
              <w:pStyle w:val="11"/>
            </w:pPr>
            <w:r>
              <w:t>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1.16</w:t>
            </w:r>
          </w:p>
        </w:tc>
        <w:tc>
          <w:tcPr>
            <w:tcW w:w="2551" w:type="dxa"/>
            <w:vAlign w:val="center"/>
          </w:tcPr>
          <w:p>
            <w:pPr>
              <w:pStyle w:val="11"/>
            </w:pPr>
          </w:p>
        </w:tc>
        <w:tc>
          <w:tcPr>
            <w:tcW w:w="2551" w:type="dxa"/>
            <w:vAlign w:val="center"/>
          </w:tcPr>
          <w:p>
            <w:pPr>
              <w:pStyle w:val="11"/>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1"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7.80</w:t>
            </w:r>
          </w:p>
        </w:tc>
        <w:tc>
          <w:tcPr>
            <w:tcW w:w="2551" w:type="dxa"/>
            <w:vAlign w:val="center"/>
          </w:tcPr>
          <w:p>
            <w:pPr>
              <w:pStyle w:val="11"/>
            </w:pPr>
          </w:p>
        </w:tc>
        <w:tc>
          <w:tcPr>
            <w:tcW w:w="2551" w:type="dxa"/>
            <w:vAlign w:val="center"/>
          </w:tcPr>
          <w:p>
            <w:pPr>
              <w:pStyle w:val="11"/>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0.84</w:t>
            </w:r>
          </w:p>
        </w:tc>
        <w:tc>
          <w:tcPr>
            <w:tcW w:w="2551" w:type="dxa"/>
            <w:vAlign w:val="center"/>
          </w:tcPr>
          <w:p>
            <w:pPr>
              <w:pStyle w:val="11"/>
            </w:pPr>
          </w:p>
        </w:tc>
        <w:tc>
          <w:tcPr>
            <w:tcW w:w="2551" w:type="dxa"/>
            <w:vAlign w:val="center"/>
          </w:tcPr>
          <w:p>
            <w:pPr>
              <w:pStyle w:val="11"/>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63.62</w:t>
            </w:r>
          </w:p>
        </w:tc>
        <w:tc>
          <w:tcPr>
            <w:tcW w:w="2551" w:type="dxa"/>
            <w:vAlign w:val="center"/>
          </w:tcPr>
          <w:p>
            <w:pPr>
              <w:pStyle w:val="11"/>
            </w:pPr>
            <w:r>
              <w:t>63.62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38.64</w:t>
            </w:r>
          </w:p>
        </w:tc>
        <w:tc>
          <w:tcPr>
            <w:tcW w:w="2551" w:type="dxa"/>
            <w:vAlign w:val="center"/>
          </w:tcPr>
          <w:p>
            <w:pPr>
              <w:pStyle w:val="11"/>
            </w:pPr>
            <w:r>
              <w:t>38.64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2.40</w:t>
            </w:r>
          </w:p>
        </w:tc>
        <w:tc>
          <w:tcPr>
            <w:tcW w:w="2551" w:type="dxa"/>
            <w:vAlign w:val="center"/>
          </w:tcPr>
          <w:p>
            <w:pPr>
              <w:pStyle w:val="11"/>
            </w:pPr>
            <w:r>
              <w:t>2.40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22.58</w:t>
            </w:r>
          </w:p>
        </w:tc>
        <w:tc>
          <w:tcPr>
            <w:tcW w:w="2551" w:type="dxa"/>
            <w:vAlign w:val="center"/>
          </w:tcPr>
          <w:p>
            <w:pPr>
              <w:pStyle w:val="11"/>
            </w:pPr>
            <w:r>
              <w:t>22.58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319001保定市满城区审计局本级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319001保定市满城区审计局本级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pPr w:leftFromText="180" w:rightFromText="180" w:vertAnchor="text" w:horzAnchor="page" w:tblpXSpec="center" w:tblpY="906"/>
        <w:tblOverlap w:val="never"/>
        <w:tblW w:w="1141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571"/>
        <w:gridCol w:w="3120"/>
        <w:gridCol w:w="699"/>
        <w:gridCol w:w="2181"/>
        <w:gridCol w:w="2085"/>
        <w:gridCol w:w="27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4390"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left"/>
              <w:rPr>
                <w:rFonts w:hint="default" w:ascii="方正小标宋_GBK" w:hAnsi="方正小标宋_GBK" w:eastAsia="方正小标宋_GBK" w:cs="方正小标宋_GBK"/>
                <w:b w:val="0"/>
                <w:bCs w:val="0"/>
                <w:i w:val="0"/>
                <w:iCs w:val="0"/>
                <w:caps w:val="0"/>
                <w:color w:val="000000"/>
                <w:spacing w:val="0"/>
                <w:sz w:val="24"/>
                <w:szCs w:val="24"/>
              </w:rPr>
            </w:pPr>
            <w:r>
              <w:t>319保定市满城区审计局</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预算年度：2024</w:t>
            </w:r>
          </w:p>
        </w:tc>
        <w:tc>
          <w:tcPr>
            <w:tcW w:w="4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小标宋_GBK" w:hAnsi="方正小标宋_GBK" w:eastAsia="方正小标宋_GBK" w:cs="方正小标宋_GBK"/>
                <w:b w:val="0"/>
                <w:bCs w:val="0"/>
                <w:i w:val="0"/>
                <w:iCs w:val="0"/>
                <w:caps w:val="0"/>
                <w:color w:val="000000"/>
                <w:spacing w:val="0"/>
                <w:sz w:val="24"/>
                <w:szCs w:val="24"/>
              </w:rPr>
            </w:pPr>
            <w:r>
              <w:rPr>
                <w:rFonts w:hint="default" w:ascii="方正小标宋_GBK" w:hAnsi="方正小标宋_GBK" w:eastAsia="方正小标宋_GBK" w:cs="方正小标宋_GBK"/>
                <w:b w:val="0"/>
                <w:bCs w:val="0"/>
                <w:i w:val="0"/>
                <w:iCs w:val="0"/>
                <w:caps w:val="0"/>
                <w:color w:val="000000"/>
                <w:spacing w:val="0"/>
                <w:kern w:val="0"/>
                <w:sz w:val="24"/>
                <w:szCs w:val="24"/>
                <w:lang w:val="en-US" w:eastAsia="zh-CN" w:bidi="ar"/>
              </w:rPr>
              <w:t>单位：万元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序号</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项 目</w:t>
            </w:r>
          </w:p>
        </w:tc>
        <w:tc>
          <w:tcPr>
            <w:tcW w:w="7725"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资 金 性 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91" w:hRule="atLeast"/>
          <w:tblHeader/>
          <w:jc w:val="center"/>
        </w:trPr>
        <w:tc>
          <w:tcPr>
            <w:tcW w:w="571"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center"/>
          </w:tcPr>
          <w:p>
            <w:pPr>
              <w:rPr>
                <w:rFonts w:hint="eastAsia" w:ascii="微软雅黑" w:hAnsi="微软雅黑" w:eastAsia="微软雅黑" w:cs="微软雅黑"/>
                <w:i w:val="0"/>
                <w:iCs w:val="0"/>
                <w:caps w:val="0"/>
                <w:color w:val="000000"/>
                <w:spacing w:val="0"/>
                <w:sz w:val="27"/>
                <w:szCs w:val="27"/>
              </w:rPr>
            </w:pPr>
          </w:p>
        </w:tc>
        <w:tc>
          <w:tcPr>
            <w:tcW w:w="6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合计</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一般公共预算 财政拨款</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政府性基金 预算拨款</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国有资本经营 预算财政拨款</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栏次</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2</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3</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4</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bCs/>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31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2"/>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69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1.97</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1.97</w:t>
            </w:r>
          </w:p>
        </w:tc>
        <w:tc>
          <w:tcPr>
            <w:tcW w:w="208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c>
          <w:tcPr>
            <w:tcW w:w="27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r>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120" w:type="dxa"/>
            <w:noWrap w:val="0"/>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181"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right"/>
              <w:rPr>
                <w:rFonts w:hint="default" w:ascii="方正书宋_GBK" w:hAnsi="方正书宋_GBK" w:eastAsia="方正书宋_GBK" w:cs="方正书宋_GBK"/>
                <w:b w:val="0"/>
                <w:bCs w:val="0"/>
                <w:i w:val="0"/>
                <w:iCs w:val="0"/>
                <w:caps w:val="0"/>
                <w:color w:val="000000"/>
                <w:spacing w:val="0"/>
                <w:sz w:val="21"/>
                <w:szCs w:val="21"/>
                <w:lang w:val="en-US" w:eastAsia="uk-UA" w:bidi="ar-SA"/>
              </w:rPr>
            </w:pP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2"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default"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1.50</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14" w:hRule="atLeast"/>
          <w:tblHeader/>
          <w:jc w:val="center"/>
        </w:trPr>
        <w:tc>
          <w:tcPr>
            <w:tcW w:w="57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eastAsia"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120" w:type="dxa"/>
            <w:noWrap w:val="0"/>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699" w:type="dxa"/>
            <w:noWrap w:val="0"/>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rPr>
                <w:rFonts w:hint="default" w:ascii="方正书宋_GBK" w:hAnsi="方正书宋_GBK" w:eastAsia="方正书宋_GBK" w:cs="方正书宋_GBK"/>
                <w:b w:val="0"/>
                <w:bCs w:val="0"/>
                <w:i w:val="0"/>
                <w:iCs w:val="0"/>
                <w:caps w:val="0"/>
                <w:color w:val="000000"/>
                <w:spacing w:val="0"/>
                <w:sz w:val="21"/>
                <w:szCs w:val="21"/>
                <w:lang w:val="en-US" w:eastAsia="zh-CN" w:bidi="ar-SA"/>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0.47</w:t>
            </w:r>
          </w:p>
        </w:tc>
        <w:tc>
          <w:tcPr>
            <w:tcW w:w="2181" w:type="dxa"/>
            <w:noWrap w:val="0"/>
            <w:vAlign w:val="top"/>
          </w:tcPr>
          <w:p>
            <w:pPr>
              <w:keepNext w:val="0"/>
              <w:keepLines w:val="0"/>
              <w:widowControl/>
              <w:suppressLineNumbers w:val="0"/>
              <w:spacing w:before="0" w:beforeAutospacing="0" w:after="0" w:afterAutospacing="0" w:line="15" w:lineRule="atLeast"/>
              <w:ind w:left="0" w:right="0" w:firstLine="0"/>
              <w:jc w:val="center"/>
              <w:rPr>
                <w:rFonts w:hint="default" w:ascii="方正书宋_GBK" w:hAnsi="方正书宋_GBK" w:eastAsia="方正书宋_GBK" w:cs="方正书宋_GBK"/>
                <w:b w:val="0"/>
                <w:bCs w:val="0"/>
                <w:i w:val="0"/>
                <w:iCs w:val="0"/>
                <w:caps w:val="0"/>
                <w:color w:val="000000"/>
                <w:spacing w:val="0"/>
                <w:sz w:val="21"/>
                <w:szCs w:val="21"/>
                <w:lang w:val="en-US" w:eastAsia="zh-CN"/>
              </w:rPr>
            </w:pPr>
            <w:r>
              <w:rPr>
                <w:rFonts w:hint="eastAsia" w:ascii="方正书宋_GBK" w:hAnsi="方正书宋_GBK" w:eastAsia="方正书宋_GBK" w:cs="方正书宋_GBK"/>
                <w:b w:val="0"/>
                <w:bCs w:val="0"/>
                <w:i w:val="0"/>
                <w:iCs w:val="0"/>
                <w:caps w:val="0"/>
                <w:color w:val="000000"/>
                <w:spacing w:val="0"/>
                <w:sz w:val="21"/>
                <w:szCs w:val="21"/>
                <w:lang w:val="en-US" w:eastAsia="zh-CN"/>
              </w:rPr>
              <w:t>0.47</w:t>
            </w:r>
          </w:p>
        </w:tc>
        <w:tc>
          <w:tcPr>
            <w:tcW w:w="2085"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c>
          <w:tcPr>
            <w:tcW w:w="2760" w:type="dxa"/>
            <w:noWrap w:val="0"/>
            <w:vAlign w:val="top"/>
          </w:tcPr>
          <w:p>
            <w:pPr>
              <w:keepNext w:val="0"/>
              <w:keepLines w:val="0"/>
              <w:widowControl/>
              <w:suppressLineNumbers w:val="0"/>
              <w:spacing w:before="0" w:beforeAutospacing="0" w:after="0" w:afterAutospacing="0" w:line="15" w:lineRule="atLeast"/>
              <w:ind w:left="0" w:right="0" w:firstLine="0"/>
              <w:jc w:val="right"/>
              <w:rPr>
                <w:rFonts w:hint="default" w:ascii="方正书宋_GBK" w:hAnsi="方正书宋_GBK" w:eastAsia="方正书宋_GBK" w:cs="方正书宋_GBK"/>
                <w:b w:val="0"/>
                <w:bCs w:val="0"/>
                <w:i w:val="0"/>
                <w:iCs w:val="0"/>
                <w:caps w:val="0"/>
                <w:color w:val="000000"/>
                <w:spacing w:val="0"/>
                <w:sz w:val="21"/>
                <w:szCs w:val="21"/>
              </w:rPr>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保定市满城区审计局本级2024年单位预算信息公开情况说明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按照《中华人民共和国预算法》、《地方预决算公开操作规程》和《关于进一步推进预算公开工作的实施意见》规定，现将保定市满城区审计局本级2024年单位预算公开如下：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6"/>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26"/>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参与制订满城区有关审计、财政经济方面的政府规章草案、制订审计规章制度并监督执行；对直接审计、调查和核查的事项依法进行审计评价，作出审计决定或提出审计建议。</w:t>
      </w:r>
    </w:p>
    <w:p>
      <w:pPr>
        <w:pStyle w:val="26"/>
      </w:pPr>
      <w:r>
        <w:t xml:space="preserve">（三）向中共保定市满城区委审计委员会提出年度区本级预算执行和其他财政支出情况审计报告。向区长提出年度区本级预算执行和其他财政收支情况的审计结果报告。组织起草区政府向区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    </w:t>
      </w:r>
    </w:p>
    <w:p>
      <w:pPr>
        <w:pStyle w:val="26"/>
      </w:pPr>
      <w:r>
        <w:t>（四）直接审计下列事项，出具审计报告，在法定职权范围内作出审计决定。</w:t>
      </w:r>
    </w:p>
    <w:p>
      <w:pPr>
        <w:pStyle w:val="26"/>
      </w:pPr>
      <w:r>
        <w:t>1、国家、省、市和区有关重大政策措施贯彻落实情况。</w:t>
      </w:r>
    </w:p>
    <w:p>
      <w:pPr>
        <w:pStyle w:val="26"/>
      </w:pPr>
      <w:r>
        <w:t>2、区本级预算执行情况和其他财政收支，区直各部门（含所属单位）预算执行情况、决算草案和其他财政收支。</w:t>
      </w:r>
    </w:p>
    <w:p>
      <w:pPr>
        <w:pStyle w:val="26"/>
      </w:pPr>
      <w:r>
        <w:t>3、乡（镇）政府预算执行情况、决算和其他财政收支。</w:t>
      </w:r>
    </w:p>
    <w:p>
      <w:pPr>
        <w:pStyle w:val="26"/>
      </w:pPr>
      <w:r>
        <w:t>4、使用区级财政资金的事业单位和社会团体的财务收支。</w:t>
      </w:r>
    </w:p>
    <w:p>
      <w:pPr>
        <w:pStyle w:val="26"/>
      </w:pPr>
      <w:r>
        <w:t>5、区投资和以区投资为主的建设项目的预算执行情况和决算，区公共工程项目的资金管理使用和建设运营情况。</w:t>
      </w:r>
    </w:p>
    <w:p>
      <w:pPr>
        <w:pStyle w:val="26"/>
      </w:pPr>
      <w:r>
        <w:t>6、自然资源管理、污染防治和生态保护与修复情况。</w:t>
      </w:r>
    </w:p>
    <w:p>
      <w:pPr>
        <w:pStyle w:val="26"/>
      </w:pPr>
      <w:r>
        <w:t>7、对中央、省、市财政安排我区的项目投资进行审计监督，对区重点建设项目的实施情况进行跟踪审计。</w:t>
      </w:r>
    </w:p>
    <w:p>
      <w:pPr>
        <w:pStyle w:val="26"/>
      </w:pPr>
      <w:r>
        <w:t>8、区属国有和国有资本占控股或者主导地位的企业境内外</w:t>
      </w:r>
    </w:p>
    <w:p>
      <w:pPr>
        <w:pStyle w:val="26"/>
      </w:pPr>
      <w:r>
        <w:t>资产、负债和损益以及区驻外非经营性机构的财务收支。</w:t>
      </w:r>
    </w:p>
    <w:p>
      <w:pPr>
        <w:pStyle w:val="26"/>
      </w:pPr>
      <w:r>
        <w:t>9、有关社会保障基金、社会捐赠资金和其他基金、资金的</w:t>
      </w:r>
    </w:p>
    <w:p>
      <w:pPr>
        <w:pStyle w:val="26"/>
      </w:pPr>
      <w:r>
        <w:t>财务收支；国际组织和外国政府援助、贷款项目。</w:t>
      </w:r>
    </w:p>
    <w:p>
      <w:pPr>
        <w:pStyle w:val="26"/>
      </w:pPr>
      <w:r>
        <w:t>10、法律法规规定的其他事项。</w:t>
      </w:r>
    </w:p>
    <w:p>
      <w:pPr>
        <w:pStyle w:val="26"/>
      </w:pPr>
      <w:r>
        <w:t>（五）按规定对区管党政主要领导干部、区属国有及国有控股企业领导人及依法属于区级审计机构审计监督对象的其他单位主要负责人实施经济责任审计和自然资源资产离任审计。</w:t>
      </w:r>
    </w:p>
    <w:p>
      <w:pPr>
        <w:pStyle w:val="26"/>
      </w:pPr>
      <w:r>
        <w:t>（六）组织实施对财经法律法规、规章、政策和宏观调控措施执行情况、财政预算管理及国有资产管理使用、重点建设项目的实施情况、与财政收支有关的特定事项进行专项审计调查或跟踪审计。</w:t>
      </w:r>
    </w:p>
    <w:p>
      <w:pPr>
        <w:pStyle w:val="26"/>
      </w:pPr>
      <w:r>
        <w:t>（七）依法检查审计决定执行情况，督促整改审计查出的问题，依法办理被审计单位对审计决定提请行政复议、行政诉讼或区政府裁决中的有关事项，协助配合有关部门查处相关重大案件。</w:t>
      </w:r>
    </w:p>
    <w:p>
      <w:pPr>
        <w:pStyle w:val="26"/>
      </w:pPr>
      <w:r>
        <w:t>（八）指导和监督内部审计工作，核查社会审计机构对依法属于审计监督对象的单位出具的相关审计报告。</w:t>
      </w:r>
    </w:p>
    <w:p>
      <w:pPr>
        <w:pStyle w:val="26"/>
      </w:pPr>
      <w:r>
        <w:t>（九）完成区委、区政府和审计署、省和市审计部门交办的其他任务。</w:t>
      </w:r>
    </w:p>
    <w:p>
      <w:pPr>
        <w:ind w:firstLine="640"/>
        <w:rPr>
          <w:rFonts w:ascii="方正楷体_GBK" w:hAnsi="方正楷体_GBK" w:eastAsia="方正楷体_GBK" w:cs="方正楷体_GBK"/>
          <w:b/>
          <w:color w:val="000000"/>
          <w:sz w:val="32"/>
        </w:rPr>
      </w:pPr>
    </w:p>
    <w:p>
      <w:pPr>
        <w:pStyle w:val="27"/>
      </w:pP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保定市满城区审计局本级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区单位</w:t>
      </w:r>
      <w:r>
        <w:rPr>
          <w:rFonts w:ascii="Times New Roman" w:hAnsi="Times New Roman" w:eastAsia="方正仿宋_GBK" w:cs="Times New Roman"/>
          <w:color w:val="000000"/>
          <w:sz w:val="28"/>
        </w:rPr>
        <w:t>预算的编制实行综合预算管理，即全部收入和支出都反映在预算中。</w:t>
      </w:r>
    </w:p>
    <w:p>
      <w:pPr>
        <w:pStyle w:val="28"/>
      </w:pPr>
      <w:r>
        <w:t>1、收入说明</w:t>
      </w:r>
    </w:p>
    <w:p>
      <w:pPr>
        <w:pStyle w:val="28"/>
      </w:pPr>
      <w:r>
        <w:t>反映本</w:t>
      </w:r>
      <w:r>
        <w:rPr>
          <w:rFonts w:hint="eastAsia"/>
          <w:lang w:val="en-US" w:eastAsia="zh-CN"/>
        </w:rPr>
        <w:t>单位</w:t>
      </w:r>
      <w:r>
        <w:t>当年全部收入。202</w:t>
      </w:r>
      <w:r>
        <w:rPr>
          <w:rFonts w:hint="eastAsia"/>
          <w:lang w:val="en-US" w:eastAsia="zh-CN"/>
        </w:rPr>
        <w:t>4</w:t>
      </w:r>
      <w:r>
        <w:t xml:space="preserve"> 年预算收入</w:t>
      </w:r>
      <w:r>
        <w:rPr>
          <w:rFonts w:hint="eastAsia"/>
          <w:lang w:val="en-US" w:eastAsia="zh-CN"/>
        </w:rPr>
        <w:t>765.27</w:t>
      </w:r>
      <w:r>
        <w:t>万元，其中：一般公共预算收入</w:t>
      </w:r>
      <w:r>
        <w:rPr>
          <w:rFonts w:hint="eastAsia"/>
          <w:lang w:val="en-US" w:eastAsia="zh-CN"/>
        </w:rPr>
        <w:t>765.27</w:t>
      </w:r>
      <w:r>
        <w:t>万元，基金预算收入</w:t>
      </w:r>
      <w:r>
        <w:rPr>
          <w:rFonts w:hint="eastAsia"/>
          <w:lang w:val="en-US" w:eastAsia="zh-CN"/>
        </w:rPr>
        <w:t>0</w:t>
      </w:r>
      <w:r>
        <w:t>万元，国有资本经营预算收入 0 万元，财政专户核拨收入 0 万元，单位资金收入 0 万元，上年结转结余 0 万元。</w:t>
      </w:r>
    </w:p>
    <w:p>
      <w:pPr>
        <w:pStyle w:val="28"/>
      </w:pPr>
      <w:r>
        <w:t>2、支出说明</w:t>
      </w:r>
    </w:p>
    <w:p>
      <w:pPr>
        <w:pStyle w:val="28"/>
      </w:pPr>
      <w:r>
        <w:t>收支预算总表支出栏、基本支出表、项目支出表按经济分类和支出功能分类科目编制，反映保定市</w:t>
      </w:r>
      <w:r>
        <w:rPr>
          <w:rFonts w:hint="eastAsia"/>
        </w:rPr>
        <w:t>满城区</w:t>
      </w:r>
      <w:r>
        <w:rPr>
          <w:rFonts w:hint="eastAsia"/>
          <w:lang w:val="en-US" w:eastAsia="zh-CN"/>
        </w:rPr>
        <w:t>审计局本级</w:t>
      </w:r>
      <w:r>
        <w:t>预算中支出预算的总体情况。202</w:t>
      </w:r>
      <w:r>
        <w:rPr>
          <w:rFonts w:hint="eastAsia"/>
          <w:lang w:val="en-US" w:eastAsia="zh-CN"/>
        </w:rPr>
        <w:t>4</w:t>
      </w:r>
      <w:r>
        <w:t>年支出预算</w:t>
      </w:r>
      <w:r>
        <w:rPr>
          <w:rFonts w:hint="eastAsia"/>
          <w:lang w:val="en-US" w:eastAsia="zh-CN"/>
        </w:rPr>
        <w:t>765.27</w:t>
      </w:r>
      <w:r>
        <w:t>万元，其中基本支出</w:t>
      </w:r>
      <w:r>
        <w:rPr>
          <w:rFonts w:hint="eastAsia"/>
          <w:lang w:val="en-US" w:eastAsia="zh-CN"/>
        </w:rPr>
        <w:t>452.56</w:t>
      </w:r>
      <w:r>
        <w:t>万元，包括人员经费</w:t>
      </w:r>
      <w:r>
        <w:rPr>
          <w:rFonts w:hint="eastAsia"/>
          <w:lang w:val="en-US" w:eastAsia="zh-CN"/>
        </w:rPr>
        <w:t>429.19</w:t>
      </w:r>
      <w:r>
        <w:t>万元和日常公用经费</w:t>
      </w:r>
      <w:r>
        <w:rPr>
          <w:rFonts w:hint="eastAsia"/>
          <w:lang w:val="en-US" w:eastAsia="zh-CN"/>
        </w:rPr>
        <w:t>23.37</w:t>
      </w:r>
      <w:r>
        <w:t>万元；项目支出</w:t>
      </w:r>
      <w:r>
        <w:rPr>
          <w:rFonts w:hint="eastAsia"/>
          <w:lang w:val="en-US" w:eastAsia="zh-CN"/>
        </w:rPr>
        <w:t>312.72</w:t>
      </w:r>
      <w:r>
        <w:t>万元，主要</w:t>
      </w:r>
      <w:r>
        <w:rPr>
          <w:rFonts w:hint="eastAsia"/>
          <w:lang w:val="en-US" w:eastAsia="zh-CN"/>
        </w:rPr>
        <w:t>为审计项目协审经费</w:t>
      </w:r>
      <w:r>
        <w:t>。</w:t>
      </w:r>
    </w:p>
    <w:p>
      <w:pPr>
        <w:pStyle w:val="28"/>
      </w:pPr>
      <w:r>
        <w:rPr>
          <w:rFonts w:hint="eastAsia"/>
          <w:lang w:val="en-US" w:eastAsia="zh-CN"/>
        </w:rPr>
        <w:t>3、</w:t>
      </w:r>
      <w:r>
        <w:t>比上年增减情况</w:t>
      </w:r>
    </w:p>
    <w:p>
      <w:pPr>
        <w:pStyle w:val="28"/>
        <w:rPr>
          <w:rFonts w:hint="eastAsia" w:eastAsia="方正仿宋_GBK"/>
          <w:lang w:val="en-US" w:eastAsia="zh-CN"/>
        </w:rPr>
      </w:pPr>
      <w:r>
        <w:t>202</w:t>
      </w:r>
      <w:r>
        <w:rPr>
          <w:rFonts w:hint="eastAsia"/>
          <w:lang w:val="en-US" w:eastAsia="zh-CN"/>
        </w:rPr>
        <w:t>4</w:t>
      </w:r>
      <w:r>
        <w:t>年预算收支安排</w:t>
      </w:r>
      <w:r>
        <w:rPr>
          <w:rFonts w:hint="eastAsia"/>
          <w:lang w:val="en-US" w:eastAsia="zh-CN"/>
        </w:rPr>
        <w:t>765.27</w:t>
      </w:r>
      <w:r>
        <w:t>万元，较 202</w:t>
      </w:r>
      <w:r>
        <w:rPr>
          <w:rFonts w:hint="eastAsia"/>
          <w:lang w:val="en-US" w:eastAsia="zh-CN"/>
        </w:rPr>
        <w:t>3</w:t>
      </w:r>
      <w:r>
        <w:t xml:space="preserve"> 年预算</w:t>
      </w:r>
      <w:r>
        <w:rPr>
          <w:rFonts w:hint="eastAsia"/>
          <w:lang w:val="en-US" w:eastAsia="zh-CN"/>
        </w:rPr>
        <w:t>增加1.6</w:t>
      </w:r>
      <w:r>
        <w:t>万元，其中：基本支出</w:t>
      </w:r>
      <w:r>
        <w:rPr>
          <w:rFonts w:hint="eastAsia"/>
          <w:lang w:val="en-US" w:eastAsia="zh-CN"/>
        </w:rPr>
        <w:t>减少11.11</w:t>
      </w:r>
      <w:r>
        <w:t>万元，主要为</w:t>
      </w:r>
      <w:r>
        <w:rPr>
          <w:highlight w:val="none"/>
        </w:rPr>
        <w:t>人员</w:t>
      </w:r>
      <w:r>
        <w:rPr>
          <w:rFonts w:hint="eastAsia"/>
          <w:highlight w:val="none"/>
          <w:lang w:val="en-US" w:eastAsia="zh-CN"/>
        </w:rPr>
        <w:t>工资减少</w:t>
      </w:r>
      <w:r>
        <w:t>；项目支出</w:t>
      </w:r>
      <w:r>
        <w:rPr>
          <w:rFonts w:hint="eastAsia"/>
          <w:lang w:val="en-US" w:eastAsia="zh-CN"/>
        </w:rPr>
        <w:t>增加12.72万元，主要为</w:t>
      </w:r>
      <w:r>
        <w:t>保证审计工作开展和局机关日常运转</w:t>
      </w:r>
      <w:r>
        <w:rPr>
          <w:rFonts w:hint="eastAsia"/>
          <w:lang w:eastAsia="zh-CN"/>
        </w:rPr>
        <w:t>。</w:t>
      </w:r>
    </w:p>
    <w:p>
      <w:pPr>
        <w:pStyle w:val="29"/>
      </w:pPr>
    </w:p>
    <w:p>
      <w:pPr>
        <w:pStyle w:val="18"/>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三、机关运行经费安排情况</w:t>
      </w:r>
    </w:p>
    <w:p>
      <w:pPr>
        <w:pStyle w:val="30"/>
      </w:pPr>
      <w:r>
        <w:t>202</w:t>
      </w:r>
      <w:r>
        <w:rPr>
          <w:rFonts w:hint="eastAsia"/>
          <w:lang w:val="en-US" w:eastAsia="zh-CN"/>
        </w:rPr>
        <w:t>4</w:t>
      </w:r>
      <w:r>
        <w:t>年，我</w:t>
      </w:r>
      <w:r>
        <w:rPr>
          <w:rFonts w:hint="eastAsia"/>
          <w:lang w:val="en-US" w:eastAsia="zh-CN"/>
        </w:rPr>
        <w:t>单位</w:t>
      </w:r>
      <w:r>
        <w:t>运行经费共计</w:t>
      </w:r>
      <w:r>
        <w:rPr>
          <w:rFonts w:ascii="Times New Roman" w:hAnsi="Times New Roman" w:cs="Times New Roman"/>
        </w:rPr>
        <w:t>安排</w:t>
      </w:r>
      <w:r>
        <w:rPr>
          <w:rFonts w:hint="eastAsia" w:ascii="Times New Roman" w:hAnsi="Times New Roman" w:cs="Times New Roman"/>
          <w:lang w:val="en-US" w:eastAsia="zh-CN"/>
        </w:rPr>
        <w:t>23.37</w:t>
      </w:r>
      <w:r>
        <w:rPr>
          <w:rFonts w:ascii="Times New Roman" w:hAnsi="Times New Roman" w:cs="Times New Roman"/>
        </w:rPr>
        <w:t>万元，主</w:t>
      </w:r>
      <w:r>
        <w:t>要用于日常办公费、办公用房水电费、</w:t>
      </w:r>
      <w:r>
        <w:rPr>
          <w:rFonts w:hint="eastAsia"/>
          <w:lang w:val="en-US" w:eastAsia="zh-CN"/>
        </w:rPr>
        <w:t>邮电费</w:t>
      </w:r>
      <w:r>
        <w:t>等日常运行支出。</w:t>
      </w:r>
    </w:p>
    <w:p>
      <w:pPr>
        <w:spacing w:before="10" w:after="10"/>
        <w:outlineLvl w:val="5"/>
        <w:rPr>
          <w:rFonts w:ascii="黑体" w:hAnsi="黑体" w:eastAsia="黑体" w:cs="黑体"/>
          <w:color w:val="000000"/>
          <w:sz w:val="32"/>
        </w:rPr>
      </w:pPr>
    </w:p>
    <w:p>
      <w:pPr>
        <w:pStyle w:val="19"/>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28"/>
        <w:rPr>
          <w:rFonts w:hint="eastAsia"/>
          <w:lang w:val="en-US" w:eastAsia="zh-CN"/>
        </w:rPr>
      </w:pPr>
      <w:r>
        <w:t>202</w:t>
      </w:r>
      <w:r>
        <w:rPr>
          <w:rFonts w:hint="eastAsia"/>
          <w:lang w:val="en-US" w:eastAsia="zh-CN"/>
        </w:rPr>
        <w:t>4</w:t>
      </w:r>
      <w:r>
        <w:t xml:space="preserve"> 年，我部门财政拨款“三公”经费预算安排</w:t>
      </w:r>
      <w:r>
        <w:rPr>
          <w:rFonts w:hint="eastAsia"/>
          <w:lang w:val="en-US" w:eastAsia="zh-CN"/>
        </w:rPr>
        <w:t>1.97</w:t>
      </w:r>
      <w:r>
        <w:t>万元，其中因公出国（境）费 0 万元；公务用车购置及运维费</w:t>
      </w:r>
      <w:r>
        <w:rPr>
          <w:rFonts w:hint="eastAsia"/>
          <w:lang w:val="en-US" w:eastAsia="zh-CN"/>
        </w:rPr>
        <w:t>1.5</w:t>
      </w:r>
      <w:r>
        <w:t>万元（其中：公务用车购置费为0万元，公</w:t>
      </w:r>
      <w:r>
        <w:rPr>
          <w:rFonts w:ascii="Times New Roman" w:hAnsi="Times New Roman" w:cs="Times New Roman"/>
        </w:rPr>
        <w:t>务用车运维费</w:t>
      </w:r>
      <w:r>
        <w:rPr>
          <w:rFonts w:hint="eastAsia" w:ascii="Times New Roman" w:hAnsi="Times New Roman" w:cs="Times New Roman"/>
          <w:lang w:val="en-US" w:eastAsia="zh-CN"/>
        </w:rPr>
        <w:t>1.5</w:t>
      </w:r>
      <w:r>
        <w:rPr>
          <w:rFonts w:ascii="Times New Roman" w:hAnsi="Times New Roman" w:cs="Times New Roman"/>
        </w:rPr>
        <w:t>万元)</w:t>
      </w:r>
      <w:r>
        <w:rPr>
          <w:rFonts w:hint="eastAsia" w:cs="Times New Roman"/>
          <w:lang w:eastAsia="zh-CN"/>
        </w:rPr>
        <w:t>，</w:t>
      </w:r>
      <w:r>
        <w:rPr>
          <w:rFonts w:hint="eastAsia" w:cs="Times New Roman"/>
          <w:lang w:val="en-US" w:eastAsia="zh-CN"/>
        </w:rPr>
        <w:t>与2023年相比增加1.5万元，增加的主要原因是：</w:t>
      </w:r>
      <w:r>
        <w:rPr>
          <w:rFonts w:hint="eastAsia" w:ascii="Times New Roman" w:hAnsi="Times New Roman" w:cs="Times New Roman"/>
          <w:lang w:val="en-US" w:eastAsia="zh-CN"/>
        </w:rPr>
        <w:t>根据年度工作计划实际情况增加公务用车运维费预算</w:t>
      </w:r>
      <w:r>
        <w:rPr>
          <w:rFonts w:hint="eastAsia"/>
          <w:lang w:val="en-US" w:eastAsia="zh-CN"/>
        </w:rPr>
        <w:t>；公务接待费0.47万元。与2023年相比减少0.03万元，减少的主要原因是：</w:t>
      </w:r>
      <w:r>
        <w:rPr>
          <w:rFonts w:hint="eastAsia" w:ascii="Times New Roman" w:hAnsi="Times New Roman" w:cs="Times New Roman"/>
          <w:lang w:val="en-US" w:eastAsia="zh-CN"/>
        </w:rPr>
        <w:t>根据年度工作计划实际情况</w:t>
      </w:r>
      <w:r>
        <w:rPr>
          <w:rFonts w:hint="eastAsia"/>
          <w:lang w:val="en-US" w:eastAsia="zh-CN"/>
        </w:rPr>
        <w:t>从严控制“三公”经费开支。</w:t>
      </w:r>
    </w:p>
    <w:p>
      <w:pPr>
        <w:pStyle w:val="20"/>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1、审计办公经费绩效目标表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13062124P0000T810008G</w:t>
            </w:r>
          </w:p>
        </w:tc>
        <w:tc>
          <w:tcPr>
            <w:tcW w:w="2835" w:type="dxa"/>
            <w:vAlign w:val="center"/>
          </w:tcPr>
          <w:p>
            <w:pPr>
              <w:pStyle w:val="10"/>
            </w:pPr>
            <w:r>
              <w:t>项目名称</w:t>
            </w:r>
          </w:p>
        </w:tc>
        <w:tc>
          <w:tcPr>
            <w:tcW w:w="6094" w:type="dxa"/>
            <w:gridSpan w:val="3"/>
            <w:vAlign w:val="center"/>
          </w:tcPr>
          <w:p>
            <w:pPr>
              <w:pStyle w:val="12"/>
            </w:pPr>
            <w:r>
              <w:t>审计办公经费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12.72</w:t>
            </w:r>
          </w:p>
        </w:tc>
        <w:tc>
          <w:tcPr>
            <w:tcW w:w="2835" w:type="dxa"/>
            <w:vAlign w:val="center"/>
          </w:tcPr>
          <w:p>
            <w:pPr>
              <w:pStyle w:val="10"/>
            </w:pPr>
            <w:r>
              <w:t>其中：财政    资金</w:t>
            </w:r>
          </w:p>
        </w:tc>
        <w:tc>
          <w:tcPr>
            <w:tcW w:w="2551" w:type="dxa"/>
            <w:vAlign w:val="center"/>
          </w:tcPr>
          <w:p>
            <w:pPr>
              <w:pStyle w:val="12"/>
            </w:pPr>
            <w:r>
              <w:t>12.72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保证审计工作开展和局机关日常运转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12.72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1.保证审计工作开展和局机关日常运转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办公用品购买数量</w:t>
            </w:r>
          </w:p>
        </w:tc>
        <w:tc>
          <w:tcPr>
            <w:tcW w:w="5386" w:type="dxa"/>
            <w:vAlign w:val="center"/>
          </w:tcPr>
          <w:p>
            <w:pPr>
              <w:pStyle w:val="12"/>
            </w:pPr>
            <w:r>
              <w:t>办公用品购买数量</w:t>
            </w:r>
          </w:p>
        </w:tc>
        <w:tc>
          <w:tcPr>
            <w:tcW w:w="2268" w:type="dxa"/>
            <w:vAlign w:val="center"/>
          </w:tcPr>
          <w:p>
            <w:pPr>
              <w:pStyle w:val="12"/>
            </w:pPr>
            <w:r>
              <w:t>≥250个</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办公用品质量</w:t>
            </w:r>
          </w:p>
        </w:tc>
        <w:tc>
          <w:tcPr>
            <w:tcW w:w="5386" w:type="dxa"/>
            <w:vAlign w:val="center"/>
          </w:tcPr>
          <w:p>
            <w:pPr>
              <w:pStyle w:val="12"/>
            </w:pPr>
            <w:r>
              <w:t>办公用品质量</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及时购置办公用品</w:t>
            </w:r>
          </w:p>
        </w:tc>
        <w:tc>
          <w:tcPr>
            <w:tcW w:w="5386" w:type="dxa"/>
            <w:vAlign w:val="center"/>
          </w:tcPr>
          <w:p>
            <w:pPr>
              <w:pStyle w:val="12"/>
            </w:pPr>
            <w:r>
              <w:t>实际购置办公用品占计划拨付费用的比率</w:t>
            </w:r>
          </w:p>
        </w:tc>
        <w:tc>
          <w:tcPr>
            <w:tcW w:w="2268" w:type="dxa"/>
            <w:vAlign w:val="center"/>
          </w:tcPr>
          <w:p>
            <w:pPr>
              <w:pStyle w:val="12"/>
            </w:pPr>
            <w:r>
              <w:t>100%</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办公用品平均成本</w:t>
            </w:r>
          </w:p>
        </w:tc>
        <w:tc>
          <w:tcPr>
            <w:tcW w:w="5386" w:type="dxa"/>
            <w:vAlign w:val="center"/>
          </w:tcPr>
          <w:p>
            <w:pPr>
              <w:pStyle w:val="12"/>
            </w:pPr>
            <w:r>
              <w:t>每个办公用品需要支付的成本</w:t>
            </w:r>
          </w:p>
        </w:tc>
        <w:tc>
          <w:tcPr>
            <w:tcW w:w="2268" w:type="dxa"/>
            <w:vAlign w:val="center"/>
          </w:tcPr>
          <w:p>
            <w:pPr>
              <w:pStyle w:val="12"/>
            </w:pPr>
            <w:r>
              <w:t>508.62元</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可持续使用办公用品使用年限</w:t>
            </w:r>
          </w:p>
        </w:tc>
        <w:tc>
          <w:tcPr>
            <w:tcW w:w="5386" w:type="dxa"/>
            <w:vAlign w:val="center"/>
          </w:tcPr>
          <w:p>
            <w:pPr>
              <w:pStyle w:val="12"/>
            </w:pPr>
            <w:r>
              <w:t>可持续使用办公用品使用年限</w:t>
            </w:r>
          </w:p>
        </w:tc>
        <w:tc>
          <w:tcPr>
            <w:tcW w:w="2268" w:type="dxa"/>
            <w:vAlign w:val="center"/>
          </w:tcPr>
          <w:p>
            <w:pPr>
              <w:pStyle w:val="12"/>
            </w:pPr>
            <w:r>
              <w:t>≥5年</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2、项目评估评审费绩效目标表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13062124P00493110007Y</w:t>
            </w:r>
          </w:p>
        </w:tc>
        <w:tc>
          <w:tcPr>
            <w:tcW w:w="2835" w:type="dxa"/>
            <w:vAlign w:val="center"/>
          </w:tcPr>
          <w:p>
            <w:pPr>
              <w:pStyle w:val="10"/>
            </w:pPr>
            <w:r>
              <w:t>项目名称</w:t>
            </w:r>
          </w:p>
        </w:tc>
        <w:tc>
          <w:tcPr>
            <w:tcW w:w="6094" w:type="dxa"/>
            <w:gridSpan w:val="3"/>
            <w:vAlign w:val="center"/>
          </w:tcPr>
          <w:p>
            <w:pPr>
              <w:pStyle w:val="12"/>
            </w:pPr>
            <w:r>
              <w:t>项目评估评审费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w:t>
            </w:r>
          </w:p>
        </w:tc>
        <w:tc>
          <w:tcPr>
            <w:tcW w:w="2835" w:type="dxa"/>
            <w:vAlign w:val="center"/>
          </w:tcPr>
          <w:p>
            <w:pPr>
              <w:pStyle w:val="10"/>
            </w:pPr>
            <w:r>
              <w:t>其中：财政    资金</w:t>
            </w:r>
          </w:p>
        </w:tc>
        <w:tc>
          <w:tcPr>
            <w:tcW w:w="2551" w:type="dxa"/>
            <w:vAlign w:val="center"/>
          </w:tcPr>
          <w:p>
            <w:pPr>
              <w:pStyle w:val="12"/>
            </w:pPr>
            <w:r>
              <w:t>300.00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达到评审目的，节约财政资金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1.达到评审目的，节约财政资金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评审项目数</w:t>
            </w:r>
          </w:p>
        </w:tc>
        <w:tc>
          <w:tcPr>
            <w:tcW w:w="5386" w:type="dxa"/>
            <w:vAlign w:val="center"/>
          </w:tcPr>
          <w:p>
            <w:pPr>
              <w:pStyle w:val="12"/>
            </w:pPr>
            <w:r>
              <w:t>评审项目数量</w:t>
            </w:r>
          </w:p>
        </w:tc>
        <w:tc>
          <w:tcPr>
            <w:tcW w:w="2268" w:type="dxa"/>
            <w:vAlign w:val="center"/>
          </w:tcPr>
          <w:p>
            <w:pPr>
              <w:pStyle w:val="12"/>
            </w:pPr>
            <w:r>
              <w:t>≥30个</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审减率</w:t>
            </w:r>
          </w:p>
        </w:tc>
        <w:tc>
          <w:tcPr>
            <w:tcW w:w="5386" w:type="dxa"/>
            <w:vAlign w:val="center"/>
          </w:tcPr>
          <w:p>
            <w:pPr>
              <w:pStyle w:val="12"/>
            </w:pPr>
            <w:r>
              <w:t>审减额所占比率</w:t>
            </w:r>
          </w:p>
        </w:tc>
        <w:tc>
          <w:tcPr>
            <w:tcW w:w="2268" w:type="dxa"/>
            <w:vAlign w:val="center"/>
          </w:tcPr>
          <w:p>
            <w:pPr>
              <w:pStyle w:val="12"/>
            </w:pPr>
            <w:r>
              <w:t>≥10%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及时拨付率</w:t>
            </w:r>
          </w:p>
        </w:tc>
        <w:tc>
          <w:tcPr>
            <w:tcW w:w="5386" w:type="dxa"/>
            <w:vAlign w:val="center"/>
          </w:tcPr>
          <w:p>
            <w:pPr>
              <w:pStyle w:val="12"/>
            </w:pPr>
            <w:r>
              <w:t>实际拨付评审费用占计划拨付费用的比率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项目平均成本</w:t>
            </w:r>
          </w:p>
        </w:tc>
        <w:tc>
          <w:tcPr>
            <w:tcW w:w="5386" w:type="dxa"/>
            <w:vAlign w:val="center"/>
          </w:tcPr>
          <w:p>
            <w:pPr>
              <w:pStyle w:val="12"/>
            </w:pPr>
            <w:r>
              <w:t>每个评审项目需要支付给评审机构的评审费</w:t>
            </w:r>
          </w:p>
        </w:tc>
        <w:tc>
          <w:tcPr>
            <w:tcW w:w="2268" w:type="dxa"/>
            <w:vAlign w:val="center"/>
          </w:tcPr>
          <w:p>
            <w:pPr>
              <w:pStyle w:val="12"/>
            </w:pPr>
            <w:r>
              <w:t>≤10万元</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被审计单位根据审计建议制定的整改措施</w:t>
            </w:r>
          </w:p>
        </w:tc>
        <w:tc>
          <w:tcPr>
            <w:tcW w:w="5386" w:type="dxa"/>
            <w:vAlign w:val="center"/>
          </w:tcPr>
          <w:p>
            <w:pPr>
              <w:pStyle w:val="12"/>
            </w:pPr>
            <w:r>
              <w:t>被审计单位根据审计建议制定的整改措施</w:t>
            </w:r>
          </w:p>
        </w:tc>
        <w:tc>
          <w:tcPr>
            <w:tcW w:w="2268" w:type="dxa"/>
            <w:vAlign w:val="center"/>
          </w:tcPr>
          <w:p>
            <w:pPr>
              <w:pStyle w:val="12"/>
            </w:pPr>
            <w:r>
              <w:t>≥5条</w:t>
            </w:r>
          </w:p>
        </w:tc>
        <w:tc>
          <w:tcPr>
            <w:tcW w:w="1276" w:type="dxa"/>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319001保定市满城区审计局本级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highlight w:val="none"/>
        </w:rPr>
      </w:pPr>
      <w:r>
        <w:rPr>
          <w:rFonts w:eastAsia="方正仿宋_GBK"/>
          <w:color w:val="000000"/>
          <w:sz w:val="28"/>
        </w:rPr>
        <w:t>保定市满城区审计局</w:t>
      </w:r>
      <w:r>
        <w:rPr>
          <w:rFonts w:hint="eastAsia" w:eastAsia="方正仿宋_GBK"/>
          <w:color w:val="000000"/>
          <w:sz w:val="28"/>
          <w:lang w:val="en-US" w:eastAsia="zh-CN"/>
        </w:rPr>
        <w:t>本级</w:t>
      </w:r>
      <w:r>
        <w:rPr>
          <w:rFonts w:eastAsia="方正仿宋_GBK"/>
          <w:color w:val="000000"/>
          <w:sz w:val="28"/>
        </w:rPr>
        <w:t>上年末固定资产金额为</w:t>
      </w:r>
      <w:r>
        <w:rPr>
          <w:rFonts w:hint="eastAsia" w:eastAsia="方正仿宋_GBK"/>
          <w:color w:val="000000"/>
          <w:sz w:val="28"/>
          <w:lang w:val="en-US" w:eastAsia="zh-CN"/>
        </w:rPr>
        <w:t>72.53</w:t>
      </w:r>
      <w:r>
        <w:rPr>
          <w:rFonts w:eastAsia="方正仿宋_GBK"/>
          <w:color w:val="000000"/>
          <w:sz w:val="28"/>
        </w:rPr>
        <w:t>万元（详见下表）。本年度</w:t>
      </w:r>
      <w:r>
        <w:rPr>
          <w:rFonts w:hint="eastAsia" w:eastAsia="方正仿宋_GBK"/>
          <w:color w:val="000000"/>
          <w:sz w:val="28"/>
          <w:highlight w:val="none"/>
          <w:lang w:val="en-US" w:eastAsia="zh-CN"/>
        </w:rPr>
        <w:t>无</w:t>
      </w:r>
      <w:r>
        <w:rPr>
          <w:rFonts w:eastAsia="方正仿宋_GBK"/>
          <w:color w:val="000000"/>
          <w:sz w:val="28"/>
          <w:highlight w:val="none"/>
        </w:rPr>
        <w:t>拟购置固定资产</w:t>
      </w:r>
      <w:r>
        <w:rPr>
          <w:rFonts w:hint="eastAsia" w:eastAsia="方正仿宋_GBK"/>
          <w:color w:val="000000"/>
          <w:sz w:val="28"/>
          <w:highlight w:val="none"/>
          <w:lang w:val="en-US" w:eastAsia="zh-CN"/>
        </w:rPr>
        <w:t>计划。</w:t>
      </w:r>
    </w:p>
    <w:p>
      <w:pPr>
        <w:jc w:val="center"/>
        <w:rPr>
          <w:rFonts w:hint="eastAsia" w:ascii="方正小标宋_GBK" w:hAnsi="方正小标宋_GBK" w:eastAsia="方正小标宋_GBK" w:cs="方正小标宋_GBK"/>
          <w:color w:val="000000"/>
          <w:sz w:val="36"/>
          <w:lang w:val="en-US" w:eastAsia="zh-CN"/>
        </w:rPr>
      </w:pP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ind w:firstLine="640"/>
      </w:pPr>
      <w:r>
        <w:rPr>
          <w:rFonts w:eastAsia="方正仿宋_GBK"/>
          <w:color w:val="000000"/>
          <w:sz w:val="32"/>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319保定市满城区审计局</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资产总额</w:t>
            </w:r>
          </w:p>
        </w:tc>
        <w:tc>
          <w:tcPr>
            <w:tcW w:w="4933" w:type="dxa"/>
            <w:vAlign w:val="top"/>
          </w:tcPr>
          <w:p>
            <w:pPr>
              <w:pStyle w:val="31"/>
              <w:jc w:val="center"/>
              <w:rPr>
                <w:rFonts w:hint="default" w:ascii="宋体" w:hAnsi="宋体" w:eastAsia="宋体"/>
                <w:sz w:val="26"/>
                <w:szCs w:val="24"/>
                <w:lang w:val="en-US" w:eastAsia="zh-CN" w:bidi="ar-SA"/>
              </w:rPr>
            </w:pPr>
            <w:r>
              <w:rPr>
                <w:rFonts w:hint="eastAsia" w:ascii="宋体" w:hAnsi="宋体" w:eastAsia="宋体" w:cstheme="minorBidi"/>
                <w:sz w:val="21"/>
                <w:lang w:val="en-US" w:eastAsia="zh-CN"/>
              </w:rPr>
              <w:t>335</w:t>
            </w: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72.53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1、房屋（平方米）</w:t>
            </w:r>
          </w:p>
        </w:tc>
        <w:tc>
          <w:tcPr>
            <w:tcW w:w="4933" w:type="dxa"/>
            <w:vAlign w:val="top"/>
          </w:tcPr>
          <w:p>
            <w:pPr>
              <w:pStyle w:val="31"/>
              <w:spacing w:before="42"/>
              <w:ind w:left="238" w:leftChars="0" w:right="230" w:rightChars="0"/>
              <w:jc w:val="center"/>
              <w:rPr>
                <w:rFonts w:ascii="宋体" w:hAnsi="宋体" w:eastAsia="宋体"/>
                <w:sz w:val="24"/>
                <w:szCs w:val="24"/>
                <w:lang w:val="en-US" w:eastAsia="uk-UA" w:bidi="ar-SA"/>
              </w:rPr>
            </w:pPr>
          </w:p>
        </w:tc>
        <w:tc>
          <w:tcPr>
            <w:tcW w:w="4933" w:type="dxa"/>
            <w:vAlign w:val="top"/>
          </w:tcPr>
          <w:p>
            <w:pPr>
              <w:pStyle w:val="31"/>
              <w:spacing w:line="340"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1" w:lineRule="exact"/>
              <w:ind w:left="528" w:leftChars="0"/>
              <w:rPr>
                <w:rFonts w:ascii="宋体" w:hAnsi="宋体" w:eastAsia="宋体"/>
                <w:sz w:val="21"/>
                <w:szCs w:val="24"/>
                <w:lang w:val="en-US" w:eastAsia="uk-UA" w:bidi="ar-SA"/>
              </w:rPr>
            </w:pPr>
            <w:r>
              <w:rPr>
                <w:rFonts w:ascii="宋体" w:hAnsi="宋体" w:eastAsia="宋体"/>
                <w:sz w:val="21"/>
              </w:rPr>
              <w:t>其中：办公用房（平方米）</w:t>
            </w:r>
          </w:p>
        </w:tc>
        <w:tc>
          <w:tcPr>
            <w:tcW w:w="4933" w:type="dxa"/>
            <w:vAlign w:val="top"/>
          </w:tcPr>
          <w:p>
            <w:pPr>
              <w:pStyle w:val="31"/>
              <w:spacing w:before="41"/>
              <w:ind w:left="238" w:leftChars="0" w:right="230" w:rightChars="0"/>
              <w:jc w:val="center"/>
              <w:rPr>
                <w:rFonts w:ascii="宋体" w:hAnsi="宋体" w:eastAsia="宋体"/>
                <w:sz w:val="24"/>
                <w:szCs w:val="24"/>
                <w:lang w:val="en-US" w:eastAsia="uk-UA" w:bidi="ar-SA"/>
              </w:rPr>
            </w:pPr>
          </w:p>
        </w:tc>
        <w:tc>
          <w:tcPr>
            <w:tcW w:w="4933" w:type="dxa"/>
            <w:vAlign w:val="top"/>
          </w:tcPr>
          <w:p>
            <w:pPr>
              <w:pStyle w:val="31"/>
              <w:spacing w:line="341"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2、车辆（台、辆）</w:t>
            </w:r>
          </w:p>
        </w:tc>
        <w:tc>
          <w:tcPr>
            <w:tcW w:w="4933" w:type="dxa"/>
            <w:vAlign w:val="top"/>
          </w:tcPr>
          <w:p>
            <w:pPr>
              <w:pStyle w:val="31"/>
              <w:spacing w:line="340" w:lineRule="exact"/>
              <w:ind w:left="238" w:leftChars="0" w:right="230" w:rightChars="0"/>
              <w:jc w:val="center"/>
              <w:rPr>
                <w:rFonts w:hint="eastAsia" w:ascii="宋体" w:hAnsi="宋体" w:eastAsia="宋体"/>
                <w:sz w:val="21"/>
                <w:szCs w:val="24"/>
                <w:lang w:val="en-US" w:eastAsia="zh-CN" w:bidi="ar-SA"/>
              </w:rPr>
            </w:pP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4933" w:type="dxa"/>
            <w:vAlign w:val="top"/>
          </w:tcPr>
          <w:p>
            <w:pPr>
              <w:pStyle w:val="31"/>
              <w:jc w:val="center"/>
              <w:rPr>
                <w:rFonts w:hint="default" w:ascii="宋体" w:hAnsi="宋体" w:eastAsia="宋体" w:cstheme="minorBidi"/>
                <w:sz w:val="21"/>
                <w:lang w:val="en-US" w:eastAsia="zh-CN"/>
              </w:rPr>
            </w:pPr>
            <w:r>
              <w:rPr>
                <w:rFonts w:hint="eastAsia" w:ascii="宋体" w:hAnsi="宋体" w:eastAsia="宋体" w:cstheme="minorBidi"/>
                <w:sz w:val="21"/>
                <w:lang w:val="en-US" w:eastAsia="zh-CN"/>
              </w:rPr>
              <w:t>126</w:t>
            </w:r>
          </w:p>
        </w:tc>
        <w:tc>
          <w:tcPr>
            <w:tcW w:w="4933" w:type="dxa"/>
            <w:vAlign w:val="top"/>
          </w:tcPr>
          <w:p>
            <w:pPr>
              <w:pStyle w:val="31"/>
              <w:spacing w:line="340" w:lineRule="exact"/>
              <w:ind w:right="96"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59.42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hint="eastAsia" w:ascii="宋体" w:hAnsi="宋体" w:eastAsia="宋体"/>
                <w:sz w:val="21"/>
              </w:rPr>
              <w:t>4、专用设备</w:t>
            </w:r>
          </w:p>
        </w:tc>
        <w:tc>
          <w:tcPr>
            <w:tcW w:w="4933" w:type="dxa"/>
            <w:vAlign w:val="top"/>
          </w:tcPr>
          <w:p>
            <w:pPr>
              <w:pStyle w:val="31"/>
              <w:jc w:val="center"/>
              <w:rPr>
                <w:rFonts w:hint="eastAsia" w:ascii="宋体" w:hAnsi="宋体" w:eastAsia="宋体" w:cstheme="minorBidi"/>
                <w:sz w:val="21"/>
                <w:lang w:val="en-US" w:eastAsia="uk-UA"/>
              </w:rPr>
            </w:pPr>
          </w:p>
        </w:tc>
        <w:tc>
          <w:tcPr>
            <w:tcW w:w="4933" w:type="dxa"/>
            <w:vAlign w:val="top"/>
          </w:tcPr>
          <w:p>
            <w:pPr>
              <w:pStyle w:val="31"/>
              <w:spacing w:line="340" w:lineRule="exact"/>
              <w:ind w:right="96" w:rightChars="0"/>
              <w:jc w:val="right"/>
              <w:rPr>
                <w:rFonts w:ascii="宋体" w:hAnsi="宋体" w:eastAsia="宋体"/>
                <w:w w:val="99"/>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4、其他固定资产</w:t>
            </w:r>
          </w:p>
        </w:tc>
        <w:tc>
          <w:tcPr>
            <w:tcW w:w="0" w:type="auto"/>
            <w:vAlign w:val="top"/>
          </w:tcPr>
          <w:p>
            <w:pPr>
              <w:pStyle w:val="31"/>
              <w:jc w:val="center"/>
              <w:rPr>
                <w:rFonts w:hint="default" w:ascii="宋体" w:hAnsi="宋体" w:eastAsia="宋体" w:cstheme="minorBidi"/>
                <w:sz w:val="21"/>
                <w:lang w:val="en-US" w:eastAsia="zh-CN"/>
              </w:rPr>
            </w:pPr>
            <w:r>
              <w:rPr>
                <w:rFonts w:hint="eastAsia" w:ascii="宋体" w:hAnsi="宋体" w:eastAsia="宋体" w:cstheme="minorBidi"/>
                <w:sz w:val="21"/>
                <w:lang w:val="en-US" w:eastAsia="zh-CN"/>
              </w:rPr>
              <w:t>209</w:t>
            </w:r>
          </w:p>
        </w:tc>
        <w:tc>
          <w:tcPr>
            <w:tcW w:w="0" w:type="auto"/>
            <w:vAlign w:val="top"/>
          </w:tcPr>
          <w:p>
            <w:pPr>
              <w:pStyle w:val="31"/>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13.11</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D"/>
    <w:rsid w:val="00F11311"/>
    <w:rsid w:val="00F55C5D"/>
    <w:rsid w:val="060966DE"/>
    <w:rsid w:val="06E64E63"/>
    <w:rsid w:val="1D895503"/>
    <w:rsid w:val="21531027"/>
    <w:rsid w:val="28B17B73"/>
    <w:rsid w:val="3A070544"/>
    <w:rsid w:val="572474ED"/>
    <w:rsid w:val="5AA8400A"/>
    <w:rsid w:val="7852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5"/>
    <w:semiHidden/>
    <w:unhideWhenUsed/>
    <w:qFormat/>
    <w:uiPriority w:val="99"/>
    <w:pPr>
      <w:tabs>
        <w:tab w:val="center" w:pos="4153"/>
        <w:tab w:val="right" w:pos="8306"/>
      </w:tabs>
      <w:snapToGrid w:val="0"/>
    </w:pPr>
    <w:rPr>
      <w:sz w:val="18"/>
      <w:szCs w:val="18"/>
    </w:rPr>
  </w:style>
  <w:style w:type="paragraph" w:styleId="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单元格样式23"/>
    <w:basedOn w:val="1"/>
    <w:qFormat/>
    <w:uiPriority w:val="0"/>
    <w:pPr>
      <w:jc w:val="right"/>
    </w:pPr>
    <w:rPr>
      <w:rFonts w:ascii="方正书宋_GBK" w:hAnsi="方正书宋_GBK" w:eastAsia="方正书宋_GBK" w:cs="方正书宋_GBK"/>
    </w:rPr>
  </w:style>
  <w:style w:type="paragraph" w:customStyle="1" w:styleId="22">
    <w:name w:val="TOC 4"/>
    <w:basedOn w:val="1"/>
    <w:qFormat/>
    <w:uiPriority w:val="0"/>
    <w:pPr>
      <w:ind w:left="720"/>
    </w:pPr>
  </w:style>
  <w:style w:type="paragraph" w:customStyle="1" w:styleId="23">
    <w:name w:val="TOC 1"/>
    <w:basedOn w:val="1"/>
    <w:qFormat/>
    <w:uiPriority w:val="0"/>
    <w:pPr>
      <w:spacing w:before="120"/>
      <w:ind w:firstLine="560"/>
    </w:pPr>
    <w:rPr>
      <w:rFonts w:eastAsia="方正仿宋_GBK"/>
      <w:color w:val="000000"/>
      <w:sz w:val="28"/>
    </w:rPr>
  </w:style>
  <w:style w:type="character" w:customStyle="1" w:styleId="24">
    <w:name w:val="页眉 Char"/>
    <w:basedOn w:val="6"/>
    <w:link w:val="3"/>
    <w:semiHidden/>
    <w:qFormat/>
    <w:uiPriority w:val="99"/>
    <w:rPr>
      <w:rFonts w:eastAsia="Times New Roman"/>
      <w:sz w:val="18"/>
      <w:szCs w:val="18"/>
      <w:lang w:eastAsia="uk-UA"/>
    </w:rPr>
  </w:style>
  <w:style w:type="character" w:customStyle="1" w:styleId="25">
    <w:name w:val="页脚 Char"/>
    <w:basedOn w:val="6"/>
    <w:link w:val="2"/>
    <w:semiHidden/>
    <w:qFormat/>
    <w:uiPriority w:val="99"/>
    <w:rPr>
      <w:rFonts w:eastAsia="Times New Roman"/>
      <w:sz w:val="18"/>
      <w:szCs w:val="18"/>
      <w:lang w:eastAsia="uk-UA"/>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预算公开部门职责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2024-03-07T15:20:49Z</dcterms:created>
  <dcterms:modified xsi:type="dcterms:W3CDTF">2024-03-07T07:20:49Z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2024-03-07T15:20:47Z</dcterms:created>
  <dcterms:modified xsi:type="dcterms:W3CDTF">2024-03-07T07:20:47Z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2024-03-07T15:20:50Z</dcterms:created>
  <dcterms:modified xsi:type="dcterms:W3CDTF">2024-03-07T07:20:50Z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2024-03-07T15:20:49Z</dcterms:created>
  <dcterms:modified xsi:type="dcterms:W3CDTF">2024-03-07T07:20:49Z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2024-03-07T15:20:50Z</dcterms:created>
  <dcterms:modified xsi:type="dcterms:W3CDTF">2024-03-07T07:20:50Z</dcterms:modified>
</cp:coreProperties>
</file>

<file path=customXml/itemProps1.xml><?xml version="1.0" encoding="utf-8"?>
<ds:datastoreItem xmlns:ds="http://schemas.openxmlformats.org/officeDocument/2006/customXml" ds:itemID="{DEC23E37-EA28-4853-8F65-AD49C54D4C0B}">
  <ds:schemaRefs/>
</ds:datastoreItem>
</file>

<file path=customXml/itemProps10.xml><?xml version="1.0" encoding="utf-8"?>
<ds:datastoreItem xmlns:ds="http://schemas.openxmlformats.org/officeDocument/2006/customXml" ds:itemID="{523DC764-1707-4E8E-96B3-CB28C549F699}">
  <ds:schemaRefs/>
</ds:datastoreItem>
</file>

<file path=customXml/itemProps2.xml><?xml version="1.0" encoding="utf-8"?>
<ds:datastoreItem xmlns:ds="http://schemas.openxmlformats.org/officeDocument/2006/customXml" ds:itemID="{1EC7D1E4-C65A-4969-85E9-AF34ACBDA8B6}">
  <ds:schemaRefs/>
</ds:datastoreItem>
</file>

<file path=customXml/itemProps3.xml><?xml version="1.0" encoding="utf-8"?>
<ds:datastoreItem xmlns:ds="http://schemas.openxmlformats.org/officeDocument/2006/customXml" ds:itemID="{068BD93A-2AAD-4121-9C77-3957A770D1A7}">
  <ds:schemaRefs/>
</ds:datastoreItem>
</file>

<file path=customXml/itemProps4.xml><?xml version="1.0" encoding="utf-8"?>
<ds:datastoreItem xmlns:ds="http://schemas.openxmlformats.org/officeDocument/2006/customXml" ds:itemID="{1D856944-AFDB-4B1F-B4B7-13FFCC81E7ED}">
  <ds:schemaRefs/>
</ds:datastoreItem>
</file>

<file path=customXml/itemProps5.xml><?xml version="1.0" encoding="utf-8"?>
<ds:datastoreItem xmlns:ds="http://schemas.openxmlformats.org/officeDocument/2006/customXml" ds:itemID="{0BDF517A-E902-4B27-A32B-3853E9294A8C}">
  <ds:schemaRefs/>
</ds:datastoreItem>
</file>

<file path=customXml/itemProps6.xml><?xml version="1.0" encoding="utf-8"?>
<ds:datastoreItem xmlns:ds="http://schemas.openxmlformats.org/officeDocument/2006/customXml" ds:itemID="{A5086A8C-B128-40BC-BF91-BE392D56CB69}">
  <ds:schemaRefs/>
</ds:datastoreItem>
</file>

<file path=customXml/itemProps7.xml><?xml version="1.0" encoding="utf-8"?>
<ds:datastoreItem xmlns:ds="http://schemas.openxmlformats.org/officeDocument/2006/customXml" ds:itemID="{B639722F-0A71-4781-8FA4-DAA8B27A2A7E}">
  <ds:schemaRefs/>
</ds:datastoreItem>
</file>

<file path=customXml/itemProps8.xml><?xml version="1.0" encoding="utf-8"?>
<ds:datastoreItem xmlns:ds="http://schemas.openxmlformats.org/officeDocument/2006/customXml" ds:itemID="{969270FD-AF90-4EE6-B874-B3A5C8FE8A27}">
  <ds:schemaRefs/>
</ds:datastoreItem>
</file>

<file path=customXml/itemProps9.xml><?xml version="1.0" encoding="utf-8"?>
<ds:datastoreItem xmlns:ds="http://schemas.openxmlformats.org/officeDocument/2006/customXml" ds:itemID="{7214419F-FC16-4631-9A1D-C3CFEFA9E90C}">
  <ds:schemaRefs/>
</ds:datastoreItem>
</file>

<file path=docProps/app.xml><?xml version="1.0" encoding="utf-8"?>
<Properties xmlns="http://schemas.openxmlformats.org/officeDocument/2006/extended-properties" xmlns:vt="http://schemas.openxmlformats.org/officeDocument/2006/docPropsVTypes">
  <Template>Normal</Template>
  <Pages>21</Pages>
  <Words>1210</Words>
  <Characters>6899</Characters>
  <Lines>57</Lines>
  <Paragraphs>16</Paragraphs>
  <TotalTime>18</TotalTime>
  <ScaleCrop>false</ScaleCrop>
  <LinksUpToDate>false</LinksUpToDate>
  <CharactersWithSpaces>8093</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2024-03-07T07:17:00Z</dcterms:created>
  <dc:creator>Administrator</dc:creator>
  <cp:lastModifiedBy>lenovo</cp:lastModifiedBy>
  <dcterms:modified xsi:type="dcterms:W3CDTF">2024-03-15T07:11:14Z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0BBB5DE6BE1C49D2B4108FCFACC6C4F7</vt:lpwstr>
  </property>
</Properties>
</file>