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2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2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2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2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2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2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25</w:t>
      </w:r>
      <w:r>
        <w:fldChar w:fldCharType="end"/>
      </w:r>
      <w:r>
        <w:fldChar w:fldCharType="end"/>
      </w:r>
    </w:p>
    <w:p>
      <w:pPr>
        <w:pStyle w:val="27"/>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26</w:t>
      </w:r>
      <w:r>
        <w:fldChar w:fldCharType="end"/>
      </w:r>
      <w:r>
        <w:fldChar w:fldCharType="end"/>
      </w:r>
    </w:p>
    <w:p>
      <w:pPr>
        <w:pStyle w:val="27"/>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47</w:t>
      </w:r>
      <w:r>
        <w:fldChar w:fldCharType="end"/>
      </w:r>
      <w:r>
        <w:fldChar w:fldCharType="end"/>
      </w:r>
    </w:p>
    <w:p>
      <w:pPr>
        <w:pStyle w:val="27"/>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47</w:t>
      </w:r>
      <w:r>
        <w:fldChar w:fldCharType="end"/>
      </w:r>
      <w:r>
        <w:fldChar w:fldCharType="end"/>
      </w:r>
    </w:p>
    <w:p>
      <w:pPr>
        <w:pStyle w:val="27"/>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47</w:t>
      </w:r>
      <w:r>
        <w:fldChar w:fldCharType="end"/>
      </w:r>
      <w:r>
        <w:fldChar w:fldCharType="end"/>
      </w:r>
    </w:p>
    <w:p>
      <w:pPr>
        <w:pStyle w:val="27"/>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303保定市满城区发展和改革局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9035.36</w:t>
            </w:r>
          </w:p>
        </w:tc>
        <w:tc>
          <w:tcPr>
            <w:tcW w:w="4535" w:type="dxa"/>
            <w:vAlign w:val="center"/>
          </w:tcPr>
          <w:p>
            <w:pPr>
              <w:pStyle w:val="12"/>
            </w:pPr>
            <w:r>
              <w:t>一、一般公共服务支出</w:t>
            </w:r>
          </w:p>
        </w:tc>
        <w:tc>
          <w:tcPr>
            <w:tcW w:w="2126" w:type="dxa"/>
            <w:vAlign w:val="center"/>
          </w:tcPr>
          <w:p>
            <w:pPr>
              <w:pStyle w:val="11"/>
            </w:pPr>
            <w:r>
              <w:t>613.35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229.57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9035.36</w:t>
            </w:r>
          </w:p>
        </w:tc>
        <w:tc>
          <w:tcPr>
            <w:tcW w:w="4535" w:type="dxa"/>
            <w:vAlign w:val="center"/>
          </w:tcPr>
          <w:p>
            <w:pPr>
              <w:pStyle w:val="14"/>
            </w:pPr>
            <w:r>
              <w:t>本年支出合计</w:t>
            </w:r>
          </w:p>
        </w:tc>
        <w:tc>
          <w:tcPr>
            <w:tcW w:w="2126" w:type="dxa"/>
            <w:vAlign w:val="center"/>
          </w:tcPr>
          <w:p>
            <w:pPr>
              <w:pStyle w:val="15"/>
            </w:pPr>
            <w:r>
              <w:t>14005.29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4969.93</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14005.29</w:t>
            </w:r>
          </w:p>
        </w:tc>
        <w:tc>
          <w:tcPr>
            <w:tcW w:w="4535" w:type="dxa"/>
            <w:vAlign w:val="center"/>
          </w:tcPr>
          <w:p>
            <w:pPr>
              <w:pStyle w:val="14"/>
            </w:pPr>
            <w:r>
              <w:t>支出总计</w:t>
            </w:r>
          </w:p>
        </w:tc>
        <w:tc>
          <w:tcPr>
            <w:tcW w:w="2126" w:type="dxa"/>
            <w:vAlign w:val="center"/>
          </w:tcPr>
          <w:p>
            <w:pPr>
              <w:pStyle w:val="15"/>
            </w:pPr>
            <w:r>
              <w:t>14005.29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303保定市满城区发展和改革局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14005.29</w:t>
            </w:r>
          </w:p>
        </w:tc>
        <w:tc>
          <w:tcPr>
            <w:tcW w:w="1134" w:type="dxa"/>
            <w:vAlign w:val="center"/>
          </w:tcPr>
          <w:p>
            <w:pPr>
              <w:pStyle w:val="15"/>
            </w:pPr>
            <w:r>
              <w:t>9035.36</w:t>
            </w:r>
          </w:p>
        </w:tc>
        <w:tc>
          <w:tcPr>
            <w:tcW w:w="1134" w:type="dxa"/>
            <w:vAlign w:val="center"/>
          </w:tcPr>
          <w:p>
            <w:pPr>
              <w:pStyle w:val="15"/>
            </w:pPr>
            <w:r>
              <w:t>9035.36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4969.93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20104</w:t>
            </w:r>
          </w:p>
        </w:tc>
        <w:tc>
          <w:tcPr>
            <w:tcW w:w="1559" w:type="dxa"/>
            <w:vAlign w:val="center"/>
          </w:tcPr>
          <w:p>
            <w:pPr>
              <w:pStyle w:val="12"/>
            </w:pPr>
            <w:r>
              <w:t>发展与改革事务</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r>
              <w:t>613.35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2010401</w:t>
            </w:r>
          </w:p>
        </w:tc>
        <w:tc>
          <w:tcPr>
            <w:tcW w:w="1559" w:type="dxa"/>
            <w:vAlign w:val="center"/>
          </w:tcPr>
          <w:p>
            <w:pPr>
              <w:pStyle w:val="12"/>
            </w:pPr>
            <w:r>
              <w:t>行政运行</w:t>
            </w:r>
          </w:p>
        </w:tc>
        <w:tc>
          <w:tcPr>
            <w:tcW w:w="1134" w:type="dxa"/>
            <w:vAlign w:val="center"/>
          </w:tcPr>
          <w:p>
            <w:pPr>
              <w:pStyle w:val="11"/>
            </w:pPr>
            <w:r>
              <w:t>592.07</w:t>
            </w:r>
          </w:p>
        </w:tc>
        <w:tc>
          <w:tcPr>
            <w:tcW w:w="1134" w:type="dxa"/>
            <w:vAlign w:val="center"/>
          </w:tcPr>
          <w:p>
            <w:pPr>
              <w:pStyle w:val="11"/>
            </w:pPr>
            <w:r>
              <w:t>592.07</w:t>
            </w:r>
          </w:p>
        </w:tc>
        <w:tc>
          <w:tcPr>
            <w:tcW w:w="1134" w:type="dxa"/>
            <w:vAlign w:val="center"/>
          </w:tcPr>
          <w:p>
            <w:pPr>
              <w:pStyle w:val="11"/>
            </w:pPr>
            <w:r>
              <w:t>592.07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2010402</w:t>
            </w:r>
          </w:p>
        </w:tc>
        <w:tc>
          <w:tcPr>
            <w:tcW w:w="1559" w:type="dxa"/>
            <w:vAlign w:val="center"/>
          </w:tcPr>
          <w:p>
            <w:pPr>
              <w:pStyle w:val="12"/>
            </w:pPr>
            <w:r>
              <w:t>一般行政管理事务</w:t>
            </w:r>
          </w:p>
        </w:tc>
        <w:tc>
          <w:tcPr>
            <w:tcW w:w="1134" w:type="dxa"/>
            <w:vAlign w:val="center"/>
          </w:tcPr>
          <w:p>
            <w:pPr>
              <w:pStyle w:val="11"/>
            </w:pPr>
            <w:r>
              <w:t>21.28</w:t>
            </w:r>
          </w:p>
        </w:tc>
        <w:tc>
          <w:tcPr>
            <w:tcW w:w="1134" w:type="dxa"/>
            <w:vAlign w:val="center"/>
          </w:tcPr>
          <w:p>
            <w:pPr>
              <w:pStyle w:val="11"/>
            </w:pPr>
            <w:r>
              <w:t>21.28</w:t>
            </w:r>
          </w:p>
        </w:tc>
        <w:tc>
          <w:tcPr>
            <w:tcW w:w="1134" w:type="dxa"/>
            <w:vAlign w:val="center"/>
          </w:tcPr>
          <w:p>
            <w:pPr>
              <w:pStyle w:val="11"/>
            </w:pPr>
            <w:r>
              <w:t>21.28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r>
              <w:t>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r>
              <w:t>229.57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99.63</w:t>
            </w:r>
          </w:p>
        </w:tc>
        <w:tc>
          <w:tcPr>
            <w:tcW w:w="1134" w:type="dxa"/>
            <w:vAlign w:val="center"/>
          </w:tcPr>
          <w:p>
            <w:pPr>
              <w:pStyle w:val="11"/>
            </w:pPr>
            <w:r>
              <w:t>99.63</w:t>
            </w:r>
          </w:p>
        </w:tc>
        <w:tc>
          <w:tcPr>
            <w:tcW w:w="1134" w:type="dxa"/>
            <w:vAlign w:val="center"/>
          </w:tcPr>
          <w:p>
            <w:pPr>
              <w:pStyle w:val="11"/>
            </w:pPr>
            <w:r>
              <w:t>99.63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68.08</w:t>
            </w:r>
          </w:p>
        </w:tc>
        <w:tc>
          <w:tcPr>
            <w:tcW w:w="1134" w:type="dxa"/>
            <w:vAlign w:val="center"/>
          </w:tcPr>
          <w:p>
            <w:pPr>
              <w:pStyle w:val="11"/>
            </w:pPr>
            <w:r>
              <w:t>68.08</w:t>
            </w:r>
          </w:p>
        </w:tc>
        <w:tc>
          <w:tcPr>
            <w:tcW w:w="1134" w:type="dxa"/>
            <w:vAlign w:val="center"/>
          </w:tcPr>
          <w:p>
            <w:pPr>
              <w:pStyle w:val="11"/>
            </w:pPr>
            <w:r>
              <w:t>68.08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61.85</w:t>
            </w:r>
          </w:p>
        </w:tc>
        <w:tc>
          <w:tcPr>
            <w:tcW w:w="1134" w:type="dxa"/>
            <w:vAlign w:val="center"/>
          </w:tcPr>
          <w:p>
            <w:pPr>
              <w:pStyle w:val="11"/>
            </w:pPr>
            <w:r>
              <w:t>61.85</w:t>
            </w:r>
          </w:p>
        </w:tc>
        <w:tc>
          <w:tcPr>
            <w:tcW w:w="1134" w:type="dxa"/>
            <w:vAlign w:val="center"/>
          </w:tcPr>
          <w:p>
            <w:pPr>
              <w:pStyle w:val="11"/>
            </w:pPr>
            <w:r>
              <w:t>61.85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r>
              <w:t>27.92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6934.00</w:t>
            </w:r>
          </w:p>
        </w:tc>
        <w:tc>
          <w:tcPr>
            <w:tcW w:w="1134" w:type="dxa"/>
            <w:vAlign w:val="center"/>
          </w:tcPr>
          <w:p>
            <w:pPr>
              <w:pStyle w:val="11"/>
            </w:pPr>
            <w:r>
              <w:t>5054.00</w:t>
            </w:r>
          </w:p>
        </w:tc>
        <w:tc>
          <w:tcPr>
            <w:tcW w:w="1134" w:type="dxa"/>
            <w:vAlign w:val="center"/>
          </w:tcPr>
          <w:p>
            <w:pPr>
              <w:pStyle w:val="11"/>
            </w:pPr>
            <w:r>
              <w:t>5054.00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2130142</w:t>
            </w:r>
          </w:p>
        </w:tc>
        <w:tc>
          <w:tcPr>
            <w:tcW w:w="1559" w:type="dxa"/>
            <w:vAlign w:val="center"/>
          </w:tcPr>
          <w:p>
            <w:pPr>
              <w:pStyle w:val="12"/>
            </w:pPr>
            <w:r>
              <w:t>乡村道路建设</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r>
              <w:t>26.48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r>
              <w:t>44.73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222</w:t>
            </w:r>
          </w:p>
        </w:tc>
        <w:tc>
          <w:tcPr>
            <w:tcW w:w="1559" w:type="dxa"/>
            <w:vAlign w:val="center"/>
          </w:tcPr>
          <w:p>
            <w:pPr>
              <w:pStyle w:val="12"/>
            </w:pPr>
            <w:r>
              <w:t>粮油物资储备支出</w:t>
            </w:r>
          </w:p>
        </w:tc>
        <w:tc>
          <w:tcPr>
            <w:tcW w:w="1134" w:type="dxa"/>
            <w:vAlign w:val="center"/>
          </w:tcPr>
          <w:p>
            <w:pPr>
              <w:pStyle w:val="11"/>
            </w:pPr>
            <w:r>
              <w:t>39.31</w:t>
            </w:r>
          </w:p>
        </w:tc>
        <w:tc>
          <w:tcPr>
            <w:tcW w:w="1134" w:type="dxa"/>
            <w:vAlign w:val="center"/>
          </w:tcPr>
          <w:p>
            <w:pPr>
              <w:pStyle w:val="11"/>
            </w:pPr>
            <w:r>
              <w:t>39.31</w:t>
            </w:r>
          </w:p>
        </w:tc>
        <w:tc>
          <w:tcPr>
            <w:tcW w:w="1134" w:type="dxa"/>
            <w:vAlign w:val="center"/>
          </w:tcPr>
          <w:p>
            <w:pPr>
              <w:pStyle w:val="11"/>
            </w:pPr>
            <w:r>
              <w:t>39.31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22201</w:t>
            </w:r>
          </w:p>
        </w:tc>
        <w:tc>
          <w:tcPr>
            <w:tcW w:w="1559" w:type="dxa"/>
            <w:vAlign w:val="center"/>
          </w:tcPr>
          <w:p>
            <w:pPr>
              <w:pStyle w:val="12"/>
            </w:pPr>
            <w:r>
              <w:t>粮油物资事务</w:t>
            </w:r>
          </w:p>
        </w:tc>
        <w:tc>
          <w:tcPr>
            <w:tcW w:w="1134" w:type="dxa"/>
            <w:vAlign w:val="center"/>
          </w:tcPr>
          <w:p>
            <w:pPr>
              <w:pStyle w:val="11"/>
            </w:pPr>
            <w:r>
              <w:t>22.30</w:t>
            </w:r>
          </w:p>
        </w:tc>
        <w:tc>
          <w:tcPr>
            <w:tcW w:w="1134" w:type="dxa"/>
            <w:vAlign w:val="center"/>
          </w:tcPr>
          <w:p>
            <w:pPr>
              <w:pStyle w:val="11"/>
            </w:pPr>
            <w:r>
              <w:t>22.30</w:t>
            </w:r>
          </w:p>
        </w:tc>
        <w:tc>
          <w:tcPr>
            <w:tcW w:w="1134" w:type="dxa"/>
            <w:vAlign w:val="center"/>
          </w:tcPr>
          <w:p>
            <w:pPr>
              <w:pStyle w:val="11"/>
            </w:pPr>
            <w:r>
              <w:t>22.30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2220102</w:t>
            </w:r>
          </w:p>
        </w:tc>
        <w:tc>
          <w:tcPr>
            <w:tcW w:w="1559" w:type="dxa"/>
            <w:vAlign w:val="center"/>
          </w:tcPr>
          <w:p>
            <w:pPr>
              <w:pStyle w:val="12"/>
            </w:pPr>
            <w:r>
              <w:t>一般行政管理事务</w:t>
            </w:r>
          </w:p>
        </w:tc>
        <w:tc>
          <w:tcPr>
            <w:tcW w:w="1134" w:type="dxa"/>
            <w:vAlign w:val="center"/>
          </w:tcPr>
          <w:p>
            <w:pPr>
              <w:pStyle w:val="11"/>
            </w:pPr>
            <w:r>
              <w:t>5.30</w:t>
            </w:r>
          </w:p>
        </w:tc>
        <w:tc>
          <w:tcPr>
            <w:tcW w:w="1134" w:type="dxa"/>
            <w:vAlign w:val="center"/>
          </w:tcPr>
          <w:p>
            <w:pPr>
              <w:pStyle w:val="11"/>
            </w:pPr>
            <w:r>
              <w:t>5.30</w:t>
            </w:r>
          </w:p>
        </w:tc>
        <w:tc>
          <w:tcPr>
            <w:tcW w:w="1134" w:type="dxa"/>
            <w:vAlign w:val="center"/>
          </w:tcPr>
          <w:p>
            <w:pPr>
              <w:pStyle w:val="11"/>
            </w:pPr>
            <w:r>
              <w:t>5.30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2220106</w:t>
            </w:r>
          </w:p>
        </w:tc>
        <w:tc>
          <w:tcPr>
            <w:tcW w:w="1559" w:type="dxa"/>
            <w:vAlign w:val="center"/>
          </w:tcPr>
          <w:p>
            <w:pPr>
              <w:pStyle w:val="12"/>
            </w:pPr>
            <w:r>
              <w:t>专项业务活动</w:t>
            </w:r>
          </w:p>
        </w:tc>
        <w:tc>
          <w:tcPr>
            <w:tcW w:w="1134" w:type="dxa"/>
            <w:vAlign w:val="center"/>
          </w:tcPr>
          <w:p>
            <w:pPr>
              <w:pStyle w:val="11"/>
            </w:pPr>
            <w:r>
              <w:t>17.00</w:t>
            </w:r>
          </w:p>
        </w:tc>
        <w:tc>
          <w:tcPr>
            <w:tcW w:w="1134" w:type="dxa"/>
            <w:vAlign w:val="center"/>
          </w:tcPr>
          <w:p>
            <w:pPr>
              <w:pStyle w:val="11"/>
            </w:pPr>
            <w:r>
              <w:t>17.00</w:t>
            </w:r>
          </w:p>
        </w:tc>
        <w:tc>
          <w:tcPr>
            <w:tcW w:w="1134" w:type="dxa"/>
            <w:vAlign w:val="center"/>
          </w:tcPr>
          <w:p>
            <w:pPr>
              <w:pStyle w:val="11"/>
            </w:pPr>
            <w:r>
              <w:t>17.00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22204</w:t>
            </w:r>
          </w:p>
        </w:tc>
        <w:tc>
          <w:tcPr>
            <w:tcW w:w="1559" w:type="dxa"/>
            <w:vAlign w:val="center"/>
          </w:tcPr>
          <w:p>
            <w:pPr>
              <w:pStyle w:val="12"/>
            </w:pPr>
            <w:r>
              <w:t>粮油储备</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2220401</w:t>
            </w:r>
          </w:p>
        </w:tc>
        <w:tc>
          <w:tcPr>
            <w:tcW w:w="1559" w:type="dxa"/>
            <w:vAlign w:val="center"/>
          </w:tcPr>
          <w:p>
            <w:pPr>
              <w:pStyle w:val="12"/>
            </w:pPr>
            <w:r>
              <w:t>储备粮油补贴</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r>
              <w:t>11.99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22205</w:t>
            </w:r>
          </w:p>
        </w:tc>
        <w:tc>
          <w:tcPr>
            <w:tcW w:w="1559" w:type="dxa"/>
            <w:vAlign w:val="center"/>
          </w:tcPr>
          <w:p>
            <w:pPr>
              <w:pStyle w:val="12"/>
            </w:pPr>
            <w:r>
              <w:t>重要商品储备</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33</w:t>
            </w:r>
          </w:p>
        </w:tc>
        <w:tc>
          <w:tcPr>
            <w:tcW w:w="992" w:type="dxa"/>
            <w:vAlign w:val="center"/>
          </w:tcPr>
          <w:p>
            <w:pPr>
              <w:pStyle w:val="12"/>
            </w:pPr>
            <w:r>
              <w:t>2220509</w:t>
            </w:r>
          </w:p>
        </w:tc>
        <w:tc>
          <w:tcPr>
            <w:tcW w:w="1559" w:type="dxa"/>
            <w:vAlign w:val="center"/>
          </w:tcPr>
          <w:p>
            <w:pPr>
              <w:pStyle w:val="12"/>
            </w:pPr>
            <w:r>
              <w:t>食盐储备</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r>
              <w:t>5.02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34</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35</w:t>
            </w:r>
          </w:p>
        </w:tc>
        <w:tc>
          <w:tcPr>
            <w:tcW w:w="992" w:type="dxa"/>
            <w:vAlign w:val="center"/>
          </w:tcPr>
          <w:p>
            <w:pPr>
              <w:pStyle w:val="12"/>
            </w:pPr>
            <w:r>
              <w:t>22904</w:t>
            </w:r>
          </w:p>
        </w:tc>
        <w:tc>
          <w:tcPr>
            <w:tcW w:w="1559" w:type="dxa"/>
            <w:vAlign w:val="center"/>
          </w:tcPr>
          <w:p>
            <w:pPr>
              <w:pStyle w:val="12"/>
            </w:pPr>
            <w:r>
              <w:t>其他政府性基金及对应专项债务收入安排的支出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36</w:t>
            </w:r>
          </w:p>
        </w:tc>
        <w:tc>
          <w:tcPr>
            <w:tcW w:w="992" w:type="dxa"/>
            <w:vAlign w:val="center"/>
          </w:tcPr>
          <w:p>
            <w:pPr>
              <w:pStyle w:val="12"/>
            </w:pPr>
            <w:r>
              <w:t>2290402</w:t>
            </w:r>
          </w:p>
        </w:tc>
        <w:tc>
          <w:tcPr>
            <w:tcW w:w="1559" w:type="dxa"/>
            <w:vAlign w:val="center"/>
          </w:tcPr>
          <w:p>
            <w:pPr>
              <w:pStyle w:val="12"/>
            </w:pPr>
            <w:r>
              <w:t>其他地方自行试点项目收益专项债券收入安排的支出</w:t>
            </w:r>
          </w:p>
        </w:tc>
        <w:tc>
          <w:tcPr>
            <w:tcW w:w="1134" w:type="dxa"/>
            <w:vAlign w:val="center"/>
          </w:tcPr>
          <w:p>
            <w:pPr>
              <w:pStyle w:val="11"/>
            </w:pPr>
            <w:r>
              <w:t>3089.93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3089.93</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14005.29</w:t>
            </w:r>
          </w:p>
        </w:tc>
        <w:tc>
          <w:tcPr>
            <w:tcW w:w="1361" w:type="dxa"/>
            <w:vAlign w:val="center"/>
          </w:tcPr>
          <w:p>
            <w:pPr>
              <w:pStyle w:val="15"/>
            </w:pPr>
            <w:r>
              <w:t>894.29</w:t>
            </w:r>
          </w:p>
        </w:tc>
        <w:tc>
          <w:tcPr>
            <w:tcW w:w="1361" w:type="dxa"/>
            <w:vAlign w:val="center"/>
          </w:tcPr>
          <w:p>
            <w:pPr>
              <w:pStyle w:val="15"/>
            </w:pPr>
            <w:r>
              <w:t>13111.00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613.35</w:t>
            </w:r>
          </w:p>
        </w:tc>
        <w:tc>
          <w:tcPr>
            <w:tcW w:w="1361" w:type="dxa"/>
            <w:vAlign w:val="center"/>
          </w:tcPr>
          <w:p>
            <w:pPr>
              <w:pStyle w:val="11"/>
            </w:pPr>
            <w:r>
              <w:t>592.07</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20104</w:t>
            </w:r>
          </w:p>
        </w:tc>
        <w:tc>
          <w:tcPr>
            <w:tcW w:w="4535" w:type="dxa"/>
            <w:vAlign w:val="center"/>
          </w:tcPr>
          <w:p>
            <w:pPr>
              <w:pStyle w:val="12"/>
            </w:pPr>
            <w:r>
              <w:t>发展与改革事务</w:t>
            </w:r>
          </w:p>
        </w:tc>
        <w:tc>
          <w:tcPr>
            <w:tcW w:w="1361" w:type="dxa"/>
            <w:vAlign w:val="center"/>
          </w:tcPr>
          <w:p>
            <w:pPr>
              <w:pStyle w:val="11"/>
            </w:pPr>
            <w:r>
              <w:t>613.35</w:t>
            </w:r>
          </w:p>
        </w:tc>
        <w:tc>
          <w:tcPr>
            <w:tcW w:w="1361" w:type="dxa"/>
            <w:vAlign w:val="center"/>
          </w:tcPr>
          <w:p>
            <w:pPr>
              <w:pStyle w:val="11"/>
            </w:pPr>
            <w:r>
              <w:t>592.07</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2010401</w:t>
            </w:r>
          </w:p>
        </w:tc>
        <w:tc>
          <w:tcPr>
            <w:tcW w:w="4535" w:type="dxa"/>
            <w:vAlign w:val="center"/>
          </w:tcPr>
          <w:p>
            <w:pPr>
              <w:pStyle w:val="12"/>
            </w:pPr>
            <w:r>
              <w:t>行政运行</w:t>
            </w:r>
          </w:p>
        </w:tc>
        <w:tc>
          <w:tcPr>
            <w:tcW w:w="1361" w:type="dxa"/>
            <w:vAlign w:val="center"/>
          </w:tcPr>
          <w:p>
            <w:pPr>
              <w:pStyle w:val="11"/>
            </w:pPr>
            <w:r>
              <w:t>592.07</w:t>
            </w:r>
          </w:p>
        </w:tc>
        <w:tc>
          <w:tcPr>
            <w:tcW w:w="1361" w:type="dxa"/>
            <w:vAlign w:val="center"/>
          </w:tcPr>
          <w:p>
            <w:pPr>
              <w:pStyle w:val="11"/>
            </w:pPr>
            <w:r>
              <w:t>592.07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2010402</w:t>
            </w:r>
          </w:p>
        </w:tc>
        <w:tc>
          <w:tcPr>
            <w:tcW w:w="4535" w:type="dxa"/>
            <w:vAlign w:val="center"/>
          </w:tcPr>
          <w:p>
            <w:pPr>
              <w:pStyle w:val="12"/>
            </w:pPr>
            <w:r>
              <w:t>一般行政管理事务</w:t>
            </w: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r>
              <w:t>21.28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20699</w:t>
            </w:r>
          </w:p>
        </w:tc>
        <w:tc>
          <w:tcPr>
            <w:tcW w:w="4535" w:type="dxa"/>
            <w:vAlign w:val="center"/>
          </w:tcPr>
          <w:p>
            <w:pPr>
              <w:pStyle w:val="12"/>
            </w:pPr>
            <w:r>
              <w:t>其他科学技术支出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2069999</w:t>
            </w:r>
          </w:p>
        </w:tc>
        <w:tc>
          <w:tcPr>
            <w:tcW w:w="4535" w:type="dxa"/>
            <w:vAlign w:val="center"/>
          </w:tcPr>
          <w:p>
            <w:pPr>
              <w:pStyle w:val="12"/>
            </w:pPr>
            <w:r>
              <w:t>其他科学技术支出</w:t>
            </w: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r>
              <w:t>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229.57</w:t>
            </w:r>
          </w:p>
        </w:tc>
        <w:tc>
          <w:tcPr>
            <w:tcW w:w="1361" w:type="dxa"/>
            <w:vAlign w:val="center"/>
          </w:tcPr>
          <w:p>
            <w:pPr>
              <w:pStyle w:val="11"/>
            </w:pPr>
            <w:r>
              <w:t>229.57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229.57</w:t>
            </w:r>
          </w:p>
        </w:tc>
        <w:tc>
          <w:tcPr>
            <w:tcW w:w="1361" w:type="dxa"/>
            <w:vAlign w:val="center"/>
          </w:tcPr>
          <w:p>
            <w:pPr>
              <w:pStyle w:val="11"/>
            </w:pPr>
            <w:r>
              <w:t>229.57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99.63</w:t>
            </w:r>
          </w:p>
        </w:tc>
        <w:tc>
          <w:tcPr>
            <w:tcW w:w="1361" w:type="dxa"/>
            <w:vAlign w:val="center"/>
          </w:tcPr>
          <w:p>
            <w:pPr>
              <w:pStyle w:val="11"/>
            </w:pPr>
            <w:r>
              <w:t>99.63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68.08</w:t>
            </w:r>
          </w:p>
        </w:tc>
        <w:tc>
          <w:tcPr>
            <w:tcW w:w="1361" w:type="dxa"/>
            <w:vAlign w:val="center"/>
          </w:tcPr>
          <w:p>
            <w:pPr>
              <w:pStyle w:val="11"/>
            </w:pPr>
            <w:r>
              <w:t>68.08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61.85</w:t>
            </w:r>
          </w:p>
        </w:tc>
        <w:tc>
          <w:tcPr>
            <w:tcW w:w="1361" w:type="dxa"/>
            <w:vAlign w:val="center"/>
          </w:tcPr>
          <w:p>
            <w:pPr>
              <w:pStyle w:val="11"/>
            </w:pPr>
            <w:r>
              <w:t>61.85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27.92</w:t>
            </w:r>
          </w:p>
        </w:tc>
        <w:tc>
          <w:tcPr>
            <w:tcW w:w="1361" w:type="dxa"/>
            <w:vAlign w:val="center"/>
          </w:tcPr>
          <w:p>
            <w:pPr>
              <w:pStyle w:val="11"/>
            </w:pPr>
            <w:r>
              <w:t>27.92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r>
              <w:t>6934.00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2130142</w:t>
            </w:r>
          </w:p>
        </w:tc>
        <w:tc>
          <w:tcPr>
            <w:tcW w:w="4535" w:type="dxa"/>
            <w:vAlign w:val="center"/>
          </w:tcPr>
          <w:p>
            <w:pPr>
              <w:pStyle w:val="12"/>
            </w:pPr>
            <w:r>
              <w:t>乡村道路建设</w:t>
            </w: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r>
              <w:t>26.48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44.73</w:t>
            </w:r>
          </w:p>
        </w:tc>
        <w:tc>
          <w:tcPr>
            <w:tcW w:w="1361" w:type="dxa"/>
            <w:vAlign w:val="center"/>
          </w:tcPr>
          <w:p>
            <w:pPr>
              <w:pStyle w:val="11"/>
            </w:pPr>
            <w:r>
              <w:t>44.73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222</w:t>
            </w:r>
          </w:p>
        </w:tc>
        <w:tc>
          <w:tcPr>
            <w:tcW w:w="4535" w:type="dxa"/>
            <w:vAlign w:val="center"/>
          </w:tcPr>
          <w:p>
            <w:pPr>
              <w:pStyle w:val="12"/>
            </w:pPr>
            <w:r>
              <w:t>粮油物资储备支出</w:t>
            </w:r>
          </w:p>
        </w:tc>
        <w:tc>
          <w:tcPr>
            <w:tcW w:w="1361" w:type="dxa"/>
            <w:vAlign w:val="center"/>
          </w:tcPr>
          <w:p>
            <w:pPr>
              <w:pStyle w:val="11"/>
            </w:pPr>
            <w:r>
              <w:t>39.31</w:t>
            </w:r>
          </w:p>
        </w:tc>
        <w:tc>
          <w:tcPr>
            <w:tcW w:w="1361" w:type="dxa"/>
            <w:vAlign w:val="center"/>
          </w:tcPr>
          <w:p>
            <w:pPr>
              <w:pStyle w:val="11"/>
            </w:pPr>
          </w:p>
        </w:tc>
        <w:tc>
          <w:tcPr>
            <w:tcW w:w="1361" w:type="dxa"/>
            <w:vAlign w:val="center"/>
          </w:tcPr>
          <w:p>
            <w:pPr>
              <w:pStyle w:val="11"/>
            </w:pPr>
            <w:r>
              <w:t>39.31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22201</w:t>
            </w:r>
          </w:p>
        </w:tc>
        <w:tc>
          <w:tcPr>
            <w:tcW w:w="4535" w:type="dxa"/>
            <w:vAlign w:val="center"/>
          </w:tcPr>
          <w:p>
            <w:pPr>
              <w:pStyle w:val="12"/>
            </w:pPr>
            <w:r>
              <w:t>粮油物资事务</w:t>
            </w:r>
          </w:p>
        </w:tc>
        <w:tc>
          <w:tcPr>
            <w:tcW w:w="1361" w:type="dxa"/>
            <w:vAlign w:val="center"/>
          </w:tcPr>
          <w:p>
            <w:pPr>
              <w:pStyle w:val="11"/>
            </w:pPr>
            <w:r>
              <w:t>22.30</w:t>
            </w:r>
          </w:p>
        </w:tc>
        <w:tc>
          <w:tcPr>
            <w:tcW w:w="1361" w:type="dxa"/>
            <w:vAlign w:val="center"/>
          </w:tcPr>
          <w:p>
            <w:pPr>
              <w:pStyle w:val="11"/>
            </w:pPr>
          </w:p>
        </w:tc>
        <w:tc>
          <w:tcPr>
            <w:tcW w:w="1361" w:type="dxa"/>
            <w:vAlign w:val="center"/>
          </w:tcPr>
          <w:p>
            <w:pPr>
              <w:pStyle w:val="11"/>
            </w:pPr>
            <w:r>
              <w:t>22.30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2220102</w:t>
            </w:r>
          </w:p>
        </w:tc>
        <w:tc>
          <w:tcPr>
            <w:tcW w:w="4535" w:type="dxa"/>
            <w:vAlign w:val="center"/>
          </w:tcPr>
          <w:p>
            <w:pPr>
              <w:pStyle w:val="12"/>
            </w:pPr>
            <w:r>
              <w:t>一般行政管理事务</w:t>
            </w:r>
          </w:p>
        </w:tc>
        <w:tc>
          <w:tcPr>
            <w:tcW w:w="1361" w:type="dxa"/>
            <w:vAlign w:val="center"/>
          </w:tcPr>
          <w:p>
            <w:pPr>
              <w:pStyle w:val="11"/>
            </w:pPr>
            <w:r>
              <w:t>5.30</w:t>
            </w:r>
          </w:p>
        </w:tc>
        <w:tc>
          <w:tcPr>
            <w:tcW w:w="1361" w:type="dxa"/>
            <w:vAlign w:val="center"/>
          </w:tcPr>
          <w:p>
            <w:pPr>
              <w:pStyle w:val="11"/>
            </w:pPr>
          </w:p>
        </w:tc>
        <w:tc>
          <w:tcPr>
            <w:tcW w:w="1361" w:type="dxa"/>
            <w:vAlign w:val="center"/>
          </w:tcPr>
          <w:p>
            <w:pPr>
              <w:pStyle w:val="11"/>
            </w:pPr>
            <w:r>
              <w:t>5.30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2220106</w:t>
            </w:r>
          </w:p>
        </w:tc>
        <w:tc>
          <w:tcPr>
            <w:tcW w:w="4535" w:type="dxa"/>
            <w:vAlign w:val="center"/>
          </w:tcPr>
          <w:p>
            <w:pPr>
              <w:pStyle w:val="12"/>
            </w:pPr>
            <w:r>
              <w:t>专项业务活动</w:t>
            </w:r>
          </w:p>
        </w:tc>
        <w:tc>
          <w:tcPr>
            <w:tcW w:w="1361" w:type="dxa"/>
            <w:vAlign w:val="center"/>
          </w:tcPr>
          <w:p>
            <w:pPr>
              <w:pStyle w:val="11"/>
            </w:pPr>
            <w:r>
              <w:t>17.00</w:t>
            </w:r>
          </w:p>
        </w:tc>
        <w:tc>
          <w:tcPr>
            <w:tcW w:w="1361" w:type="dxa"/>
            <w:vAlign w:val="center"/>
          </w:tcPr>
          <w:p>
            <w:pPr>
              <w:pStyle w:val="11"/>
            </w:pPr>
          </w:p>
        </w:tc>
        <w:tc>
          <w:tcPr>
            <w:tcW w:w="1361" w:type="dxa"/>
            <w:vAlign w:val="center"/>
          </w:tcPr>
          <w:p>
            <w:pPr>
              <w:pStyle w:val="11"/>
            </w:pPr>
            <w:r>
              <w:t>17.00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22204</w:t>
            </w:r>
          </w:p>
        </w:tc>
        <w:tc>
          <w:tcPr>
            <w:tcW w:w="4535" w:type="dxa"/>
            <w:vAlign w:val="center"/>
          </w:tcPr>
          <w:p>
            <w:pPr>
              <w:pStyle w:val="12"/>
            </w:pPr>
            <w:r>
              <w:t>粮油储备</w:t>
            </w: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2220401</w:t>
            </w:r>
          </w:p>
        </w:tc>
        <w:tc>
          <w:tcPr>
            <w:tcW w:w="4535" w:type="dxa"/>
            <w:vAlign w:val="center"/>
          </w:tcPr>
          <w:p>
            <w:pPr>
              <w:pStyle w:val="12"/>
            </w:pPr>
            <w:r>
              <w:t>储备粮油补贴</w:t>
            </w: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r>
              <w:t>11.99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22205</w:t>
            </w:r>
          </w:p>
        </w:tc>
        <w:tc>
          <w:tcPr>
            <w:tcW w:w="4535" w:type="dxa"/>
            <w:vAlign w:val="center"/>
          </w:tcPr>
          <w:p>
            <w:pPr>
              <w:pStyle w:val="12"/>
            </w:pPr>
            <w:r>
              <w:t>重要商品储备</w:t>
            </w: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992" w:type="dxa"/>
            <w:vAlign w:val="center"/>
          </w:tcPr>
          <w:p>
            <w:pPr>
              <w:pStyle w:val="12"/>
            </w:pPr>
            <w:r>
              <w:t>2220509</w:t>
            </w:r>
          </w:p>
        </w:tc>
        <w:tc>
          <w:tcPr>
            <w:tcW w:w="4535" w:type="dxa"/>
            <w:vAlign w:val="center"/>
          </w:tcPr>
          <w:p>
            <w:pPr>
              <w:pStyle w:val="12"/>
            </w:pPr>
            <w:r>
              <w:t>食盐储备</w:t>
            </w: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r>
              <w:t>5.02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992" w:type="dxa"/>
            <w:vAlign w:val="center"/>
          </w:tcPr>
          <w:p>
            <w:pPr>
              <w:pStyle w:val="12"/>
            </w:pPr>
            <w:r>
              <w:t>22904</w:t>
            </w:r>
          </w:p>
        </w:tc>
        <w:tc>
          <w:tcPr>
            <w:tcW w:w="4535" w:type="dxa"/>
            <w:vAlign w:val="center"/>
          </w:tcPr>
          <w:p>
            <w:pPr>
              <w:pStyle w:val="12"/>
            </w:pPr>
            <w:r>
              <w:t>其他政府性基金及对应专项债务收入安排的支出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992" w:type="dxa"/>
            <w:vAlign w:val="center"/>
          </w:tcPr>
          <w:p>
            <w:pPr>
              <w:pStyle w:val="12"/>
            </w:pPr>
            <w:r>
              <w:t>2290402</w:t>
            </w:r>
          </w:p>
        </w:tc>
        <w:tc>
          <w:tcPr>
            <w:tcW w:w="4535" w:type="dxa"/>
            <w:vAlign w:val="center"/>
          </w:tcPr>
          <w:p>
            <w:pPr>
              <w:pStyle w:val="12"/>
            </w:pPr>
            <w:r>
              <w:t>其他地方自行试点项目收益专项债券收入安排的支出</w:t>
            </w: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r>
              <w:t>3089.93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9035.36</w:t>
            </w:r>
          </w:p>
        </w:tc>
        <w:tc>
          <w:tcPr>
            <w:tcW w:w="3402" w:type="dxa"/>
            <w:vAlign w:val="center"/>
          </w:tcPr>
          <w:p>
            <w:pPr>
              <w:pStyle w:val="12"/>
            </w:pPr>
            <w:r>
              <w:t>一、一般公共服务支出</w:t>
            </w:r>
          </w:p>
        </w:tc>
        <w:tc>
          <w:tcPr>
            <w:tcW w:w="1474" w:type="dxa"/>
            <w:vAlign w:val="center"/>
          </w:tcPr>
          <w:p>
            <w:pPr>
              <w:pStyle w:val="11"/>
            </w:pPr>
            <w:r>
              <w:t>613.35</w:t>
            </w:r>
          </w:p>
        </w:tc>
        <w:tc>
          <w:tcPr>
            <w:tcW w:w="1474" w:type="dxa"/>
            <w:vAlign w:val="center"/>
          </w:tcPr>
          <w:p>
            <w:pPr>
              <w:pStyle w:val="11"/>
            </w:pPr>
            <w:r>
              <w:t>613.35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3000.00</w:t>
            </w:r>
          </w:p>
        </w:tc>
        <w:tc>
          <w:tcPr>
            <w:tcW w:w="1474" w:type="dxa"/>
            <w:vAlign w:val="center"/>
          </w:tcPr>
          <w:p>
            <w:pPr>
              <w:pStyle w:val="11"/>
            </w:pPr>
            <w:r>
              <w:t>3000.00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229.57</w:t>
            </w:r>
          </w:p>
        </w:tc>
        <w:tc>
          <w:tcPr>
            <w:tcW w:w="1474" w:type="dxa"/>
            <w:vAlign w:val="center"/>
          </w:tcPr>
          <w:p>
            <w:pPr>
              <w:pStyle w:val="11"/>
            </w:pPr>
            <w:r>
              <w:t>229.57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27.92</w:t>
            </w:r>
          </w:p>
        </w:tc>
        <w:tc>
          <w:tcPr>
            <w:tcW w:w="1474" w:type="dxa"/>
            <w:vAlign w:val="center"/>
          </w:tcPr>
          <w:p>
            <w:pPr>
              <w:pStyle w:val="11"/>
            </w:pPr>
            <w:r>
              <w:t>27.92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6934.00</w:t>
            </w:r>
          </w:p>
        </w:tc>
        <w:tc>
          <w:tcPr>
            <w:tcW w:w="1474" w:type="dxa"/>
            <w:vAlign w:val="center"/>
          </w:tcPr>
          <w:p>
            <w:pPr>
              <w:pStyle w:val="11"/>
            </w:pPr>
            <w:r>
              <w:t>6934.00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26.48</w:t>
            </w:r>
          </w:p>
        </w:tc>
        <w:tc>
          <w:tcPr>
            <w:tcW w:w="1474" w:type="dxa"/>
            <w:vAlign w:val="center"/>
          </w:tcPr>
          <w:p>
            <w:pPr>
              <w:pStyle w:val="11"/>
            </w:pPr>
            <w:r>
              <w:t>26.48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44.73</w:t>
            </w:r>
          </w:p>
        </w:tc>
        <w:tc>
          <w:tcPr>
            <w:tcW w:w="1474" w:type="dxa"/>
            <w:vAlign w:val="center"/>
          </w:tcPr>
          <w:p>
            <w:pPr>
              <w:pStyle w:val="11"/>
            </w:pPr>
            <w:r>
              <w:t>44.73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r>
              <w:t>39.31</w:t>
            </w:r>
          </w:p>
        </w:tc>
        <w:tc>
          <w:tcPr>
            <w:tcW w:w="1474" w:type="dxa"/>
            <w:vAlign w:val="center"/>
          </w:tcPr>
          <w:p>
            <w:pPr>
              <w:pStyle w:val="11"/>
            </w:pPr>
            <w:r>
              <w:t>39.31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3089.93</w:t>
            </w:r>
          </w:p>
        </w:tc>
        <w:tc>
          <w:tcPr>
            <w:tcW w:w="1474" w:type="dxa"/>
            <w:vAlign w:val="center"/>
          </w:tcPr>
          <w:p>
            <w:pPr>
              <w:pStyle w:val="11"/>
            </w:pPr>
          </w:p>
        </w:tc>
        <w:tc>
          <w:tcPr>
            <w:tcW w:w="1474" w:type="dxa"/>
            <w:vAlign w:val="center"/>
          </w:tcPr>
          <w:p>
            <w:pPr>
              <w:pStyle w:val="11"/>
            </w:pPr>
            <w:r>
              <w:t>3089.93</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9035.36</w:t>
            </w:r>
          </w:p>
        </w:tc>
        <w:tc>
          <w:tcPr>
            <w:tcW w:w="3402" w:type="dxa"/>
            <w:vAlign w:val="center"/>
          </w:tcPr>
          <w:p>
            <w:pPr>
              <w:pStyle w:val="14"/>
            </w:pPr>
            <w:r>
              <w:t>本年支出合计</w:t>
            </w:r>
          </w:p>
        </w:tc>
        <w:tc>
          <w:tcPr>
            <w:tcW w:w="1474" w:type="dxa"/>
            <w:vAlign w:val="center"/>
          </w:tcPr>
          <w:p>
            <w:pPr>
              <w:pStyle w:val="15"/>
            </w:pPr>
            <w:r>
              <w:t>14005.29</w:t>
            </w:r>
          </w:p>
        </w:tc>
        <w:tc>
          <w:tcPr>
            <w:tcW w:w="1474" w:type="dxa"/>
            <w:vAlign w:val="center"/>
          </w:tcPr>
          <w:p>
            <w:pPr>
              <w:pStyle w:val="15"/>
            </w:pPr>
            <w:r>
              <w:t>10915.36</w:t>
            </w:r>
          </w:p>
        </w:tc>
        <w:tc>
          <w:tcPr>
            <w:tcW w:w="1474" w:type="dxa"/>
            <w:vAlign w:val="center"/>
          </w:tcPr>
          <w:p>
            <w:pPr>
              <w:pStyle w:val="15"/>
            </w:pPr>
            <w:r>
              <w:t>3089.93</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4969.93</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1880.00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r>
              <w:t>3089.93</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14005.29</w:t>
            </w:r>
          </w:p>
        </w:tc>
        <w:tc>
          <w:tcPr>
            <w:tcW w:w="3402" w:type="dxa"/>
            <w:vAlign w:val="center"/>
          </w:tcPr>
          <w:p>
            <w:pPr>
              <w:pStyle w:val="14"/>
            </w:pPr>
            <w:r>
              <w:t>支出总计</w:t>
            </w:r>
          </w:p>
        </w:tc>
        <w:tc>
          <w:tcPr>
            <w:tcW w:w="1474" w:type="dxa"/>
            <w:vAlign w:val="center"/>
          </w:tcPr>
          <w:p>
            <w:pPr>
              <w:pStyle w:val="15"/>
            </w:pPr>
            <w:r>
              <w:t>14005.29</w:t>
            </w:r>
          </w:p>
        </w:tc>
        <w:tc>
          <w:tcPr>
            <w:tcW w:w="1474" w:type="dxa"/>
            <w:vAlign w:val="center"/>
          </w:tcPr>
          <w:p>
            <w:pPr>
              <w:pStyle w:val="15"/>
            </w:pPr>
            <w:r>
              <w:t>10915.36</w:t>
            </w:r>
          </w:p>
        </w:tc>
        <w:tc>
          <w:tcPr>
            <w:tcW w:w="1474" w:type="dxa"/>
            <w:vAlign w:val="center"/>
          </w:tcPr>
          <w:p>
            <w:pPr>
              <w:pStyle w:val="15"/>
            </w:pPr>
            <w:r>
              <w:t>3089.93</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10915.36</w:t>
            </w:r>
          </w:p>
        </w:tc>
        <w:tc>
          <w:tcPr>
            <w:tcW w:w="2551" w:type="dxa"/>
            <w:vAlign w:val="center"/>
          </w:tcPr>
          <w:p>
            <w:pPr>
              <w:pStyle w:val="15"/>
            </w:pPr>
            <w:r>
              <w:t>894.29</w:t>
            </w:r>
          </w:p>
        </w:tc>
        <w:tc>
          <w:tcPr>
            <w:tcW w:w="2551" w:type="dxa"/>
            <w:vAlign w:val="center"/>
          </w:tcPr>
          <w:p>
            <w:pPr>
              <w:pStyle w:val="15"/>
            </w:pPr>
            <w:r>
              <w:t>10021.07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613.35</w:t>
            </w:r>
          </w:p>
        </w:tc>
        <w:tc>
          <w:tcPr>
            <w:tcW w:w="2551" w:type="dxa"/>
            <w:vAlign w:val="center"/>
          </w:tcPr>
          <w:p>
            <w:pPr>
              <w:pStyle w:val="11"/>
            </w:pPr>
            <w:r>
              <w:t>592.07</w:t>
            </w: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20104</w:t>
            </w:r>
          </w:p>
        </w:tc>
        <w:tc>
          <w:tcPr>
            <w:tcW w:w="4535" w:type="dxa"/>
            <w:vAlign w:val="center"/>
          </w:tcPr>
          <w:p>
            <w:pPr>
              <w:pStyle w:val="12"/>
            </w:pPr>
            <w:r>
              <w:t>发展与改革事务</w:t>
            </w:r>
          </w:p>
        </w:tc>
        <w:tc>
          <w:tcPr>
            <w:tcW w:w="2551" w:type="dxa"/>
            <w:vAlign w:val="center"/>
          </w:tcPr>
          <w:p>
            <w:pPr>
              <w:pStyle w:val="11"/>
            </w:pPr>
            <w:r>
              <w:t>613.35</w:t>
            </w:r>
          </w:p>
        </w:tc>
        <w:tc>
          <w:tcPr>
            <w:tcW w:w="2551" w:type="dxa"/>
            <w:vAlign w:val="center"/>
          </w:tcPr>
          <w:p>
            <w:pPr>
              <w:pStyle w:val="11"/>
            </w:pPr>
            <w:r>
              <w:t>592.07</w:t>
            </w: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2010401</w:t>
            </w:r>
          </w:p>
        </w:tc>
        <w:tc>
          <w:tcPr>
            <w:tcW w:w="4535" w:type="dxa"/>
            <w:vAlign w:val="center"/>
          </w:tcPr>
          <w:p>
            <w:pPr>
              <w:pStyle w:val="12"/>
            </w:pPr>
            <w:r>
              <w:t>行政运行</w:t>
            </w:r>
          </w:p>
        </w:tc>
        <w:tc>
          <w:tcPr>
            <w:tcW w:w="2551" w:type="dxa"/>
            <w:vAlign w:val="center"/>
          </w:tcPr>
          <w:p>
            <w:pPr>
              <w:pStyle w:val="11"/>
            </w:pPr>
            <w:r>
              <w:t>592.07</w:t>
            </w:r>
          </w:p>
        </w:tc>
        <w:tc>
          <w:tcPr>
            <w:tcW w:w="2551" w:type="dxa"/>
            <w:vAlign w:val="center"/>
          </w:tcPr>
          <w:p>
            <w:pPr>
              <w:pStyle w:val="11"/>
            </w:pPr>
            <w:r>
              <w:t>592.07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2010402</w:t>
            </w:r>
          </w:p>
        </w:tc>
        <w:tc>
          <w:tcPr>
            <w:tcW w:w="4535" w:type="dxa"/>
            <w:vAlign w:val="center"/>
          </w:tcPr>
          <w:p>
            <w:pPr>
              <w:pStyle w:val="12"/>
            </w:pPr>
            <w:r>
              <w:t>一般行政管理事务</w:t>
            </w:r>
          </w:p>
        </w:tc>
        <w:tc>
          <w:tcPr>
            <w:tcW w:w="2551" w:type="dxa"/>
            <w:vAlign w:val="center"/>
          </w:tcPr>
          <w:p>
            <w:pPr>
              <w:pStyle w:val="11"/>
            </w:pPr>
            <w:r>
              <w:t>21.28</w:t>
            </w:r>
          </w:p>
        </w:tc>
        <w:tc>
          <w:tcPr>
            <w:tcW w:w="2551" w:type="dxa"/>
            <w:vAlign w:val="center"/>
          </w:tcPr>
          <w:p>
            <w:pPr>
              <w:pStyle w:val="11"/>
            </w:pPr>
          </w:p>
        </w:tc>
        <w:tc>
          <w:tcPr>
            <w:tcW w:w="2551" w:type="dxa"/>
            <w:vAlign w:val="center"/>
          </w:tcPr>
          <w:p>
            <w:pPr>
              <w:pStyle w:val="11"/>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3000.00</w:t>
            </w:r>
          </w:p>
        </w:tc>
        <w:tc>
          <w:tcPr>
            <w:tcW w:w="2551" w:type="dxa"/>
            <w:vAlign w:val="center"/>
          </w:tcPr>
          <w:p>
            <w:pPr>
              <w:pStyle w:val="11"/>
            </w:pPr>
          </w:p>
        </w:tc>
        <w:tc>
          <w:tcPr>
            <w:tcW w:w="2551" w:type="dxa"/>
            <w:vAlign w:val="center"/>
          </w:tcPr>
          <w:p>
            <w:pPr>
              <w:pStyle w:val="11"/>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229.57</w:t>
            </w:r>
          </w:p>
        </w:tc>
        <w:tc>
          <w:tcPr>
            <w:tcW w:w="2551" w:type="dxa"/>
            <w:vAlign w:val="center"/>
          </w:tcPr>
          <w:p>
            <w:pPr>
              <w:pStyle w:val="11"/>
            </w:pPr>
            <w:r>
              <w:t>229.57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229.57</w:t>
            </w:r>
          </w:p>
        </w:tc>
        <w:tc>
          <w:tcPr>
            <w:tcW w:w="2551" w:type="dxa"/>
            <w:vAlign w:val="center"/>
          </w:tcPr>
          <w:p>
            <w:pPr>
              <w:pStyle w:val="11"/>
            </w:pPr>
            <w:r>
              <w:t>229.57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99.63</w:t>
            </w:r>
          </w:p>
        </w:tc>
        <w:tc>
          <w:tcPr>
            <w:tcW w:w="2551" w:type="dxa"/>
            <w:vAlign w:val="center"/>
          </w:tcPr>
          <w:p>
            <w:pPr>
              <w:pStyle w:val="11"/>
            </w:pPr>
            <w:r>
              <w:t>99.63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68.08</w:t>
            </w:r>
          </w:p>
        </w:tc>
        <w:tc>
          <w:tcPr>
            <w:tcW w:w="2551" w:type="dxa"/>
            <w:vAlign w:val="center"/>
          </w:tcPr>
          <w:p>
            <w:pPr>
              <w:pStyle w:val="11"/>
            </w:pPr>
            <w:r>
              <w:t>68.08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61.85</w:t>
            </w:r>
          </w:p>
        </w:tc>
        <w:tc>
          <w:tcPr>
            <w:tcW w:w="2551" w:type="dxa"/>
            <w:vAlign w:val="center"/>
          </w:tcPr>
          <w:p>
            <w:pPr>
              <w:pStyle w:val="11"/>
            </w:pPr>
            <w:r>
              <w:t>61.85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6934.00</w:t>
            </w:r>
          </w:p>
        </w:tc>
        <w:tc>
          <w:tcPr>
            <w:tcW w:w="2551" w:type="dxa"/>
            <w:vAlign w:val="center"/>
          </w:tcPr>
          <w:p>
            <w:pPr>
              <w:pStyle w:val="11"/>
            </w:pPr>
          </w:p>
        </w:tc>
        <w:tc>
          <w:tcPr>
            <w:tcW w:w="2551" w:type="dxa"/>
            <w:vAlign w:val="center"/>
          </w:tcPr>
          <w:p>
            <w:pPr>
              <w:pStyle w:val="11"/>
            </w:pPr>
            <w:r>
              <w:t>6934.00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2130142</w:t>
            </w:r>
          </w:p>
        </w:tc>
        <w:tc>
          <w:tcPr>
            <w:tcW w:w="4535" w:type="dxa"/>
            <w:vAlign w:val="center"/>
          </w:tcPr>
          <w:p>
            <w:pPr>
              <w:pStyle w:val="12"/>
            </w:pPr>
            <w:r>
              <w:t>乡村道路建设</w:t>
            </w:r>
          </w:p>
        </w:tc>
        <w:tc>
          <w:tcPr>
            <w:tcW w:w="2551" w:type="dxa"/>
            <w:vAlign w:val="center"/>
          </w:tcPr>
          <w:p>
            <w:pPr>
              <w:pStyle w:val="11"/>
            </w:pPr>
            <w:r>
              <w:t>26.48</w:t>
            </w:r>
          </w:p>
        </w:tc>
        <w:tc>
          <w:tcPr>
            <w:tcW w:w="2551" w:type="dxa"/>
            <w:vAlign w:val="center"/>
          </w:tcPr>
          <w:p>
            <w:pPr>
              <w:pStyle w:val="11"/>
            </w:pPr>
          </w:p>
        </w:tc>
        <w:tc>
          <w:tcPr>
            <w:tcW w:w="2551" w:type="dxa"/>
            <w:vAlign w:val="center"/>
          </w:tcPr>
          <w:p>
            <w:pPr>
              <w:pStyle w:val="11"/>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222</w:t>
            </w:r>
          </w:p>
        </w:tc>
        <w:tc>
          <w:tcPr>
            <w:tcW w:w="4535" w:type="dxa"/>
            <w:vAlign w:val="center"/>
          </w:tcPr>
          <w:p>
            <w:pPr>
              <w:pStyle w:val="12"/>
            </w:pPr>
            <w:r>
              <w:t>粮油物资储备支出</w:t>
            </w:r>
          </w:p>
        </w:tc>
        <w:tc>
          <w:tcPr>
            <w:tcW w:w="2551" w:type="dxa"/>
            <w:vAlign w:val="center"/>
          </w:tcPr>
          <w:p>
            <w:pPr>
              <w:pStyle w:val="11"/>
            </w:pPr>
            <w:r>
              <w:t>39.31</w:t>
            </w:r>
          </w:p>
        </w:tc>
        <w:tc>
          <w:tcPr>
            <w:tcW w:w="2551" w:type="dxa"/>
            <w:vAlign w:val="center"/>
          </w:tcPr>
          <w:p>
            <w:pPr>
              <w:pStyle w:val="11"/>
            </w:pPr>
          </w:p>
        </w:tc>
        <w:tc>
          <w:tcPr>
            <w:tcW w:w="2551" w:type="dxa"/>
            <w:vAlign w:val="center"/>
          </w:tcPr>
          <w:p>
            <w:pPr>
              <w:pStyle w:val="11"/>
            </w:pPr>
            <w:r>
              <w:t>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22201</w:t>
            </w:r>
          </w:p>
        </w:tc>
        <w:tc>
          <w:tcPr>
            <w:tcW w:w="4535" w:type="dxa"/>
            <w:vAlign w:val="center"/>
          </w:tcPr>
          <w:p>
            <w:pPr>
              <w:pStyle w:val="12"/>
            </w:pPr>
            <w:r>
              <w:t>粮油物资事务</w:t>
            </w:r>
          </w:p>
        </w:tc>
        <w:tc>
          <w:tcPr>
            <w:tcW w:w="2551" w:type="dxa"/>
            <w:vAlign w:val="center"/>
          </w:tcPr>
          <w:p>
            <w:pPr>
              <w:pStyle w:val="11"/>
            </w:pPr>
            <w:r>
              <w:t>22.30</w:t>
            </w:r>
          </w:p>
        </w:tc>
        <w:tc>
          <w:tcPr>
            <w:tcW w:w="2551" w:type="dxa"/>
            <w:vAlign w:val="center"/>
          </w:tcPr>
          <w:p>
            <w:pPr>
              <w:pStyle w:val="11"/>
            </w:pPr>
          </w:p>
        </w:tc>
        <w:tc>
          <w:tcPr>
            <w:tcW w:w="2551" w:type="dxa"/>
            <w:vAlign w:val="center"/>
          </w:tcPr>
          <w:p>
            <w:pPr>
              <w:pStyle w:val="11"/>
            </w:pPr>
            <w:r>
              <w:t>22.30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2220102</w:t>
            </w:r>
          </w:p>
        </w:tc>
        <w:tc>
          <w:tcPr>
            <w:tcW w:w="4535" w:type="dxa"/>
            <w:vAlign w:val="center"/>
          </w:tcPr>
          <w:p>
            <w:pPr>
              <w:pStyle w:val="12"/>
            </w:pPr>
            <w:r>
              <w:t>一般行政管理事务</w:t>
            </w:r>
          </w:p>
        </w:tc>
        <w:tc>
          <w:tcPr>
            <w:tcW w:w="2551" w:type="dxa"/>
            <w:vAlign w:val="center"/>
          </w:tcPr>
          <w:p>
            <w:pPr>
              <w:pStyle w:val="11"/>
            </w:pPr>
            <w:r>
              <w:t>5.30</w:t>
            </w:r>
          </w:p>
        </w:tc>
        <w:tc>
          <w:tcPr>
            <w:tcW w:w="2551" w:type="dxa"/>
            <w:vAlign w:val="center"/>
          </w:tcPr>
          <w:p>
            <w:pPr>
              <w:pStyle w:val="11"/>
            </w:pPr>
          </w:p>
        </w:tc>
        <w:tc>
          <w:tcPr>
            <w:tcW w:w="2551" w:type="dxa"/>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2220106</w:t>
            </w:r>
          </w:p>
        </w:tc>
        <w:tc>
          <w:tcPr>
            <w:tcW w:w="4535" w:type="dxa"/>
            <w:vAlign w:val="center"/>
          </w:tcPr>
          <w:p>
            <w:pPr>
              <w:pStyle w:val="12"/>
            </w:pPr>
            <w:r>
              <w:t>专项业务活动</w:t>
            </w:r>
          </w:p>
        </w:tc>
        <w:tc>
          <w:tcPr>
            <w:tcW w:w="2551" w:type="dxa"/>
            <w:vAlign w:val="center"/>
          </w:tcPr>
          <w:p>
            <w:pPr>
              <w:pStyle w:val="11"/>
            </w:pPr>
            <w:r>
              <w:t>17.00</w:t>
            </w:r>
          </w:p>
        </w:tc>
        <w:tc>
          <w:tcPr>
            <w:tcW w:w="2551" w:type="dxa"/>
            <w:vAlign w:val="center"/>
          </w:tcPr>
          <w:p>
            <w:pPr>
              <w:pStyle w:val="11"/>
            </w:pPr>
          </w:p>
        </w:tc>
        <w:tc>
          <w:tcPr>
            <w:tcW w:w="2551"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22204</w:t>
            </w:r>
          </w:p>
        </w:tc>
        <w:tc>
          <w:tcPr>
            <w:tcW w:w="4535" w:type="dxa"/>
            <w:vAlign w:val="center"/>
          </w:tcPr>
          <w:p>
            <w:pPr>
              <w:pStyle w:val="12"/>
            </w:pPr>
            <w:r>
              <w:t>粮油储备</w:t>
            </w:r>
          </w:p>
        </w:tc>
        <w:tc>
          <w:tcPr>
            <w:tcW w:w="2551" w:type="dxa"/>
            <w:vAlign w:val="center"/>
          </w:tcPr>
          <w:p>
            <w:pPr>
              <w:pStyle w:val="11"/>
            </w:pPr>
            <w:r>
              <w:t>11.99</w:t>
            </w:r>
          </w:p>
        </w:tc>
        <w:tc>
          <w:tcPr>
            <w:tcW w:w="2551" w:type="dxa"/>
            <w:vAlign w:val="center"/>
          </w:tcPr>
          <w:p>
            <w:pPr>
              <w:pStyle w:val="11"/>
            </w:pPr>
          </w:p>
        </w:tc>
        <w:tc>
          <w:tcPr>
            <w:tcW w:w="2551" w:type="dxa"/>
            <w:vAlign w:val="center"/>
          </w:tcPr>
          <w:p>
            <w:pPr>
              <w:pStyle w:val="11"/>
            </w:pPr>
            <w:r>
              <w:t>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2220401</w:t>
            </w:r>
          </w:p>
        </w:tc>
        <w:tc>
          <w:tcPr>
            <w:tcW w:w="4535" w:type="dxa"/>
            <w:vAlign w:val="center"/>
          </w:tcPr>
          <w:p>
            <w:pPr>
              <w:pStyle w:val="12"/>
            </w:pPr>
            <w:r>
              <w:t>储备粮油补贴</w:t>
            </w:r>
          </w:p>
        </w:tc>
        <w:tc>
          <w:tcPr>
            <w:tcW w:w="2551" w:type="dxa"/>
            <w:vAlign w:val="center"/>
          </w:tcPr>
          <w:p>
            <w:pPr>
              <w:pStyle w:val="11"/>
            </w:pPr>
            <w:r>
              <w:t>11.99</w:t>
            </w:r>
          </w:p>
        </w:tc>
        <w:tc>
          <w:tcPr>
            <w:tcW w:w="2551" w:type="dxa"/>
            <w:vAlign w:val="center"/>
          </w:tcPr>
          <w:p>
            <w:pPr>
              <w:pStyle w:val="11"/>
            </w:pPr>
          </w:p>
        </w:tc>
        <w:tc>
          <w:tcPr>
            <w:tcW w:w="2551" w:type="dxa"/>
            <w:vAlign w:val="center"/>
          </w:tcPr>
          <w:p>
            <w:pPr>
              <w:pStyle w:val="11"/>
            </w:pPr>
            <w:r>
              <w:t>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22205</w:t>
            </w:r>
          </w:p>
        </w:tc>
        <w:tc>
          <w:tcPr>
            <w:tcW w:w="4535" w:type="dxa"/>
            <w:vAlign w:val="center"/>
          </w:tcPr>
          <w:p>
            <w:pPr>
              <w:pStyle w:val="12"/>
            </w:pPr>
            <w:r>
              <w:t>重要商品储备</w:t>
            </w:r>
          </w:p>
        </w:tc>
        <w:tc>
          <w:tcPr>
            <w:tcW w:w="2551" w:type="dxa"/>
            <w:vAlign w:val="center"/>
          </w:tcPr>
          <w:p>
            <w:pPr>
              <w:pStyle w:val="11"/>
            </w:pPr>
            <w:r>
              <w:t>5.02</w:t>
            </w:r>
          </w:p>
        </w:tc>
        <w:tc>
          <w:tcPr>
            <w:tcW w:w="2551" w:type="dxa"/>
            <w:vAlign w:val="center"/>
          </w:tcPr>
          <w:p>
            <w:pPr>
              <w:pStyle w:val="11"/>
            </w:pPr>
          </w:p>
        </w:tc>
        <w:tc>
          <w:tcPr>
            <w:tcW w:w="2551" w:type="dxa"/>
            <w:vAlign w:val="center"/>
          </w:tcPr>
          <w:p>
            <w:pPr>
              <w:pStyle w:val="11"/>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2220509</w:t>
            </w:r>
          </w:p>
        </w:tc>
        <w:tc>
          <w:tcPr>
            <w:tcW w:w="4535" w:type="dxa"/>
            <w:vAlign w:val="center"/>
          </w:tcPr>
          <w:p>
            <w:pPr>
              <w:pStyle w:val="12"/>
            </w:pPr>
            <w:r>
              <w:t>食盐储备</w:t>
            </w:r>
          </w:p>
        </w:tc>
        <w:tc>
          <w:tcPr>
            <w:tcW w:w="2551" w:type="dxa"/>
            <w:vAlign w:val="center"/>
          </w:tcPr>
          <w:p>
            <w:pPr>
              <w:pStyle w:val="11"/>
            </w:pPr>
            <w:r>
              <w:t>5.02</w:t>
            </w:r>
          </w:p>
        </w:tc>
        <w:tc>
          <w:tcPr>
            <w:tcW w:w="2551" w:type="dxa"/>
            <w:vAlign w:val="center"/>
          </w:tcPr>
          <w:p>
            <w:pPr>
              <w:pStyle w:val="11"/>
            </w:pPr>
          </w:p>
        </w:tc>
        <w:tc>
          <w:tcPr>
            <w:tcW w:w="2551" w:type="dxa"/>
            <w:vAlign w:val="center"/>
          </w:tcPr>
          <w:p>
            <w:pPr>
              <w:pStyle w:val="11"/>
            </w:pPr>
            <w:r>
              <w:t>5.02</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894.29</w:t>
            </w:r>
          </w:p>
        </w:tc>
        <w:tc>
          <w:tcPr>
            <w:tcW w:w="2551" w:type="dxa"/>
            <w:vAlign w:val="center"/>
          </w:tcPr>
          <w:p>
            <w:pPr>
              <w:pStyle w:val="15"/>
            </w:pPr>
            <w:r>
              <w:t>845.67</w:t>
            </w:r>
          </w:p>
        </w:tc>
        <w:tc>
          <w:tcPr>
            <w:tcW w:w="2551" w:type="dxa"/>
            <w:vAlign w:val="center"/>
          </w:tcPr>
          <w:p>
            <w:pPr>
              <w:pStyle w:val="15"/>
            </w:pPr>
            <w:r>
              <w:t>48.62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699.70</w:t>
            </w:r>
          </w:p>
        </w:tc>
        <w:tc>
          <w:tcPr>
            <w:tcW w:w="2551" w:type="dxa"/>
            <w:vAlign w:val="center"/>
          </w:tcPr>
          <w:p>
            <w:pPr>
              <w:pStyle w:val="11"/>
            </w:pPr>
            <w:r>
              <w:t>699.70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212.61</w:t>
            </w:r>
          </w:p>
        </w:tc>
        <w:tc>
          <w:tcPr>
            <w:tcW w:w="2551" w:type="dxa"/>
            <w:vAlign w:val="center"/>
          </w:tcPr>
          <w:p>
            <w:pPr>
              <w:pStyle w:val="11"/>
            </w:pPr>
            <w:r>
              <w:t>212.61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83.60</w:t>
            </w:r>
          </w:p>
        </w:tc>
        <w:tc>
          <w:tcPr>
            <w:tcW w:w="2551" w:type="dxa"/>
            <w:vAlign w:val="center"/>
          </w:tcPr>
          <w:p>
            <w:pPr>
              <w:pStyle w:val="11"/>
            </w:pPr>
            <w:r>
              <w:t>83.60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35.65</w:t>
            </w:r>
          </w:p>
        </w:tc>
        <w:tc>
          <w:tcPr>
            <w:tcW w:w="2551" w:type="dxa"/>
            <w:vAlign w:val="center"/>
          </w:tcPr>
          <w:p>
            <w:pPr>
              <w:pStyle w:val="11"/>
            </w:pPr>
            <w:r>
              <w:t>35.65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133.17</w:t>
            </w:r>
          </w:p>
        </w:tc>
        <w:tc>
          <w:tcPr>
            <w:tcW w:w="2551" w:type="dxa"/>
            <w:vAlign w:val="center"/>
          </w:tcPr>
          <w:p>
            <w:pPr>
              <w:pStyle w:val="11"/>
            </w:pPr>
            <w:r>
              <w:t>133.17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68.08</w:t>
            </w:r>
          </w:p>
        </w:tc>
        <w:tc>
          <w:tcPr>
            <w:tcW w:w="2551" w:type="dxa"/>
            <w:vAlign w:val="center"/>
          </w:tcPr>
          <w:p>
            <w:pPr>
              <w:pStyle w:val="11"/>
            </w:pPr>
            <w:r>
              <w:t>68.08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61.85</w:t>
            </w:r>
          </w:p>
        </w:tc>
        <w:tc>
          <w:tcPr>
            <w:tcW w:w="2551" w:type="dxa"/>
            <w:vAlign w:val="center"/>
          </w:tcPr>
          <w:p>
            <w:pPr>
              <w:pStyle w:val="11"/>
            </w:pPr>
            <w:r>
              <w:t>61.85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27.92</w:t>
            </w:r>
          </w:p>
        </w:tc>
        <w:tc>
          <w:tcPr>
            <w:tcW w:w="2551" w:type="dxa"/>
            <w:vAlign w:val="center"/>
          </w:tcPr>
          <w:p>
            <w:pPr>
              <w:pStyle w:val="11"/>
            </w:pPr>
            <w:r>
              <w:t>27.92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44.73</w:t>
            </w:r>
          </w:p>
        </w:tc>
        <w:tc>
          <w:tcPr>
            <w:tcW w:w="2551" w:type="dxa"/>
            <w:vAlign w:val="center"/>
          </w:tcPr>
          <w:p>
            <w:pPr>
              <w:pStyle w:val="11"/>
            </w:pPr>
            <w:r>
              <w:t>44.73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29.65</w:t>
            </w:r>
          </w:p>
        </w:tc>
        <w:tc>
          <w:tcPr>
            <w:tcW w:w="2551" w:type="dxa"/>
            <w:vAlign w:val="center"/>
          </w:tcPr>
          <w:p>
            <w:pPr>
              <w:pStyle w:val="11"/>
            </w:pPr>
            <w:r>
              <w:t>29.65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48.62</w:t>
            </w:r>
          </w:p>
        </w:tc>
        <w:tc>
          <w:tcPr>
            <w:tcW w:w="2551" w:type="dxa"/>
            <w:vAlign w:val="center"/>
          </w:tcPr>
          <w:p>
            <w:pPr>
              <w:pStyle w:val="11"/>
            </w:pPr>
          </w:p>
        </w:tc>
        <w:tc>
          <w:tcPr>
            <w:tcW w:w="2551" w:type="dxa"/>
            <w:vAlign w:val="center"/>
          </w:tcPr>
          <w:p>
            <w:pPr>
              <w:pStyle w:val="11"/>
            </w:pPr>
            <w:r>
              <w:t>48.62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3.64</w:t>
            </w:r>
          </w:p>
        </w:tc>
        <w:tc>
          <w:tcPr>
            <w:tcW w:w="2551" w:type="dxa"/>
            <w:vAlign w:val="center"/>
          </w:tcPr>
          <w:p>
            <w:pPr>
              <w:pStyle w:val="11"/>
            </w:pPr>
          </w:p>
        </w:tc>
        <w:tc>
          <w:tcPr>
            <w:tcW w:w="2551" w:type="dxa"/>
            <w:vAlign w:val="center"/>
          </w:tcPr>
          <w:p>
            <w:pPr>
              <w:pStyle w:val="1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2.60</w:t>
            </w:r>
          </w:p>
        </w:tc>
        <w:tc>
          <w:tcPr>
            <w:tcW w:w="2551" w:type="dxa"/>
            <w:vAlign w:val="center"/>
          </w:tcPr>
          <w:p>
            <w:pPr>
              <w:pStyle w:val="11"/>
            </w:pPr>
          </w:p>
        </w:tc>
        <w:tc>
          <w:tcPr>
            <w:tcW w:w="2551" w:type="dxa"/>
            <w:vAlign w:val="center"/>
          </w:tcPr>
          <w:p>
            <w:pPr>
              <w:pStyle w:val="1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9.58</w:t>
            </w:r>
          </w:p>
        </w:tc>
        <w:tc>
          <w:tcPr>
            <w:tcW w:w="2551" w:type="dxa"/>
            <w:vAlign w:val="center"/>
          </w:tcPr>
          <w:p>
            <w:pPr>
              <w:pStyle w:val="11"/>
            </w:pPr>
          </w:p>
        </w:tc>
        <w:tc>
          <w:tcPr>
            <w:tcW w:w="2551" w:type="dxa"/>
            <w:vAlign w:val="center"/>
          </w:tcPr>
          <w:p>
            <w:pPr>
              <w:pStyle w:val="11"/>
            </w:pPr>
            <w:r>
              <w:t>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0.78</w:t>
            </w:r>
          </w:p>
        </w:tc>
        <w:tc>
          <w:tcPr>
            <w:tcW w:w="2551" w:type="dxa"/>
            <w:vAlign w:val="center"/>
          </w:tcPr>
          <w:p>
            <w:pPr>
              <w:pStyle w:val="11"/>
            </w:pPr>
          </w:p>
        </w:tc>
        <w:tc>
          <w:tcPr>
            <w:tcW w:w="2551"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0.99</w:t>
            </w:r>
          </w:p>
        </w:tc>
        <w:tc>
          <w:tcPr>
            <w:tcW w:w="2551" w:type="dxa"/>
            <w:vAlign w:val="center"/>
          </w:tcPr>
          <w:p>
            <w:pPr>
              <w:pStyle w:val="11"/>
            </w:pPr>
          </w:p>
        </w:tc>
        <w:tc>
          <w:tcPr>
            <w:tcW w:w="2551"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2.55</w:t>
            </w:r>
          </w:p>
        </w:tc>
        <w:tc>
          <w:tcPr>
            <w:tcW w:w="2551" w:type="dxa"/>
            <w:vAlign w:val="center"/>
          </w:tcPr>
          <w:p>
            <w:pPr>
              <w:pStyle w:val="11"/>
            </w:pPr>
          </w:p>
        </w:tc>
        <w:tc>
          <w:tcPr>
            <w:tcW w:w="2551" w:type="dxa"/>
            <w:vAlign w:val="center"/>
          </w:tcPr>
          <w:p>
            <w:pPr>
              <w:pStyle w:val="11"/>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2.13</w:t>
            </w:r>
          </w:p>
        </w:tc>
        <w:tc>
          <w:tcPr>
            <w:tcW w:w="2551" w:type="dxa"/>
            <w:vAlign w:val="center"/>
          </w:tcPr>
          <w:p>
            <w:pPr>
              <w:pStyle w:val="11"/>
            </w:pPr>
          </w:p>
        </w:tc>
        <w:tc>
          <w:tcPr>
            <w:tcW w:w="2551" w:type="dxa"/>
            <w:vAlign w:val="center"/>
          </w:tcPr>
          <w:p>
            <w:pPr>
              <w:pStyle w:val="11"/>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13.02</w:t>
            </w:r>
          </w:p>
        </w:tc>
        <w:tc>
          <w:tcPr>
            <w:tcW w:w="2551" w:type="dxa"/>
            <w:vAlign w:val="center"/>
          </w:tcPr>
          <w:p>
            <w:pPr>
              <w:pStyle w:val="11"/>
            </w:pPr>
          </w:p>
        </w:tc>
        <w:tc>
          <w:tcPr>
            <w:tcW w:w="2551" w:type="dxa"/>
            <w:vAlign w:val="center"/>
          </w:tcPr>
          <w:p>
            <w:pPr>
              <w:pStyle w:val="11"/>
            </w:pPr>
            <w:r>
              <w:t>13.02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1.56</w:t>
            </w:r>
          </w:p>
        </w:tc>
        <w:tc>
          <w:tcPr>
            <w:tcW w:w="2551" w:type="dxa"/>
            <w:vAlign w:val="center"/>
          </w:tcPr>
          <w:p>
            <w:pPr>
              <w:pStyle w:val="11"/>
            </w:pPr>
          </w:p>
        </w:tc>
        <w:tc>
          <w:tcPr>
            <w:tcW w:w="2551" w:type="dxa"/>
            <w:vAlign w:val="center"/>
          </w:tcPr>
          <w:p>
            <w:pPr>
              <w:pStyle w:val="11"/>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145.96</w:t>
            </w:r>
          </w:p>
        </w:tc>
        <w:tc>
          <w:tcPr>
            <w:tcW w:w="2551" w:type="dxa"/>
            <w:vAlign w:val="center"/>
          </w:tcPr>
          <w:p>
            <w:pPr>
              <w:pStyle w:val="11"/>
            </w:pPr>
            <w:r>
              <w:t>145.96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98.07</w:t>
            </w:r>
          </w:p>
        </w:tc>
        <w:tc>
          <w:tcPr>
            <w:tcW w:w="2551" w:type="dxa"/>
            <w:vAlign w:val="center"/>
          </w:tcPr>
          <w:p>
            <w:pPr>
              <w:pStyle w:val="11"/>
            </w:pPr>
            <w:r>
              <w:t>98.07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3.20</w:t>
            </w:r>
          </w:p>
        </w:tc>
        <w:tc>
          <w:tcPr>
            <w:tcW w:w="2551" w:type="dxa"/>
            <w:vAlign w:val="center"/>
          </w:tcPr>
          <w:p>
            <w:pPr>
              <w:pStyle w:val="11"/>
            </w:pPr>
            <w:r>
              <w:t>3.20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44.69</w:t>
            </w:r>
          </w:p>
        </w:tc>
        <w:tc>
          <w:tcPr>
            <w:tcW w:w="2551" w:type="dxa"/>
            <w:vAlign w:val="center"/>
          </w:tcPr>
          <w:p>
            <w:pPr>
              <w:pStyle w:val="11"/>
            </w:pPr>
            <w:r>
              <w:t>44.69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3089.93</w:t>
            </w:r>
          </w:p>
        </w:tc>
        <w:tc>
          <w:tcPr>
            <w:tcW w:w="2551" w:type="dxa"/>
            <w:vAlign w:val="center"/>
          </w:tcPr>
          <w:p>
            <w:pPr>
              <w:pStyle w:val="15"/>
            </w:pPr>
          </w:p>
        </w:tc>
        <w:tc>
          <w:tcPr>
            <w:tcW w:w="2551" w:type="dxa"/>
            <w:vAlign w:val="center"/>
          </w:tcPr>
          <w:p>
            <w:pPr>
              <w:pStyle w:val="15"/>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22904</w:t>
            </w:r>
          </w:p>
        </w:tc>
        <w:tc>
          <w:tcPr>
            <w:tcW w:w="4535" w:type="dxa"/>
            <w:vAlign w:val="center"/>
          </w:tcPr>
          <w:p>
            <w:pPr>
              <w:pStyle w:val="12"/>
            </w:pPr>
            <w:r>
              <w:t>其他政府性基金及对应专项债务收入安排的支出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2290402</w:t>
            </w:r>
          </w:p>
        </w:tc>
        <w:tc>
          <w:tcPr>
            <w:tcW w:w="4535" w:type="dxa"/>
            <w:vAlign w:val="center"/>
          </w:tcPr>
          <w:p>
            <w:pPr>
              <w:pStyle w:val="12"/>
            </w:pPr>
            <w:r>
              <w:t>其他地方自行试点项目收益专项债券收入安排的支出</w:t>
            </w:r>
          </w:p>
        </w:tc>
        <w:tc>
          <w:tcPr>
            <w:tcW w:w="2551" w:type="dxa"/>
            <w:vAlign w:val="center"/>
          </w:tcPr>
          <w:p>
            <w:pPr>
              <w:pStyle w:val="11"/>
            </w:pPr>
            <w:r>
              <w:t>3089.93</w:t>
            </w:r>
          </w:p>
        </w:tc>
        <w:tc>
          <w:tcPr>
            <w:tcW w:w="2551" w:type="dxa"/>
            <w:vAlign w:val="center"/>
          </w:tcPr>
          <w:p>
            <w:pPr>
              <w:pStyle w:val="11"/>
            </w:pPr>
          </w:p>
        </w:tc>
        <w:tc>
          <w:tcPr>
            <w:tcW w:w="2551" w:type="dxa"/>
            <w:vAlign w:val="center"/>
          </w:tcPr>
          <w:p>
            <w:pPr>
              <w:pStyle w:val="11"/>
            </w:pPr>
            <w:r>
              <w:t>3089.93</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303保定市满城区发展和改革局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区发展和</w:t>
      </w:r>
    </w:p>
    <w:tbl>
      <w:tblPr>
        <w:tblStyle w:val="4"/>
        <w:tblpPr w:leftFromText="180" w:rightFromText="180" w:vertAnchor="text" w:horzAnchor="margin" w:tblpXSpec="center" w:tblpY="421"/>
        <w:tblOverlap w:val="never"/>
        <w:tblW w:w="11416"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69"/>
        <w:gridCol w:w="3103"/>
        <w:gridCol w:w="646"/>
        <w:gridCol w:w="2283"/>
        <w:gridCol w:w="2072"/>
        <w:gridCol w:w="274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4276"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15" w:lineRule="atLeas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 xml:space="preserve">303 </w:t>
            </w:r>
            <w:r>
              <w:t>保定市满城区发展和改革局</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预算年度：2024</w:t>
            </w:r>
          </w:p>
        </w:tc>
        <w:tc>
          <w:tcPr>
            <w:tcW w:w="4845"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序号</w:t>
            </w:r>
          </w:p>
        </w:tc>
        <w:tc>
          <w:tcPr>
            <w:tcW w:w="3120"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项 目</w:t>
            </w:r>
          </w:p>
        </w:tc>
        <w:tc>
          <w:tcPr>
            <w:tcW w:w="7725" w:type="dxa"/>
            <w:gridSpan w:val="4"/>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trPr>
        <w:tc>
          <w:tcPr>
            <w:tcW w:w="571"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合计</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 xml:space="preserve">一般公共预算 </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财政拨款</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政府性基金</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 xml:space="preserve"> 预算拨款</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 xml:space="preserve">国有资本经营 </w:t>
            </w:r>
            <w:r>
              <w:rPr>
                <w:rFonts w:hint="eastAsia" w:ascii="方正书宋_GBK" w:hAnsi="方正书宋_GBK" w:eastAsia="方正书宋_GBK" w:cs="方正书宋_GBK"/>
                <w:color w:val="000000"/>
                <w:sz w:val="21"/>
                <w:szCs w:val="21"/>
                <w:lang w:eastAsia="zh-CN"/>
              </w:rPr>
              <w:t xml:space="preserve">            </w:t>
            </w:r>
            <w:r>
              <w:rPr>
                <w:rFonts w:ascii="方正书宋_GBK" w:hAnsi="方正书宋_GBK" w:eastAsia="方正书宋_GBK" w:cs="方正书宋_GBK"/>
                <w:color w:val="000000"/>
                <w:sz w:val="21"/>
                <w:szCs w:val="21"/>
                <w:lang w:eastAsia="zh-CN"/>
              </w:rPr>
              <w:t>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栏次</w:t>
            </w:r>
          </w:p>
        </w:tc>
        <w:tc>
          <w:tcPr>
            <w:tcW w:w="312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1</w:t>
            </w: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2</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3</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4</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 xml:space="preserve">  1</w:t>
            </w:r>
            <w:r>
              <w:rPr>
                <w:rFonts w:ascii="方正书宋_GBK" w:hAnsi="方正书宋_GBK" w:eastAsia="方正书宋_GBK" w:cs="方正书宋_GBK"/>
                <w:color w:val="000000"/>
                <w:sz w:val="21"/>
                <w:szCs w:val="21"/>
                <w:lang w:eastAsia="zh-CN"/>
              </w:rPr>
              <w:t> </w:t>
            </w:r>
          </w:p>
        </w:tc>
        <w:tc>
          <w:tcPr>
            <w:tcW w:w="3120"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585"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6.9</w:t>
            </w:r>
            <w:r>
              <w:rPr>
                <w:rFonts w:hint="eastAsia" w:ascii="方正书宋_GBK" w:hAnsi="方正书宋_GBK" w:cs="方正书宋_GBK" w:eastAsiaTheme="minorEastAsia"/>
                <w:color w:val="000000"/>
                <w:sz w:val="21"/>
                <w:szCs w:val="21"/>
                <w:lang w:eastAsia="zh-CN"/>
              </w:rPr>
              <w:t>9</w:t>
            </w:r>
            <w:r>
              <w:rPr>
                <w:rFonts w:ascii="方正书宋_GBK" w:hAnsi="方正书宋_GBK" w:eastAsia="方正书宋_GBK" w:cs="方正书宋_GBK"/>
                <w:color w:val="000000"/>
                <w:sz w:val="21"/>
                <w:szCs w:val="21"/>
                <w:lang w:eastAsia="zh-CN"/>
              </w:rPr>
              <w:t> </w:t>
            </w:r>
          </w:p>
        </w:tc>
        <w:tc>
          <w:tcPr>
            <w:tcW w:w="229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hint="eastAsia" w:ascii="方正书宋_GBK" w:hAnsi="方正书宋_GBK" w:cs="方正书宋_GBK" w:eastAsiaTheme="minorEastAsia"/>
                <w:color w:val="000000"/>
                <w:sz w:val="21"/>
                <w:szCs w:val="21"/>
              </w:rPr>
            </w:pPr>
            <w:r>
              <w:rPr>
                <w:rFonts w:hint="eastAsia" w:ascii="方正书宋_GBK" w:hAnsi="方正书宋_GBK" w:eastAsia="方正书宋_GBK" w:cs="方正书宋_GBK"/>
                <w:color w:val="000000"/>
                <w:sz w:val="21"/>
                <w:szCs w:val="21"/>
                <w:lang w:eastAsia="zh-CN"/>
              </w:rPr>
              <w:t>6.9</w:t>
            </w:r>
            <w:r>
              <w:rPr>
                <w:rFonts w:hint="eastAsia" w:ascii="方正书宋_GBK" w:hAnsi="方正书宋_GBK" w:cs="方正书宋_GBK" w:eastAsiaTheme="minorEastAsia"/>
                <w:color w:val="000000"/>
                <w:sz w:val="21"/>
                <w:szCs w:val="21"/>
                <w:lang w:eastAsia="zh-CN"/>
              </w:rPr>
              <w:t>9</w:t>
            </w:r>
          </w:p>
        </w:tc>
        <w:tc>
          <w:tcPr>
            <w:tcW w:w="2085"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c>
          <w:tcPr>
            <w:tcW w:w="2760" w:type="dxa"/>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295" w:type="dxa"/>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0.00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3120" w:type="dxa"/>
            <w:vAlign w:val="center"/>
          </w:tcPr>
          <w:p>
            <w:pPr>
              <w:numPr>
                <w:ilvl w:val="0"/>
                <w:numId w:val="1"/>
              </w:num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295"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其中：公务用车购置费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295"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0.00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公务用车运行维护费</w:t>
            </w:r>
          </w:p>
        </w:tc>
        <w:tc>
          <w:tcPr>
            <w:tcW w:w="585" w:type="dxa"/>
          </w:tcPr>
          <w:p>
            <w:pPr>
              <w:spacing w:line="15" w:lineRule="atLeast"/>
              <w:jc w:val="righ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295" w:type="dxa"/>
            <w:vAlign w:val="center"/>
          </w:tcPr>
          <w:p>
            <w:pPr>
              <w:jc w:val="center"/>
              <w:rPr>
                <w:rFonts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6.00</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trPr>
        <w:tc>
          <w:tcPr>
            <w:tcW w:w="571" w:type="dxa"/>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3120"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585" w:type="dxa"/>
          </w:tcPr>
          <w:p>
            <w:pPr>
              <w:spacing w:line="15" w:lineRule="atLeast"/>
              <w:jc w:val="right"/>
              <w:rPr>
                <w:rFonts w:hint="eastAsia" w:ascii="方正书宋_GBK" w:hAnsi="方正书宋_GBK" w:cs="方正书宋_GBK" w:eastAsiaTheme="minorEastAsia"/>
                <w:color w:val="000000"/>
                <w:sz w:val="21"/>
                <w:szCs w:val="21"/>
                <w:lang w:eastAsia="zh-CN"/>
              </w:rPr>
            </w:pPr>
            <w:r>
              <w:rPr>
                <w:rFonts w:hint="eastAsia" w:ascii="方正书宋_GBK" w:hAnsi="方正书宋_GBK" w:eastAsia="方正书宋_GBK" w:cs="方正书宋_GBK"/>
                <w:color w:val="000000"/>
                <w:sz w:val="21"/>
                <w:szCs w:val="21"/>
                <w:lang w:eastAsia="zh-CN"/>
              </w:rPr>
              <w:t>0.</w:t>
            </w:r>
            <w:r>
              <w:rPr>
                <w:rFonts w:hint="eastAsia" w:ascii="方正书宋_GBK" w:hAnsi="方正书宋_GBK" w:cs="方正书宋_GBK" w:eastAsiaTheme="minorEastAsia"/>
                <w:color w:val="000000"/>
                <w:sz w:val="21"/>
                <w:szCs w:val="21"/>
                <w:lang w:eastAsia="zh-CN"/>
              </w:rPr>
              <w:t>99</w:t>
            </w:r>
          </w:p>
        </w:tc>
        <w:tc>
          <w:tcPr>
            <w:tcW w:w="2295" w:type="dxa"/>
          </w:tcPr>
          <w:p>
            <w:pPr>
              <w:spacing w:line="15" w:lineRule="atLeast"/>
              <w:jc w:val="center"/>
              <w:rPr>
                <w:rFonts w:hint="eastAsia" w:ascii="方正书宋_GBK" w:hAnsi="方正书宋_GBK" w:cs="方正书宋_GBK" w:eastAsiaTheme="minorEastAsia"/>
                <w:color w:val="000000"/>
                <w:sz w:val="21"/>
                <w:szCs w:val="21"/>
                <w:lang w:eastAsia="zh-CN"/>
              </w:rPr>
            </w:pPr>
            <w:r>
              <w:rPr>
                <w:rFonts w:hint="eastAsia" w:ascii="方正书宋_GBK" w:hAnsi="方正书宋_GBK" w:cs="方正书宋_GBK" w:eastAsiaTheme="minorEastAsia"/>
                <w:color w:val="000000"/>
                <w:sz w:val="21"/>
                <w:szCs w:val="21"/>
                <w:lang w:eastAsia="zh-CN"/>
              </w:rPr>
              <w:t>0.99</w:t>
            </w:r>
          </w:p>
        </w:tc>
        <w:tc>
          <w:tcPr>
            <w:tcW w:w="2085" w:type="dxa"/>
          </w:tcPr>
          <w:p>
            <w:pPr>
              <w:spacing w:line="15" w:lineRule="atLeast"/>
              <w:jc w:val="right"/>
              <w:rPr>
                <w:rFonts w:ascii="方正书宋_GBK" w:hAnsi="方正书宋_GBK" w:eastAsia="方正书宋_GBK" w:cs="方正书宋_GBK"/>
                <w:color w:val="000000"/>
                <w:sz w:val="21"/>
                <w:szCs w:val="21"/>
              </w:rPr>
            </w:pPr>
          </w:p>
        </w:tc>
        <w:tc>
          <w:tcPr>
            <w:tcW w:w="2760" w:type="dxa"/>
          </w:tcPr>
          <w:p>
            <w:pPr>
              <w:spacing w:line="15" w:lineRule="atLeast"/>
              <w:jc w:val="right"/>
              <w:rPr>
                <w:rFonts w:ascii="方正书宋_GBK" w:hAnsi="方正书宋_GBK" w:eastAsia="方正书宋_GBK" w:cs="方正书宋_GBK"/>
                <w:color w:val="000000"/>
                <w:sz w:val="21"/>
                <w:szCs w:val="21"/>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改革局2024年部门预算信息公开情况说明</w:t>
      </w:r>
    </w:p>
    <w:p>
      <w:pPr>
        <w:jc w:val="center"/>
      </w:pPr>
      <w:r>
        <w:rPr>
          <w:rFonts w:ascii="方正小标宋_GBK" w:hAnsi="方正小标宋_GBK" w:eastAsia="方正小标宋_GBK" w:cs="方正小标宋_GBK"/>
          <w:color w:val="000000"/>
          <w:sz w:val="44"/>
        </w:rPr>
        <w:t>保定市满城区发展和改革局2024年部门预算信息公开情况说明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按照《中华人民共和国预算法》、《地方预决算公开操作规程》和《关于进一步推进预算公开工作的实施意见》规定，现将保定市满城区发展和改革局2024年部门预算公开如下：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30"/>
      </w:pPr>
      <w:r>
        <w:t>根据中共保定市满城区委办公室、保定市满城区人民政府办公室关于印发《保定市满城区发展和改革局职能配置、内设机构和人员编制规定》的通知（满办字[2019]26号）、中共保定市满城区委机构编制委员会关于设立保定市满城区产业促进和项目建设服务中心的批复（满编字【2022】47号）、中共保定市满城区委机构编制委员会关于调整区组建保定市满城区国防动员办公室的通知（满编字【2022】53号）文件规定。现将我局部门主要职责说明如下：</w:t>
      </w:r>
    </w:p>
    <w:p>
      <w:pPr>
        <w:pStyle w:val="30"/>
      </w:pPr>
      <w:r>
        <w:t>（一）拟订并组织实施全区国民经济和社会发展战略、中长期规划和年度计划。牵头组织统一规划体系建设。负责区级专项规划、区域规划、空间规划与全区发展规划的统筹衔接。起草国民经济和社会发展、经济体制改革和对外开放的有关规定草案，制定规范性文件。</w:t>
      </w:r>
    </w:p>
    <w:p>
      <w:pPr>
        <w:pStyle w:val="30"/>
      </w:pPr>
      <w:r>
        <w:t>（二）提出加快建设全区现代化经济体系、推动高质量发展的总体目标、重大任务以及相关政策。组织开展重大战略规划、重大政策、重大工程等的评估督导，提出相关调整建议。</w:t>
      </w:r>
    </w:p>
    <w:p>
      <w:pPr>
        <w:pStyle w:val="30"/>
      </w:pPr>
      <w:r>
        <w:t>（三）贯彻落实国家宏观调控政策，统筹提出全区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制定由区级管理的重要商品、服务价格和重要收费标准。参与贯彻落实国家财政政策、货币政策和土地政策。</w:t>
      </w:r>
    </w:p>
    <w:p>
      <w:pPr>
        <w:pStyle w:val="30"/>
      </w:pPr>
      <w:r>
        <w:t>（四）指导推进和综合协调经济体制改革有关工作，提出相关改革建议。牵头推进供给侧结构性改革，协调推进产权制度和要素市场化配置改革。落实国家、省、市完善基本经济制度政策，推动现代化市场体系建设，会同有关部门组织实施市场准入负面清单制度。牵头推进优化营商环境工作。</w:t>
      </w:r>
    </w:p>
    <w:p>
      <w:pPr>
        <w:pStyle w:val="30"/>
      </w:pPr>
      <w:r>
        <w:t>（五）提出全区利用外资和境外投资的战略、规划、总量平衡和结构优化政策。牵头推进实施全区“一带一路”建设有关工作。承担统筹协调走出去有关工作，会同有关部门贯彻落实国家、省外商投资准入负面清单，负责全区全口径外债的总量控制、结构优化和监测工作。</w:t>
      </w:r>
    </w:p>
    <w:p>
      <w:pPr>
        <w:pStyle w:val="30"/>
      </w:pPr>
      <w:r>
        <w:t>（六）负责全区投资综合管理。拟订全区固定资产投资总规模、结构调控目标和政策，衔接平衡需要安排政府投资和涉及重大建设项目的专项规划；会同相关部门拟订政府投资项目审批权限和政府核准的固定资产投资项目目录。安排区级预算内基本建设资金和有关发展性专项资金，按规定权限审批、核准、审核项目。规划全区重点建设项目和生产力布局，组织推动重点建设项目。拟订并推动落实鼓励民间投资政策措施。</w:t>
      </w:r>
    </w:p>
    <w:p>
      <w:pPr>
        <w:pStyle w:val="30"/>
      </w:pPr>
      <w:r>
        <w:t>（七）推进落实区域协调发展战略、新型城镇化战略和重大政策，组织拟订相关区域规划和政策。推进实施京津冀协同发展等区域发展战略，组织实施老少边穷及其他特殊困难地区发展规划和政策，组织实施易地扶贫搬迁等。统筹协调区域合作和对口支援工作，组织编制并推动实施新型城镇化规划。</w:t>
      </w:r>
    </w:p>
    <w:p>
      <w:pPr>
        <w:pStyle w:val="30"/>
      </w:pPr>
      <w:r>
        <w:t>（八）组织贯彻实施国家、省、市产业政策，拟订全区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pStyle w:val="30"/>
      </w:pPr>
      <w:r>
        <w:t>（九）推动实施全区创新驱动发展战略。会同相关部门拟订全区推进创新创业的规划和政策，提出创新发展和培育经济发展新动能的政策。会同相关部门规划布局区级重大科技基础设施。组织拟订并推动实施高技术产业和战略性新兴产业及数字经济发展规划政策，协调产业升级、重大技术装备推广应用等方面的重大问题。</w:t>
      </w:r>
    </w:p>
    <w:p>
      <w:pPr>
        <w:pStyle w:val="30"/>
      </w:pPr>
      <w:r>
        <w:t>（十）跟踪研判涉及经济安全、生态安全、资源安全、科技安全、社会安全等各类风险隐患，提出相关工作建议。协调落实重要工业品、原材料和重要农产品进出口调控措施。会同有关部门拟订全区储备物资品种目录、总体发展规划。</w:t>
      </w:r>
    </w:p>
    <w:p>
      <w:pPr>
        <w:pStyle w:val="30"/>
      </w:pPr>
      <w:r>
        <w:t>（十一）负责全区社会发展与国民经济发展的政策衔接，协调有关重大问题。组织拟订社会发展战略、总体规划，统筹推进基本公共服务体系建设和收入分配制度改革，提出促进就业、完善社会保障与经济协调发展的政策建议。</w:t>
      </w:r>
    </w:p>
    <w:p>
      <w:pPr>
        <w:pStyle w:val="30"/>
      </w:pPr>
      <w:r>
        <w:t>（十二）推进实施可持续发展战略，推动生态文明建设和改革，协调生态环境保护与修复、能源资源节约和综合利用等工作。提出健全生态保护补偿机制的政策措施，综合协调环保产业和清洁生产促进有关工作。提出全区能源消费控制目标任务并组织实施。</w:t>
      </w:r>
    </w:p>
    <w:p>
      <w:pPr>
        <w:pStyle w:val="30"/>
      </w:pPr>
      <w:r>
        <w:t>（十三）组织拟订推进全区经济建设与国防建设协调发展的战略和规划，组织推进经济建设项目贯彻国防要求。</w:t>
      </w:r>
    </w:p>
    <w:p>
      <w:pPr>
        <w:pStyle w:val="30"/>
      </w:pPr>
      <w:r>
        <w:t>（十四）提出能源发展战略的建议，拟订能源发展规划、产业政策和年度指导计划并组织实施。起草有关能源行业的区域内规定。推进能源体制改革。拟定有关改革方案并组织实施。协调能源发展和改革中的重大问题。组织实施煤炭、石油、天然气、电力（核电）、新能源和可再生能源等能源，以及炼油、煤制燃料和生物质液体等燃料的产业政策和相关标准。按规定权限，负责审批、核准和审核规划内和年度计划规模内能源固定资产投资项目。指导协调农村能源发展工作。组织推进能源重大设备研发。指导能源科技进步、成套设备的引进消化创新，组织协调相关示范工程和推广应用新产品、新技术、新设备。负责区域内核电管理。负责能源行业节能和资源综合利用。参与研究能源消费总量控制目标建议，指导、监督能源消费总量控制有关工作，衔接能源生产建设和供需平衡。负责能源预测预警。发布能源信息，参与能源运行调节和应急保障。规范能源市场秩序。监管油气管网设施的公平开放，参与电力市场的监管。参与组织推进能源国际合作。参与制定与能源相关的资源、财税、环保及应对气</w:t>
      </w:r>
      <w:r>
        <w:rPr>
          <w:rFonts w:hint="eastAsia"/>
          <w:lang w:val="en-US" w:eastAsia="zh-CN"/>
        </w:rPr>
        <w:t>候</w:t>
      </w:r>
      <w:r>
        <w:t>变化等政策，提出能源价格调整建议。</w:t>
      </w:r>
    </w:p>
    <w:p>
      <w:pPr>
        <w:pStyle w:val="30"/>
      </w:pPr>
      <w:r>
        <w:t>（十五）研究制定我区参与京津冀协同发展的相关政策及规划，争取国家、省、市相关政策、资金、项目支持，协调解决在推进协同发展中存在的问题。</w:t>
      </w:r>
    </w:p>
    <w:p>
      <w:pPr>
        <w:pStyle w:val="30"/>
      </w:pPr>
      <w:r>
        <w:t>（十六）组织落实国家、省、市、区有关粮食流通和物资储备的法律、法规和政策；拟订全区粮食流通、区级粮食储备和物资储备的政策和规章制度并组织实施；指导全区粮食流通和物资储备体制改革。</w:t>
      </w:r>
    </w:p>
    <w:p>
      <w:pPr>
        <w:pStyle w:val="30"/>
      </w:pPr>
      <w:r>
        <w:t>（十七）落实国家粮食行业发展规划和政策，制定全区粮食行业发展规划并组织实施；承担全区粮食流通宏观调控，落实国家粮食购销政策，负责粮食、食糖、食盐等物资管理工作，监测区内粮食、食糖、食盐等物资供求变化并预测预警。承担粮食安全责任制考核日常工作。</w:t>
      </w:r>
    </w:p>
    <w:p>
      <w:pPr>
        <w:pStyle w:val="30"/>
      </w:pPr>
      <w:r>
        <w:t>（十八）研究提出区级粮食和物资储备规划、储备品种目录建议，组织实施区级粮食、食糖、食盐和救灾物资等物资的收储、轮换和日常管理，落实有关动用计划和指令。指导乡（镇）和有关部门粮食和物资储备工作。</w:t>
      </w:r>
    </w:p>
    <w:p>
      <w:pPr>
        <w:pStyle w:val="30"/>
      </w:pPr>
      <w:r>
        <w:t>（十九）负责贯彻落实国家粮食和物资储备仓储管理有关技术标准和规范。负责粮食流通、加工行业安全生产的监督管理，承担区级粮食、食糖、食盐和救灾物资等物资承储企业以及物资储备承储单位安全生产的监管责任。</w:t>
      </w:r>
    </w:p>
    <w:p>
      <w:pPr>
        <w:pStyle w:val="30"/>
      </w:pPr>
      <w:r>
        <w:t>（二十）负责区级粮食、食糖、食盐和救灾物资等物资储备基础设施建设和管理。拟订粮食流通设施建设规划并组织实施，管理有关储备基础设施和粮食流通设施投资项目。</w:t>
      </w:r>
    </w:p>
    <w:p>
      <w:pPr>
        <w:pStyle w:val="30"/>
      </w:pPr>
      <w:r>
        <w:t>（二十一）负责对区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区粮食库存检查工作。</w:t>
      </w:r>
    </w:p>
    <w:p>
      <w:pPr>
        <w:pStyle w:val="30"/>
      </w:pPr>
      <w:r>
        <w:t>（二十二）贯彻国家粮食流通和物资储备有关标准、粮食质量标准和有关技术规范并监督执行。开展全区粮食和物资储备的对外合作与交流。</w:t>
      </w:r>
    </w:p>
    <w:p>
      <w:pPr>
        <w:pStyle w:val="30"/>
      </w:pPr>
      <w:r>
        <w:t>（二十三）承担国防动员工作综合协调、建设规划、督导落实，以及人民防空建设管理和组织实施等职责，牵头承办国防动员建设管理和组织实施涉及各部门之间的协调落实工作，负责涉及军事设施保护的有关工作。</w:t>
      </w:r>
    </w:p>
    <w:p>
      <w:pPr>
        <w:pStyle w:val="30"/>
      </w:pPr>
      <w:r>
        <w:t>（二十四）承担区委财经委员会办公室日常工作。</w:t>
      </w:r>
    </w:p>
    <w:p>
      <w:pPr>
        <w:pStyle w:val="30"/>
      </w:pPr>
      <w:r>
        <w:t>（二十五）承办区委、区政府交办的其他事项。</w:t>
      </w:r>
    </w:p>
    <w:p>
      <w:pPr>
        <w:pStyle w:val="30"/>
      </w:pPr>
      <w:r>
        <w:t>（二十六）接受纪检监察机关、司法机关、行政执法机关、人民政府各部门和仲裁机构的委托，对刑事、民事、行政、经济案件中涉及的各类涉嫌刑事价格认定、涉嫌违纪价格认定、涉及税收的标的进行价格确认，以及调处价格矛盾。还包括行政诉讼案件、行政处罚案件、行政征收案件、行政征用案件、行政执法活动、国家赔偿事项、国家补偿事项以及法律、法规规定的其他事项。</w:t>
      </w:r>
    </w:p>
    <w:p>
      <w:pPr>
        <w:pStyle w:val="30"/>
      </w:pPr>
      <w:r>
        <w:t>（二十七）负责产业发展促进、产业规划研究、重点项目建设管理、企业项目协调服务和推进京津冀协同发展，统一开展全区产业促进和项目建设工作。</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bookmarkStart w:id="10" w:name="_Toc_3_3_0000000011"/>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保定市满城区发展和改革局</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rPr>
                <w:lang w:eastAsia="zh-CN"/>
              </w:rPr>
            </w:pPr>
            <w:r>
              <w:t>保定市满城区发展和改革局</w:t>
            </w:r>
            <w:r>
              <w:rPr>
                <w:rFonts w:hint="eastAsia"/>
                <w:lang w:eastAsia="zh-CN"/>
              </w:rPr>
              <w:t>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部门预算的编制实行综合预算管理，即全部收入和支出都反映在预算中。保定市满城区发展和改革局机关及所属事业单位的收支包含在部门预算中。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Theme="minorEastAsia"/>
          <w:color w:val="000000"/>
          <w:sz w:val="28"/>
          <w:lang w:eastAsia="zh-CN"/>
        </w:rPr>
        <w:t>4</w:t>
      </w:r>
      <w:r>
        <w:rPr>
          <w:rFonts w:hint="eastAsia" w:eastAsia="方正仿宋_GBK"/>
          <w:color w:val="000000"/>
          <w:sz w:val="28"/>
        </w:rPr>
        <w:t>年我</w:t>
      </w:r>
      <w:r>
        <w:rPr>
          <w:rFonts w:hint="eastAsia" w:eastAsia="方正仿宋_GBK"/>
          <w:color w:val="000000"/>
          <w:sz w:val="28"/>
          <w:lang w:eastAsia="zh-CN"/>
        </w:rPr>
        <w:t>局</w:t>
      </w:r>
      <w:r>
        <w:rPr>
          <w:rFonts w:hint="eastAsia" w:eastAsia="方正仿宋_GBK"/>
          <w:color w:val="000000"/>
          <w:sz w:val="28"/>
        </w:rPr>
        <w:t>年初部门收入预算总额为</w:t>
      </w:r>
      <w:r>
        <w:rPr>
          <w:rFonts w:hint="eastAsia" w:eastAsiaTheme="minorEastAsia"/>
          <w:color w:val="000000"/>
          <w:sz w:val="28"/>
          <w:lang w:eastAsia="zh-CN"/>
        </w:rPr>
        <w:t>14005.29</w:t>
      </w:r>
      <w:r>
        <w:rPr>
          <w:rFonts w:hint="eastAsia" w:eastAsia="方正仿宋_GBK"/>
          <w:color w:val="000000"/>
          <w:sz w:val="28"/>
        </w:rPr>
        <w:t>万元,其中：一般公共预算收入</w:t>
      </w:r>
      <w:r>
        <w:rPr>
          <w:rFonts w:hint="eastAsia" w:eastAsiaTheme="minorEastAsia"/>
          <w:color w:val="000000"/>
          <w:sz w:val="28"/>
          <w:lang w:eastAsia="zh-CN"/>
        </w:rPr>
        <w:t>9035.36</w:t>
      </w:r>
      <w:r>
        <w:rPr>
          <w:rFonts w:hint="eastAsia" w:eastAsia="方正仿宋_GBK"/>
          <w:color w:val="000000"/>
          <w:sz w:val="28"/>
        </w:rPr>
        <w:t>万元，基金预算收入</w:t>
      </w:r>
      <w:r>
        <w:rPr>
          <w:rFonts w:hint="eastAsia" w:eastAsiaTheme="minorEastAsia"/>
          <w:color w:val="000000"/>
          <w:sz w:val="28"/>
          <w:lang w:eastAsia="zh-CN"/>
        </w:rPr>
        <w:t>0</w:t>
      </w:r>
      <w:r>
        <w:rPr>
          <w:rFonts w:hint="eastAsia" w:eastAsia="方正仿宋_GBK"/>
          <w:color w:val="000000"/>
          <w:sz w:val="28"/>
        </w:rPr>
        <w:t>万元，国有资本经营预算收入0万元</w:t>
      </w:r>
      <w:r>
        <w:rPr>
          <w:rFonts w:hint="eastAsia" w:eastAsiaTheme="minorEastAsia"/>
          <w:color w:val="000000"/>
          <w:sz w:val="28"/>
          <w:lang w:eastAsia="zh-CN"/>
        </w:rPr>
        <w:t>，上年结转4969.93万元</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收支预算总表支出栏、基本支出表、项目支出表按经济分类和支出功能分类科目编制，反映保定市</w:t>
      </w:r>
      <w:r>
        <w:rPr>
          <w:rFonts w:hint="eastAsia" w:eastAsia="方正仿宋_GBK"/>
          <w:color w:val="000000"/>
          <w:sz w:val="28"/>
          <w:lang w:eastAsia="zh-CN"/>
        </w:rPr>
        <w:t>满城区发展和改革局</w:t>
      </w:r>
      <w:r>
        <w:rPr>
          <w:rFonts w:hint="eastAsia" w:eastAsia="方正仿宋_GBK"/>
          <w:color w:val="000000"/>
          <w:sz w:val="28"/>
        </w:rPr>
        <w:t>年度部门预算中支出预算的总体情况。202</w:t>
      </w:r>
      <w:r>
        <w:rPr>
          <w:rFonts w:hint="eastAsia" w:eastAsiaTheme="minorEastAsia"/>
          <w:color w:val="000000"/>
          <w:sz w:val="28"/>
          <w:lang w:eastAsia="zh-CN"/>
        </w:rPr>
        <w:t>4</w:t>
      </w:r>
      <w:r>
        <w:rPr>
          <w:rFonts w:hint="eastAsia" w:eastAsia="方正仿宋_GBK"/>
          <w:color w:val="000000"/>
          <w:sz w:val="28"/>
        </w:rPr>
        <w:t>年部门支出预算</w:t>
      </w:r>
      <w:r>
        <w:rPr>
          <w:rFonts w:hint="eastAsia" w:eastAsiaTheme="minorEastAsia"/>
          <w:color w:val="000000"/>
          <w:sz w:val="28"/>
          <w:lang w:eastAsia="zh-CN"/>
        </w:rPr>
        <w:t>14005.29</w:t>
      </w:r>
      <w:r>
        <w:rPr>
          <w:rFonts w:hint="eastAsia" w:eastAsia="方正仿宋_GBK"/>
          <w:color w:val="000000"/>
          <w:sz w:val="28"/>
        </w:rPr>
        <w:t>万元，其中基本支出</w:t>
      </w:r>
      <w:r>
        <w:rPr>
          <w:rFonts w:hint="eastAsia" w:eastAsiaTheme="minorEastAsia"/>
          <w:color w:val="000000"/>
          <w:sz w:val="28"/>
          <w:lang w:eastAsia="zh-CN"/>
        </w:rPr>
        <w:t>894.29</w:t>
      </w:r>
      <w:r>
        <w:rPr>
          <w:rFonts w:hint="eastAsia" w:eastAsia="方正仿宋_GBK"/>
          <w:color w:val="000000"/>
          <w:sz w:val="28"/>
        </w:rPr>
        <w:t>万元，包括人员经费</w:t>
      </w:r>
      <w:r>
        <w:rPr>
          <w:rFonts w:hint="eastAsia" w:eastAsiaTheme="minorEastAsia"/>
          <w:color w:val="000000"/>
          <w:sz w:val="28"/>
          <w:lang w:eastAsia="zh-CN"/>
        </w:rPr>
        <w:t>845.67</w:t>
      </w:r>
      <w:r>
        <w:rPr>
          <w:rFonts w:hint="eastAsia" w:eastAsia="方正仿宋_GBK"/>
          <w:color w:val="000000"/>
          <w:sz w:val="28"/>
        </w:rPr>
        <w:t>万元，日常公用经费</w:t>
      </w:r>
      <w:r>
        <w:rPr>
          <w:rFonts w:hint="eastAsia" w:eastAsiaTheme="minorEastAsia"/>
          <w:color w:val="000000"/>
          <w:sz w:val="28"/>
          <w:lang w:eastAsia="zh-CN"/>
        </w:rPr>
        <w:t>48.62</w:t>
      </w:r>
      <w:r>
        <w:rPr>
          <w:rFonts w:hint="eastAsia" w:eastAsia="方正仿宋_GBK"/>
          <w:color w:val="000000"/>
          <w:sz w:val="28"/>
        </w:rPr>
        <w:t>万元；项目支出</w:t>
      </w:r>
      <w:r>
        <w:rPr>
          <w:rFonts w:hint="eastAsia" w:eastAsiaTheme="minorEastAsia"/>
          <w:color w:val="000000"/>
          <w:sz w:val="28"/>
          <w:lang w:eastAsia="zh-CN"/>
        </w:rPr>
        <w:t>10021.07</w:t>
      </w:r>
      <w:r>
        <w:rPr>
          <w:rFonts w:hint="eastAsia" w:eastAsia="方正仿宋_GBK"/>
          <w:color w:val="000000"/>
          <w:sz w:val="28"/>
        </w:rPr>
        <w:t>万元，主要为</w:t>
      </w:r>
      <w:r>
        <w:rPr>
          <w:rFonts w:ascii="方正仿宋_GBK" w:hAnsi="方正仿宋_GBK" w:eastAsia="方正仿宋_GBK" w:cs="方正仿宋_GBK"/>
          <w:color w:val="000000"/>
          <w:sz w:val="28"/>
        </w:rPr>
        <w:t>2019年发改局办公楼维修改造资金</w:t>
      </w:r>
      <w:r>
        <w:rPr>
          <w:rFonts w:hint="eastAsia" w:eastAsia="方正仿宋_GBK"/>
          <w:color w:val="000000"/>
          <w:sz w:val="28"/>
          <w:lang w:eastAsia="zh-CN"/>
        </w:rPr>
        <w:t>、</w:t>
      </w:r>
      <w:r>
        <w:rPr>
          <w:rFonts w:ascii="方正仿宋_GBK" w:hAnsi="方正仿宋_GBK" w:eastAsia="方正仿宋_GBK" w:cs="方正仿宋_GBK"/>
          <w:color w:val="000000"/>
          <w:sz w:val="28"/>
        </w:rPr>
        <w:t>2021-2023年度取暖季洁净型煤区级补贴资金</w:t>
      </w:r>
      <w:r>
        <w:rPr>
          <w:rFonts w:hint="eastAsia" w:eastAsia="方正仿宋_GBK"/>
          <w:color w:val="000000"/>
          <w:sz w:val="28"/>
        </w:rPr>
        <w:t>、</w:t>
      </w:r>
      <w:r>
        <w:rPr>
          <w:rFonts w:ascii="方正仿宋_GBK" w:hAnsi="方正仿宋_GBK" w:eastAsia="方正仿宋_GBK" w:cs="方正仿宋_GBK"/>
          <w:color w:val="000000"/>
          <w:sz w:val="28"/>
        </w:rPr>
        <w:t>2024年军粮供应和集约化保障建设资金</w:t>
      </w:r>
      <w:r>
        <w:rPr>
          <w:rFonts w:hint="eastAsia" w:eastAsia="方正仿宋_GBK"/>
          <w:color w:val="000000"/>
          <w:sz w:val="28"/>
        </w:rPr>
        <w:t>、</w:t>
      </w:r>
      <w:r>
        <w:rPr>
          <w:rFonts w:ascii="方正仿宋_GBK" w:hAnsi="方正仿宋_GBK" w:eastAsia="方正仿宋_GBK" w:cs="方正仿宋_GBK"/>
          <w:color w:val="000000"/>
          <w:sz w:val="28"/>
        </w:rPr>
        <w:t>保定市满城区粮食和物资储备库建设项目</w:t>
      </w:r>
      <w:r>
        <w:rPr>
          <w:rFonts w:eastAsia="方正仿宋_GBK"/>
          <w:color w:val="000000"/>
          <w:sz w:val="28"/>
        </w:rPr>
        <w:t>资金</w:t>
      </w:r>
      <w:r>
        <w:rPr>
          <w:rFonts w:hint="eastAsia" w:eastAsia="方正仿宋_GBK"/>
          <w:color w:val="000000"/>
          <w:sz w:val="28"/>
        </w:rPr>
        <w:t>、</w:t>
      </w:r>
      <w:r>
        <w:rPr>
          <w:rFonts w:ascii="方正仿宋_GBK" w:hAnsi="方正仿宋_GBK" w:eastAsia="方正仿宋_GBK" w:cs="方正仿宋_GBK"/>
          <w:color w:val="000000"/>
          <w:sz w:val="28"/>
        </w:rPr>
        <w:t>石井乡乡村道路建设项目资金</w:t>
      </w:r>
      <w:r>
        <w:rPr>
          <w:rFonts w:hint="eastAsia" w:eastAsia="方正仿宋_GBK"/>
          <w:color w:val="000000"/>
          <w:sz w:val="28"/>
        </w:rPr>
        <w:t>、</w:t>
      </w:r>
      <w:r>
        <w:rPr>
          <w:rFonts w:ascii="方正仿宋_GBK" w:hAnsi="方正仿宋_GBK" w:eastAsia="方正仿宋_GBK" w:cs="方正仿宋_GBK"/>
          <w:color w:val="000000"/>
          <w:sz w:val="28"/>
        </w:rPr>
        <w:t>预拨付城燃企业气价补贴资金</w:t>
      </w:r>
      <w:r>
        <w:rPr>
          <w:rFonts w:hint="eastAsia" w:eastAsia="方正仿宋_GBK"/>
          <w:color w:val="000000"/>
          <w:sz w:val="28"/>
        </w:rPr>
        <w:t>、</w:t>
      </w:r>
      <w:r>
        <w:rPr>
          <w:rFonts w:eastAsia="方正仿宋_GBK"/>
          <w:color w:val="000000"/>
          <w:sz w:val="28"/>
        </w:rPr>
        <w:t>2023年中央大气污染防治资金（用于农村地区“双代”省级运行补助）</w:t>
      </w:r>
      <w:r>
        <w:rPr>
          <w:rFonts w:hint="eastAsia" w:eastAsia="方正仿宋_GBK"/>
          <w:color w:val="000000"/>
          <w:sz w:val="28"/>
        </w:rPr>
        <w:t>、</w:t>
      </w:r>
      <w:r>
        <w:rPr>
          <w:rFonts w:eastAsia="方正仿宋_GBK"/>
          <w:color w:val="000000"/>
          <w:sz w:val="28"/>
        </w:rPr>
        <w:t>2023年中央大气污染防治资金（用于农村地区清洁取暖县级运行补助）</w:t>
      </w:r>
      <w:r>
        <w:rPr>
          <w:rFonts w:hint="eastAsia" w:eastAsia="方正仿宋_GBK"/>
          <w:color w:val="000000"/>
          <w:sz w:val="28"/>
        </w:rPr>
        <w:t>、</w:t>
      </w:r>
      <w:r>
        <w:rPr>
          <w:rFonts w:eastAsia="方正仿宋_GBK"/>
          <w:color w:val="000000"/>
          <w:sz w:val="28"/>
        </w:rPr>
        <w:t>“光伏+电取暖”项目设备补贴</w:t>
      </w:r>
      <w:r>
        <w:rPr>
          <w:rFonts w:hint="eastAsia" w:eastAsia="方正仿宋_GBK"/>
          <w:color w:val="000000"/>
          <w:sz w:val="28"/>
        </w:rPr>
        <w:t>资金、</w:t>
      </w:r>
      <w:r>
        <w:rPr>
          <w:rFonts w:ascii="方正仿宋_GBK" w:hAnsi="方正仿宋_GBK" w:eastAsia="方正仿宋_GBK" w:cs="方正仿宋_GBK"/>
          <w:color w:val="000000"/>
          <w:sz w:val="28"/>
        </w:rPr>
        <w:t>农村气代煤工程区级补贴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w:t>
      </w:r>
      <w:r>
        <w:rPr>
          <w:rFonts w:ascii="方正仿宋_GBK" w:hAnsi="方正仿宋_GBK" w:eastAsia="方正仿宋_GBK" w:cs="方正仿宋_GBK"/>
          <w:color w:val="000000"/>
          <w:sz w:val="28"/>
        </w:rPr>
        <w:t>燃气倒挂补贴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w:t>
      </w:r>
      <w:r>
        <w:rPr>
          <w:rFonts w:ascii="方正仿宋_GBK" w:hAnsi="方正仿宋_GBK" w:eastAsia="方正仿宋_GBK" w:cs="方正仿宋_GBK"/>
          <w:color w:val="000000"/>
          <w:sz w:val="28"/>
        </w:rPr>
        <w:t>聘请第三方机构专业人员所需经费项目</w:t>
      </w:r>
      <w:r>
        <w:rPr>
          <w:rFonts w:eastAsia="方正仿宋_GBK"/>
          <w:color w:val="000000"/>
          <w:sz w:val="28"/>
        </w:rPr>
        <w:t>资金</w:t>
      </w:r>
      <w:r>
        <w:rPr>
          <w:rFonts w:hint="eastAsia" w:eastAsia="方正仿宋_GBK"/>
          <w:color w:val="000000"/>
          <w:sz w:val="28"/>
        </w:rPr>
        <w:t>、</w:t>
      </w:r>
      <w:r>
        <w:rPr>
          <w:rFonts w:eastAsia="方正仿宋_GBK"/>
          <w:color w:val="000000"/>
          <w:sz w:val="28"/>
        </w:rPr>
        <w:t>保定市满城区粮食和物资储备库建设项目</w:t>
      </w:r>
      <w:r>
        <w:rPr>
          <w:rFonts w:hint="eastAsia" w:eastAsia="方正仿宋_GBK"/>
          <w:color w:val="000000"/>
          <w:sz w:val="28"/>
        </w:rPr>
        <w:t>、</w:t>
      </w:r>
      <w:r>
        <w:rPr>
          <w:rFonts w:ascii="方正仿宋_GBK" w:hAnsi="方正仿宋_GBK" w:eastAsia="方正仿宋_GBK" w:cs="方正仿宋_GBK"/>
          <w:color w:val="000000"/>
          <w:sz w:val="28"/>
        </w:rPr>
        <w:t>北京华源恒科蓄热电暖气有限公司“煤改电”试点工程未结工程款</w:t>
      </w:r>
      <w:r>
        <w:rPr>
          <w:rFonts w:eastAsia="方正仿宋_GBK"/>
          <w:color w:val="000000"/>
          <w:sz w:val="28"/>
        </w:rPr>
        <w:t>资金</w:t>
      </w:r>
      <w:r>
        <w:rPr>
          <w:rFonts w:hint="eastAsia" w:eastAsia="方正仿宋_GBK"/>
          <w:color w:val="000000"/>
          <w:sz w:val="28"/>
        </w:rPr>
        <w:t>、</w:t>
      </w:r>
      <w:r>
        <w:rPr>
          <w:rFonts w:eastAsia="方正仿宋_GBK"/>
          <w:color w:val="000000"/>
          <w:sz w:val="28"/>
        </w:rPr>
        <w:t>冬季清洁取暖补助资金</w:t>
      </w:r>
      <w:r>
        <w:rPr>
          <w:rFonts w:hint="eastAsia" w:eastAsia="方正仿宋_GBK"/>
          <w:color w:val="000000"/>
          <w:sz w:val="28"/>
        </w:rPr>
        <w:t>、</w:t>
      </w:r>
      <w:r>
        <w:rPr>
          <w:rFonts w:eastAsia="方正仿宋_GBK"/>
          <w:color w:val="000000"/>
          <w:sz w:val="28"/>
        </w:rPr>
        <w:t>科级干部配备办公设备经费</w:t>
      </w:r>
      <w:r>
        <w:rPr>
          <w:rFonts w:hint="eastAsia" w:eastAsia="方正仿宋_GBK"/>
          <w:color w:val="000000"/>
          <w:sz w:val="28"/>
        </w:rPr>
        <w:t>、机关后勤劳务费、</w:t>
      </w:r>
      <w:r>
        <w:rPr>
          <w:rFonts w:ascii="方正仿宋_GBK" w:hAnsi="方正仿宋_GBK" w:eastAsia="方正仿宋_GBK" w:cs="方正仿宋_GBK"/>
          <w:color w:val="000000"/>
          <w:sz w:val="28"/>
        </w:rPr>
        <w:t>食盐储备补贴</w:t>
      </w:r>
      <w:r>
        <w:rPr>
          <w:rFonts w:hint="eastAsia" w:ascii="方正仿宋_GBK" w:hAnsi="方正仿宋_GBK" w:eastAsia="方正仿宋_GBK" w:cs="方正仿宋_GBK"/>
          <w:color w:val="000000"/>
          <w:sz w:val="28"/>
          <w:lang w:eastAsia="zh-CN"/>
        </w:rPr>
        <w:t>资金、</w:t>
      </w:r>
      <w:r>
        <w:rPr>
          <w:rFonts w:ascii="方正仿宋_GBK" w:hAnsi="方正仿宋_GBK" w:eastAsia="方正仿宋_GBK" w:cs="方正仿宋_GBK"/>
          <w:color w:val="000000"/>
          <w:sz w:val="28"/>
        </w:rPr>
        <w:t>应急成品粮临时储备补贴</w:t>
      </w:r>
      <w:r>
        <w:rPr>
          <w:rFonts w:hint="eastAsia" w:ascii="方正仿宋_GBK" w:hAnsi="方正仿宋_GBK" w:eastAsia="方正仿宋_GBK" w:cs="方正仿宋_GBK"/>
          <w:color w:val="000000"/>
          <w:sz w:val="28"/>
          <w:lang w:eastAsia="zh-CN"/>
        </w:rPr>
        <w:t>资金、</w:t>
      </w:r>
      <w:r>
        <w:rPr>
          <w:rFonts w:hint="eastAsia" w:eastAsia="方正仿宋_GBK"/>
          <w:color w:val="000000"/>
          <w:sz w:val="28"/>
        </w:rPr>
        <w:t>粮食应急体系维护资金、粮食质量安全监测资金、粮食执法专项资金等。</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Theme="minorEastAsia"/>
          <w:color w:val="000000"/>
          <w:sz w:val="28"/>
          <w:lang w:eastAsia="zh-CN"/>
        </w:rPr>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年度预算收支安排</w:t>
      </w:r>
      <w:r>
        <w:rPr>
          <w:rFonts w:hint="eastAsia" w:eastAsiaTheme="minorEastAsia"/>
          <w:color w:val="000000"/>
          <w:sz w:val="28"/>
          <w:lang w:eastAsia="zh-CN"/>
        </w:rPr>
        <w:t>14005.29</w:t>
      </w:r>
      <w:r>
        <w:rPr>
          <w:rFonts w:hint="eastAsia" w:eastAsia="方正仿宋_GBK"/>
          <w:color w:val="000000"/>
          <w:sz w:val="28"/>
        </w:rPr>
        <w:t>万元，较202</w:t>
      </w:r>
      <w:r>
        <w:rPr>
          <w:rFonts w:hint="eastAsia" w:eastAsiaTheme="minorEastAsia"/>
          <w:color w:val="000000"/>
          <w:sz w:val="28"/>
          <w:lang w:eastAsia="zh-CN"/>
        </w:rPr>
        <w:t>3</w:t>
      </w:r>
      <w:r>
        <w:rPr>
          <w:rFonts w:hint="eastAsia" w:eastAsia="方正仿宋_GBK"/>
          <w:color w:val="000000"/>
          <w:sz w:val="28"/>
        </w:rPr>
        <w:t>年预算</w:t>
      </w:r>
      <w:r>
        <w:rPr>
          <w:rFonts w:hint="eastAsia" w:eastAsiaTheme="minorEastAsia"/>
          <w:color w:val="000000"/>
          <w:sz w:val="28"/>
          <w:lang w:eastAsia="zh-CN"/>
        </w:rPr>
        <w:t>减少5022.49</w:t>
      </w:r>
      <w:r>
        <w:rPr>
          <w:rFonts w:hint="eastAsia" w:eastAsia="方正仿宋_GBK"/>
          <w:color w:val="000000"/>
          <w:sz w:val="28"/>
        </w:rPr>
        <w:t>万元，其中:基本支出</w:t>
      </w:r>
      <w:r>
        <w:rPr>
          <w:rFonts w:hint="eastAsia" w:eastAsiaTheme="minorEastAsia"/>
          <w:color w:val="000000"/>
          <w:sz w:val="28"/>
          <w:lang w:eastAsia="zh-CN"/>
        </w:rPr>
        <w:t>减少27.13</w:t>
      </w:r>
      <w:r>
        <w:rPr>
          <w:rFonts w:hint="eastAsia" w:eastAsia="方正仿宋_GBK"/>
          <w:color w:val="000000"/>
          <w:sz w:val="28"/>
        </w:rPr>
        <w:t>万元，主要是</w:t>
      </w:r>
      <w:r>
        <w:rPr>
          <w:rFonts w:hint="eastAsia" w:eastAsiaTheme="minorEastAsia"/>
          <w:color w:val="000000"/>
          <w:sz w:val="28"/>
          <w:lang w:eastAsia="zh-CN"/>
        </w:rPr>
        <w:t>人员调出及</w:t>
      </w:r>
      <w:r>
        <w:rPr>
          <w:rFonts w:hint="eastAsia" w:eastAsia="方正仿宋_GBK"/>
          <w:color w:val="000000"/>
          <w:sz w:val="28"/>
          <w:lang w:eastAsia="zh-CN"/>
        </w:rPr>
        <w:t>在职人员退休等原因</w:t>
      </w:r>
      <w:r>
        <w:rPr>
          <w:rFonts w:hint="eastAsia" w:eastAsia="方正仿宋_GBK"/>
          <w:color w:val="000000"/>
          <w:sz w:val="28"/>
        </w:rPr>
        <w:t>；项目支出</w:t>
      </w:r>
      <w:r>
        <w:rPr>
          <w:rFonts w:hint="eastAsia" w:eastAsiaTheme="minorEastAsia"/>
          <w:color w:val="000000"/>
          <w:sz w:val="28"/>
          <w:lang w:eastAsia="zh-CN"/>
        </w:rPr>
        <w:t>减少</w:t>
      </w:r>
      <w:r>
        <w:rPr>
          <w:rFonts w:hint="eastAsia" w:asciiTheme="minorEastAsia" w:hAnsiTheme="minorEastAsia" w:eastAsiaTheme="minorEastAsia"/>
          <w:color w:val="000000"/>
          <w:sz w:val="28"/>
          <w:lang w:eastAsia="zh-CN"/>
        </w:rPr>
        <w:t>332.36</w:t>
      </w:r>
      <w:r>
        <w:rPr>
          <w:rFonts w:hint="eastAsia" w:eastAsia="方正仿宋_GBK"/>
          <w:color w:val="000000"/>
          <w:sz w:val="28"/>
        </w:rPr>
        <w:t>万元，主要是</w:t>
      </w:r>
      <w:r>
        <w:rPr>
          <w:rFonts w:hint="eastAsia" w:asciiTheme="minorEastAsia" w:hAnsiTheme="minorEastAsia" w:eastAsiaTheme="minorEastAsia"/>
          <w:sz w:val="28"/>
          <w:lang w:eastAsia="zh-CN"/>
        </w:rPr>
        <w:t>项目逐渐减少，“双代”业务不在我局继续开展。</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年，我</w:t>
      </w:r>
      <w:r>
        <w:rPr>
          <w:rFonts w:hint="eastAsia" w:ascii="宋体" w:hAnsi="宋体" w:eastAsia="宋体" w:cs="宋体"/>
          <w:color w:val="000000"/>
          <w:sz w:val="28"/>
          <w:lang w:eastAsia="zh-CN"/>
        </w:rPr>
        <w:t>局</w:t>
      </w:r>
      <w:r>
        <w:rPr>
          <w:rFonts w:hint="eastAsia" w:eastAsia="方正仿宋_GBK"/>
          <w:color w:val="000000"/>
          <w:sz w:val="28"/>
        </w:rPr>
        <w:t>运行经费安排</w:t>
      </w:r>
      <w:r>
        <w:rPr>
          <w:rFonts w:hint="eastAsia" w:eastAsiaTheme="minorEastAsia"/>
          <w:color w:val="000000"/>
          <w:sz w:val="28"/>
          <w:lang w:eastAsia="zh-CN"/>
        </w:rPr>
        <w:t>48.62</w:t>
      </w:r>
      <w:r>
        <w:rPr>
          <w:rFonts w:hint="eastAsia" w:eastAsia="方正仿宋_GBK"/>
          <w:color w:val="000000"/>
          <w:sz w:val="28"/>
        </w:rPr>
        <w:t>万元，</w:t>
      </w:r>
      <w:r>
        <w:rPr>
          <w:rFonts w:hint="eastAsia" w:eastAsia="方正仿宋_GBK"/>
          <w:color w:val="000000"/>
          <w:sz w:val="28"/>
          <w:lang w:eastAsia="zh-CN"/>
        </w:rPr>
        <w:t>主要用于办公费、办公用房水电费、办公用房取暖费、邮电费、公务用车运行维护费、福利费、其他交通费用（公务</w:t>
      </w:r>
      <w:r>
        <w:rPr>
          <w:rFonts w:hint="eastAsia" w:ascii="宋体" w:hAnsi="宋体" w:eastAsia="宋体" w:cs="宋体"/>
          <w:color w:val="000000"/>
          <w:sz w:val="28"/>
          <w:lang w:eastAsia="zh-CN"/>
        </w:rPr>
        <w:t>交通</w:t>
      </w:r>
      <w:r>
        <w:rPr>
          <w:rFonts w:hint="eastAsia" w:eastAsia="方正仿宋_GBK"/>
          <w:color w:val="000000"/>
          <w:sz w:val="28"/>
          <w:lang w:eastAsia="zh-CN"/>
        </w:rPr>
        <w:t>补</w:t>
      </w:r>
      <w:r>
        <w:rPr>
          <w:rFonts w:hint="eastAsia" w:ascii="宋体" w:hAnsi="宋体" w:eastAsia="宋体" w:cs="宋体"/>
          <w:color w:val="000000"/>
          <w:sz w:val="28"/>
          <w:lang w:eastAsia="zh-CN"/>
        </w:rPr>
        <w:t>贴</w:t>
      </w:r>
      <w:r>
        <w:rPr>
          <w:rFonts w:hint="eastAsia" w:eastAsia="方正仿宋_GBK"/>
          <w:color w:val="000000"/>
          <w:sz w:val="28"/>
          <w:lang w:eastAsia="zh-CN"/>
        </w:rPr>
        <w:t>）等日常运行支出。</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pPr>
      <w:r>
        <w:rPr>
          <w:rFonts w:hint="eastAsia" w:eastAsia="方正仿宋_GBK"/>
          <w:color w:val="000000"/>
          <w:sz w:val="28"/>
        </w:rPr>
        <w:t>202</w:t>
      </w:r>
      <w:r>
        <w:rPr>
          <w:rFonts w:hint="eastAsia" w:eastAsiaTheme="minorEastAsia"/>
          <w:color w:val="000000"/>
          <w:sz w:val="28"/>
          <w:lang w:eastAsia="zh-CN"/>
        </w:rPr>
        <w:t>4</w:t>
      </w:r>
      <w:r>
        <w:rPr>
          <w:rFonts w:hint="eastAsia" w:eastAsia="方正仿宋_GBK"/>
          <w:color w:val="000000"/>
          <w:sz w:val="28"/>
        </w:rPr>
        <w:t>年，我</w:t>
      </w:r>
      <w:r>
        <w:rPr>
          <w:rFonts w:hint="eastAsia" w:eastAsia="方正仿宋_GBK"/>
          <w:color w:val="000000"/>
          <w:sz w:val="28"/>
          <w:lang w:eastAsia="zh-CN"/>
        </w:rPr>
        <w:t>局</w:t>
      </w:r>
      <w:r>
        <w:rPr>
          <w:rFonts w:hint="eastAsia" w:eastAsia="方正仿宋_GBK"/>
          <w:color w:val="000000"/>
          <w:sz w:val="28"/>
        </w:rPr>
        <w:t>财政拨款“三公”经费预算安排</w:t>
      </w:r>
      <w:r>
        <w:rPr>
          <w:rFonts w:hint="eastAsia" w:eastAsiaTheme="minorEastAsia"/>
          <w:color w:val="000000"/>
          <w:sz w:val="28"/>
          <w:lang w:eastAsia="zh-CN"/>
        </w:rPr>
        <w:t>6.99</w:t>
      </w:r>
      <w:r>
        <w:rPr>
          <w:rFonts w:hint="eastAsia" w:eastAsia="方正仿宋_GBK"/>
          <w:color w:val="000000"/>
          <w:sz w:val="28"/>
        </w:rPr>
        <w:t>万元，其中因公出国（境）费0万元；公务用车购置及运维费</w:t>
      </w:r>
      <w:r>
        <w:rPr>
          <w:rFonts w:hint="eastAsia" w:eastAsia="方正仿宋_GBK"/>
          <w:color w:val="000000"/>
          <w:sz w:val="28"/>
          <w:lang w:eastAsia="zh-CN"/>
        </w:rPr>
        <w:t>6</w:t>
      </w:r>
      <w:r>
        <w:rPr>
          <w:rFonts w:hint="eastAsia" w:eastAsia="方正仿宋_GBK"/>
          <w:color w:val="000000"/>
          <w:sz w:val="28"/>
        </w:rPr>
        <w:t>万元（其中：公务用车运维费</w:t>
      </w:r>
      <w:r>
        <w:rPr>
          <w:rFonts w:hint="eastAsia" w:eastAsia="方正仿宋_GBK"/>
          <w:color w:val="000000"/>
          <w:sz w:val="28"/>
          <w:lang w:eastAsia="zh-CN"/>
        </w:rPr>
        <w:t>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与去年持平</w:t>
      </w:r>
      <w:r>
        <w:rPr>
          <w:rFonts w:hint="eastAsia" w:eastAsia="方正仿宋_GBK"/>
          <w:color w:val="000000"/>
          <w:sz w:val="28"/>
        </w:rPr>
        <w:t>；公务接待费</w:t>
      </w:r>
      <w:r>
        <w:rPr>
          <w:rFonts w:hint="eastAsia" w:eastAsiaTheme="minorEastAsia"/>
          <w:color w:val="000000"/>
          <w:sz w:val="28"/>
          <w:lang w:eastAsia="zh-CN"/>
        </w:rPr>
        <w:t>0.99</w:t>
      </w:r>
      <w:r>
        <w:rPr>
          <w:rFonts w:hint="eastAsia" w:eastAsia="方正仿宋_GBK"/>
          <w:color w:val="000000"/>
          <w:sz w:val="28"/>
        </w:rPr>
        <w:t>万元。与202</w:t>
      </w:r>
      <w:r>
        <w:rPr>
          <w:rFonts w:hint="eastAsia" w:eastAsiaTheme="minorEastAsia"/>
          <w:color w:val="000000"/>
          <w:sz w:val="28"/>
          <w:lang w:eastAsia="zh-CN"/>
        </w:rPr>
        <w:t>3</w:t>
      </w:r>
      <w:r>
        <w:rPr>
          <w:rFonts w:hint="eastAsia" w:eastAsia="方正仿宋_GBK"/>
          <w:color w:val="000000"/>
          <w:sz w:val="28"/>
        </w:rPr>
        <w:t>年相比</w:t>
      </w:r>
      <w:r>
        <w:rPr>
          <w:rFonts w:hint="eastAsia" w:eastAsiaTheme="minorEastAsia"/>
          <w:color w:val="000000"/>
          <w:sz w:val="28"/>
          <w:lang w:eastAsia="zh-CN"/>
        </w:rPr>
        <w:t>减少0.06</w:t>
      </w:r>
      <w:r>
        <w:rPr>
          <w:rFonts w:hint="eastAsia" w:eastAsia="方正仿宋_GBK"/>
          <w:color w:val="000000"/>
          <w:sz w:val="28"/>
        </w:rPr>
        <w:t>万元，主要是</w:t>
      </w:r>
      <w:r>
        <w:rPr>
          <w:rFonts w:hint="eastAsia" w:eastAsia="方正仿宋_GBK"/>
          <w:color w:val="000000"/>
          <w:sz w:val="28"/>
          <w:lang w:eastAsia="zh-CN"/>
        </w:rPr>
        <w:t>因为我单位减少了工作人员故公务接待费</w:t>
      </w:r>
      <w:r>
        <w:rPr>
          <w:rFonts w:hint="eastAsia" w:eastAsiaTheme="minorEastAsia"/>
          <w:color w:val="000000"/>
          <w:sz w:val="28"/>
          <w:lang w:eastAsia="zh-CN"/>
        </w:rPr>
        <w:t>减少</w:t>
      </w:r>
      <w:r>
        <w:rPr>
          <w:rFonts w:hint="eastAsia" w:eastAsia="方正仿宋_GBK"/>
          <w:color w:val="000000"/>
          <w:sz w:val="28"/>
        </w:rPr>
        <w:t>预算。</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1"/>
      </w:pPr>
      <w:r>
        <w:t xml:space="preserve">按照局2024年工作安排部署，为保障工作全面落实，实施，制定局总体绩效目标如下： </w:t>
      </w:r>
    </w:p>
    <w:p>
      <w:pPr>
        <w:pStyle w:val="21"/>
        <w:rPr>
          <w:lang w:eastAsia="zh-CN"/>
        </w:rPr>
      </w:pPr>
      <w:r>
        <w:t>2024年是实现“十四五”规划目标任务的关键一年。围绕区委“1135”发展思路，持续推进经济高质量发展，经济发展质效不断优化，协同发展、保障雄安建设更上高水平，产业项目建设实现新高潮，新型能源强区、物流强区建设深入发力，营商环境持续优化提升，争取服务上水平、展现新气象、再创新业绩，确保各项工作横向保全区名列前茅，纵向列全市第一方阵。</w:t>
      </w:r>
    </w:p>
    <w:p>
      <w:pPr>
        <w:spacing w:line="500" w:lineRule="exact"/>
        <w:ind w:firstLine="560"/>
      </w:pPr>
      <w:r>
        <w:rPr>
          <w:rFonts w:eastAsia="方正仿宋_GBK"/>
          <w:color w:val="000000"/>
          <w:sz w:val="28"/>
        </w:rPr>
        <w:t>（二）分项绩效目标</w:t>
      </w:r>
    </w:p>
    <w:p>
      <w:pPr>
        <w:pStyle w:val="22"/>
      </w:pPr>
      <w:r>
        <w:t>为实现部门总体绩效目标，对局2024年具体实施的重点工作逐一制定具体目标，确保工作落实。</w:t>
      </w:r>
    </w:p>
    <w:p>
      <w:pPr>
        <w:pStyle w:val="22"/>
      </w:pPr>
      <w:r>
        <w:t>（一）着力推进经济高质量发展，打好指标调控翻身仗。</w:t>
      </w:r>
    </w:p>
    <w:p>
      <w:pPr>
        <w:pStyle w:val="22"/>
      </w:pPr>
      <w:r>
        <w:t>（二）全力推动京津冀协同发展，倾力服务雄安新区建设。</w:t>
      </w:r>
    </w:p>
    <w:p>
      <w:pPr>
        <w:pStyle w:val="22"/>
      </w:pPr>
      <w:r>
        <w:t>（三）抓住扩大内需战略需求，持续兴起大上项目热潮。</w:t>
      </w:r>
    </w:p>
    <w:p>
      <w:pPr>
        <w:pStyle w:val="22"/>
      </w:pPr>
      <w:r>
        <w:t>（四）聚力推进服务能力大提升，促进营商环境不断优化。</w:t>
      </w:r>
    </w:p>
    <w:p>
      <w:pPr>
        <w:pStyle w:val="22"/>
      </w:pPr>
      <w:r>
        <w:t>（五）牵头抓好民生工程建设，做好政策落实服务。</w:t>
      </w:r>
    </w:p>
    <w:p>
      <w:pPr>
        <w:pStyle w:val="22"/>
      </w:pPr>
      <w:r>
        <w:t>（六）奋力推进碳达峰布局调整，丰富新型能源强区内涵。</w:t>
      </w:r>
    </w:p>
    <w:p>
      <w:pPr>
        <w:pStyle w:val="22"/>
      </w:pPr>
      <w:r>
        <w:t>（七）合力做好气电煤稳定保供，确保能源供应平稳有序。</w:t>
      </w:r>
    </w:p>
    <w:p>
      <w:pPr>
        <w:pStyle w:val="22"/>
      </w:pPr>
      <w:r>
        <w:t>（八）强力优化粮食和物资储备，扎实打牢民生发展基础。</w:t>
      </w:r>
    </w:p>
    <w:p>
      <w:pPr>
        <w:pStyle w:val="22"/>
      </w:pPr>
      <w:r>
        <w:t>（九）发力推进价格改革新任务，保障物价稳定服务民生。</w:t>
      </w:r>
    </w:p>
    <w:p>
      <w:pPr>
        <w:pStyle w:val="22"/>
      </w:pPr>
      <w:r>
        <w:t>（十）合力做好国动人防工作，打造国防动员新气象。</w:t>
      </w:r>
    </w:p>
    <w:p>
      <w:pPr>
        <w:pStyle w:val="22"/>
      </w:pPr>
      <w:r>
        <w:t>（十一）全面对接争取上级支持，推动灾后重建有序进行。</w:t>
      </w:r>
    </w:p>
    <w:p>
      <w:pPr>
        <w:pStyle w:val="22"/>
      </w:pPr>
      <w:r>
        <w:t>（十二）着力强化党建全方位引领，推动工作上档升级。</w:t>
      </w:r>
    </w:p>
    <w:p>
      <w:pPr>
        <w:spacing w:line="500" w:lineRule="exact"/>
        <w:ind w:firstLine="560"/>
      </w:pPr>
      <w:r>
        <w:rPr>
          <w:rFonts w:eastAsia="方正仿宋_GBK"/>
          <w:color w:val="000000"/>
          <w:sz w:val="28"/>
        </w:rPr>
        <w:t>（三）工作保障措施</w:t>
      </w:r>
    </w:p>
    <w:p>
      <w:pPr>
        <w:pStyle w:val="23"/>
      </w:pPr>
      <w:r>
        <w:t>为实现全局制定的绩效目标，具体工作保障措施如下：</w:t>
      </w:r>
    </w:p>
    <w:p>
      <w:pPr>
        <w:pStyle w:val="23"/>
      </w:pPr>
      <w:r>
        <w:t xml:space="preserve">1、牵头全区各经济工作部门，抓住扩大内需战略深入实施和深化供给侧结构性改革有力时机，深入挖掘促进各项经济指标高质量发展的潜质，激发释放需求侧新动能，推动主要经济指标加快增长。  </w:t>
      </w:r>
    </w:p>
    <w:p>
      <w:pPr>
        <w:pStyle w:val="23"/>
      </w:pPr>
      <w:r>
        <w:t>2、持续围绕做大做强“4+2+2”现代产业体系，重点突破“2+1”主导产业发展，推动以京车造车基地为龙头的高端装备制造产业集群大发展，进一步优化纸制品加工、电力电气2大传统产业，激发拉动经济不断向上的引擎力。</w:t>
      </w:r>
    </w:p>
    <w:p>
      <w:pPr>
        <w:pStyle w:val="23"/>
      </w:pPr>
      <w:r>
        <w:t>3、把年度高质量发展综合绩效评价指标完成质效与整个“十四五”规划指标完成有机统一起来，着力盯紧地区生产总值、固定资产投资等主要指标，严格实施GDP部门分工监测调度机制，每月定期组织专班会议，对经济形势进行分析研判，细分产业大类开展分工协作，力争全年GDP指标跃居全市上游。</w:t>
      </w:r>
    </w:p>
    <w:p>
      <w:pPr>
        <w:pStyle w:val="23"/>
      </w:pPr>
      <w:r>
        <w:t>4、保持2023年全区固投指标增长态势，2024年继续采取库内挖潜投资深度、库外发掘增加项目等超常手段，加快大赛棚户区改造、城东棚改二期等大体量投资项目的启动，扩充在库项目总量，把投资报足报充分，力争增速指标站稳全市第一台阶。</w:t>
      </w:r>
    </w:p>
    <w:p>
      <w:pPr>
        <w:pStyle w:val="23"/>
      </w:pPr>
      <w:r>
        <w:t>5、加大规上物流企业入统力度，确保物流强市专项考核排位靠前。</w:t>
      </w:r>
    </w:p>
    <w:p>
      <w:pPr>
        <w:pStyle w:val="23"/>
      </w:pPr>
      <w:r>
        <w:t>6、全面贯彻落实各级关于京津冀协同发展、服务建设雄安新区的两个意见，紧盯京津冀协同发展、雄安新区建设大潮作文章，借助雄安新区拓展区的优势在京津冀协同发展中发出满城更大的声音，把招商引资的重心放到500强的央企、国企和实力雄厚的上市公司上面，融合对接到“4+2+2”现代产业体系上，争取更多的京津和雄安新区外溢产业资源和项目落户满城，推动更多的央企二三级子公司落地，全力服务保障雄忻高铁满城段施工建设。</w:t>
      </w:r>
    </w:p>
    <w:p>
      <w:pPr>
        <w:pStyle w:val="23"/>
      </w:pPr>
      <w:r>
        <w:t>7、依托河北京车，加大轨道交通产业招商引资力度，积极引进产业链上下游企业落地，逐步打造千亿级轨道交通装备产业集群，充实京津冀协同发展的成果。</w:t>
      </w:r>
    </w:p>
    <w:p>
      <w:pPr>
        <w:pStyle w:val="23"/>
      </w:pPr>
      <w:r>
        <w:t>8、持续不断扭住重点项目建设的牛鼻子，在项目建设齐抓共管的整体氛围上，政策服务外部环境上，项目落地各环节衔接上，积极推动落实，着力提高重点项目的落地率、投产率和贡献率。</w:t>
      </w:r>
    </w:p>
    <w:p>
      <w:pPr>
        <w:pStyle w:val="23"/>
      </w:pPr>
      <w:r>
        <w:t>9、2024年谋划上报41个省市重点项目，总投资191亿元，年计划投资21.34亿元。加快推进12个续建和保投产项目施工进度，确保英利电池、古城制药等项目早日竣工投产；加大15个新开工项目手续办理进度，争取深能二期、雨森新材料、屹马产业园等项目早日开工入统；积极推动14个前期项目，争取动物园搬迁、金光纸业第三厂区等项目尽快完善前期手续。</w:t>
      </w:r>
    </w:p>
    <w:p>
      <w:pPr>
        <w:pStyle w:val="23"/>
      </w:pPr>
      <w:r>
        <w:t>10、重点抓好项目的谋划储备和推动转化工作，争取挖掘更多的大项目、高质量项目入列年度省重点项目盘子，全力确保重点项目建设继续位居全市前列。围绕年度“双千工程”招商引资目标，发挥好整体协调对接作用，积极与市项目服务中心做好沟通联络，进一步提高招商引资的实效性，力争超额完成全年“双千工程”招商引资项目数量，确保进入全市领先位次。</w:t>
      </w:r>
    </w:p>
    <w:p>
      <w:pPr>
        <w:pStyle w:val="23"/>
      </w:pPr>
      <w:r>
        <w:t>11、围绕省对区、市对县（市、区）的营商环境考核测评系列工作，发挥好牵头抓总组织协调作用，对标对表先进地区，组织区直有关部门聚焦省考核8个指标领域和市考核12个指标领域，持续发力，力争更多指标达到全国标杆城市水平。</w:t>
      </w:r>
    </w:p>
    <w:p>
      <w:pPr>
        <w:pStyle w:val="23"/>
      </w:pPr>
      <w:r>
        <w:t>12、加强惠企利民政策宣传解读，全面提高市场主体、重点群体和基层单位的知晓率，推动好政策直达快享、免申即享。</w:t>
      </w:r>
    </w:p>
    <w:p>
      <w:pPr>
        <w:pStyle w:val="23"/>
      </w:pPr>
      <w:r>
        <w:t>13、积极探索建立企业诉求快速反应和问题解决机制，完善考核办法，以评促优助力营商环境优化提升。综合运用线上线下各类媒体平台，全方位、多层次宣传推介各级各部门优化营商环境的好经验、好做法，持续擦亮“投资满城，事事满意”的金字招牌。</w:t>
      </w:r>
    </w:p>
    <w:p>
      <w:pPr>
        <w:pStyle w:val="23"/>
      </w:pPr>
      <w:r>
        <w:t>14、按照河北省2024年20项民生工程方案和市方案，对接拟定我区2024年20项民生工程实施方案，继续发挥牵头抓总作用，组织各有关部门细化方案举措，定期对各单位工程建设进行督导，推进各项工程按照时间节点要求落实，圆满完成2024年度20项民生工程建设任务。</w:t>
      </w:r>
    </w:p>
    <w:p>
      <w:pPr>
        <w:pStyle w:val="23"/>
      </w:pPr>
      <w:r>
        <w:t>15、深入落实国家、省市区稳定经济发展、促进经济运行的政策措施，持续开展 “万人助万企”等系列政策宣讲活动，帮助企业用足用好各项惠企政策。</w:t>
      </w:r>
    </w:p>
    <w:p>
      <w:pPr>
        <w:pStyle w:val="23"/>
      </w:pPr>
      <w:r>
        <w:t>16、结合我区能源结构的现状，谋篇布局全区实现碳达峰、碳中和的路径。争取市对我区能耗指标的倾斜，着力抓好深能二期项目建设，进一步优化我区能源供应结构。结合我区生态资源禀赋现实，合理有序推动风电光电等新能源发展，推动华能300兆瓦光伏项目2024年6月30日前实现并网200兆瓦，谋划建设深能100兆瓦光伏、华能100兆瓦储能电站、华能抽水蓄能电站等项目。</w:t>
      </w:r>
    </w:p>
    <w:p>
      <w:pPr>
        <w:pStyle w:val="23"/>
      </w:pPr>
      <w:r>
        <w:t>17、加强对高能耗企业的监管，着重开展好重点耗能企业节能监察工作，深入挖掘节能降耗潜力，合理调控深能等重点企业的煤炭消费量，确保完成2024年单位GDP能耗降低率目标和节能削煤任务。</w:t>
      </w:r>
    </w:p>
    <w:p>
      <w:pPr>
        <w:pStyle w:val="23"/>
      </w:pPr>
      <w:r>
        <w:t>18、围绕取暖季燃气气源保障工作，组织域内燃气公司积极对上争取，签订足额的保供协议，充实完善全区燃气一张网连通对接，构建多源头的燃气保供网络，推动企业完善LNG、CNG等应急保供措施，确保采暖季供气稳定。</w:t>
      </w:r>
    </w:p>
    <w:p>
      <w:pPr>
        <w:pStyle w:val="23"/>
      </w:pPr>
      <w:r>
        <w:t>19、继续采用招标的形式，尽早确定2024年洁净型煤保供企业，早储煤提前生产，确保洁净型煤稳定供应。着力盯紧过境油气长输管线安全保护，及时化解各类风险隐患。督促协调发电企业完善长协煤供应机制，保证电煤价稳量足，确保电力稳定输出。</w:t>
      </w:r>
    </w:p>
    <w:p>
      <w:pPr>
        <w:pStyle w:val="23"/>
      </w:pPr>
      <w:r>
        <w:t>20、围绕耕地保护和粮食安全责任制考核党政同责要求，积极组织各部门针对考核任务对标对表，对照工作开展情况及时查漏补缺，提升考核质效水平。</w:t>
      </w:r>
    </w:p>
    <w:p>
      <w:pPr>
        <w:pStyle w:val="23"/>
      </w:pPr>
      <w:r>
        <w:t>21、用好粮食行业“双随机”抽查应用系统和粮食企业信用监管平台，发挥随机检查震慑作用和企业信用的激励作用。</w:t>
      </w:r>
    </w:p>
    <w:p>
      <w:pPr>
        <w:pStyle w:val="23"/>
      </w:pPr>
      <w:r>
        <w:t>22、推动2023年秋粮收购尽快收尾，组织好2024年粮食市场化收购工作。协调农发行加大对符合要求的民营粮食收购企业资金扶持力度，确保粮食收购平稳推进。</w:t>
      </w:r>
    </w:p>
    <w:p>
      <w:pPr>
        <w:pStyle w:val="23"/>
      </w:pPr>
      <w:r>
        <w:t>23、强化粮食产后服务，积极为种粮群众提供清理干燥、收储、加工等社会化服务，促进减损增收。紧盯粮食系统全过程安全，杜绝出现任何安全生产事故。协调督促区粮食和物资储备库项目加快建设进度，着力提升我区粮食和物资应急保障储备水平。</w:t>
      </w:r>
    </w:p>
    <w:p>
      <w:pPr>
        <w:pStyle w:val="23"/>
      </w:pPr>
      <w:r>
        <w:t>24、持续抓好涉企收费清理规范，加快建立落实长效监管机制，真正做到目录清单外无收费。严格按照《成本监审办法》《政府制定价格行为规则》规范定价行为，严禁目录之外和价权之外定调价。重点抓好转供电等价格政策的宣贯实施，密切监测重点商品、生活必需品的价格波动状况。</w:t>
      </w:r>
    </w:p>
    <w:p>
      <w:pPr>
        <w:pStyle w:val="23"/>
      </w:pPr>
      <w:r>
        <w:t>25、适时启动社会救助和保障标准价格联动机制。按照要求制定调整好人民群众普遍关心的水价、气价和物业服务收费备案等工作，坚决把放给市场的价格权力放足、放到位，把政府该管的价格事项管好、管到位。精准、规范、公平地开展涉案物品价格认定工作，确保认定结果于法有据，为公正司法作出相应的贡献。</w:t>
      </w:r>
    </w:p>
    <w:p>
      <w:pPr>
        <w:pStyle w:val="23"/>
      </w:pPr>
      <w:r>
        <w:t>26、着力加大国防动员工作的综合协调、规划建设、督导落实，组织各有关部门构建层级分明的动员体制，摸清我区国防动员家底和潜力，为全区国防建设作出贡献。开展好国防知识的宣教，重点围绕5.12、7.7等时点做好宣传。</w:t>
      </w:r>
    </w:p>
    <w:p>
      <w:pPr>
        <w:pStyle w:val="23"/>
      </w:pPr>
      <w:r>
        <w:t>27、加大人防设施的建设管理和组织实施力度，强化人防设施的全过程监管，确保各类设施符合规范，战之能用。</w:t>
      </w:r>
    </w:p>
    <w:p>
      <w:pPr>
        <w:pStyle w:val="23"/>
      </w:pPr>
      <w:r>
        <w:t>28、积极争取资金，加快我区人防社区的建设，完成人民防空方案的编制工作，谋划建设单建式人防工程。</w:t>
      </w:r>
    </w:p>
    <w:p>
      <w:pPr>
        <w:pStyle w:val="23"/>
      </w:pPr>
      <w:r>
        <w:t>29、主动对接省市两级，把握支持政策调整方向，紧盯中央、省预算内资金、国债资金、金融工具、战略性新兴产业资金的争取，组织教育、医疗、交通、城建、农林水利设施等重点部门及有关企业筛选谋划，提前完善项目要素，持续充实区级重大项目库，做到上级明确投资方向就拿得出项目去承接，最大限度争取上级资金支持。</w:t>
      </w:r>
    </w:p>
    <w:p>
      <w:pPr>
        <w:pStyle w:val="23"/>
      </w:pPr>
      <w:r>
        <w:t>30、围绕“加速项目启动实施、服务项目资金申报”大局，依法合规做好立项审批工作。加强项目建设进度督导，实行全流程跟进指导，确保灾后重建项目如期竣工。</w:t>
      </w:r>
    </w:p>
    <w:p>
      <w:pPr>
        <w:pStyle w:val="23"/>
      </w:pPr>
      <w:r>
        <w:t>31、强化服务意识，深入落实开展帮扶走访活动，多渠道多方式有针对性地宣讲灾后重建政策，助力全区快速有序复工复产复市。</w:t>
      </w:r>
    </w:p>
    <w:p>
      <w:pPr>
        <w:pStyle w:val="23"/>
      </w:pPr>
      <w:r>
        <w:t>32、进一步强化局党组织建设，旗帜鲜明讲政治，持之以恒抓落实。以局党组为核心，全方位统领全局各方面工作，以基层党支部和党小组为抓手，配齐配强工作落实力量。</w:t>
      </w:r>
    </w:p>
    <w:p>
      <w:pPr>
        <w:pStyle w:val="23"/>
      </w:pPr>
      <w:r>
        <w:t>33、以深入学习贯彻党的二十大精神和习近平新时代中国特色社会主义思想为基础，持续强化政治理论学习，狠抓意识形态建设，深入凝聚共识、统一思想，不断提高全局干部的政治领悟力、判断力、执行力，强力推动上级政策措施在发改局落实落地。</w:t>
      </w:r>
    </w:p>
    <w:p>
      <w:pPr>
        <w:pStyle w:val="23"/>
      </w:pPr>
      <w:r>
        <w:t>34、以干部的工作业绩和绩效作为识别干部的重要抓手，体现在职务晋升、工资调整、评先选优中，培树端正的业绩观念。</w:t>
      </w:r>
    </w:p>
    <w:p>
      <w:pPr>
        <w:pStyle w:val="23"/>
      </w:pPr>
      <w:r>
        <w:t>35、落实全面从严治党主体责任，始终把纪律和规矩挺在前面，持续加强机关工作作风的督导检查。开展各股室间的“查落实、比劲头、看成效”互比互看活动，比思想状态、比工作作风、比工作绩效，彰先策后、督促整改，全力推动各项工作圆满落实。</w:t>
      </w:r>
    </w:p>
    <w:p>
      <w:pPr>
        <w:pStyle w:val="23"/>
        <w:sectPr>
          <w:pgSz w:w="16840" w:h="11900" w:orient="landscape"/>
          <w:pgMar w:top="1361" w:right="1020" w:bottom="1361" w:left="1020" w:header="720" w:footer="720" w:gutter="0"/>
          <w:cols w:space="720" w:num="1"/>
        </w:sectPr>
      </w:pP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ind w:firstLine="560"/>
      </w:pP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、2023年中央大气污染防治资金（用于农村地区“双代”省级运行补助）的通知（保财资环【2022】69号）绩效目标表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13062123P00082810047E</w:t>
            </w:r>
          </w:p>
        </w:tc>
        <w:tc>
          <w:tcPr>
            <w:tcW w:w="2835" w:type="dxa"/>
            <w:vAlign w:val="center"/>
          </w:tcPr>
          <w:p>
            <w:pPr>
              <w:pStyle w:val="10"/>
            </w:pPr>
            <w:r>
              <w:t>项目名称</w:t>
            </w:r>
          </w:p>
        </w:tc>
        <w:tc>
          <w:tcPr>
            <w:tcW w:w="6094" w:type="dxa"/>
            <w:gridSpan w:val="3"/>
            <w:vAlign w:val="center"/>
          </w:tcPr>
          <w:p>
            <w:pPr>
              <w:pStyle w:val="12"/>
            </w:pPr>
            <w:r>
              <w:t>2023年中央大气污染防治资金（用于农村地区“双代”省级运行补助）的通知（保财资环【2022】69号）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815.00</w:t>
            </w:r>
          </w:p>
        </w:tc>
        <w:tc>
          <w:tcPr>
            <w:tcW w:w="2835" w:type="dxa"/>
            <w:vAlign w:val="center"/>
          </w:tcPr>
          <w:p>
            <w:pPr>
              <w:pStyle w:val="10"/>
            </w:pPr>
            <w:r>
              <w:t>其中：财政    资金</w:t>
            </w:r>
          </w:p>
        </w:tc>
        <w:tc>
          <w:tcPr>
            <w:tcW w:w="2551" w:type="dxa"/>
            <w:vAlign w:val="center"/>
          </w:tcPr>
          <w:p>
            <w:pPr>
              <w:pStyle w:val="12"/>
            </w:pPr>
            <w:r>
              <w:t>815.00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农村地区“双代”省级运行补助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815.00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p>
        </w:tc>
      </w:tr>
    </w:tbl>
    <w:p>
      <w:pPr>
        <w:spacing w:line="2" w:lineRule="exact"/>
        <w:jc w:val="center"/>
      </w:pPr>
    </w:p>
    <w:tbl>
      <w:tblPr>
        <w:tblStyle w:val="4"/>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补贴资金发放完成时间</w:t>
            </w:r>
          </w:p>
        </w:tc>
        <w:tc>
          <w:tcPr>
            <w:tcW w:w="2268" w:type="dxa"/>
            <w:vAlign w:val="center"/>
          </w:tcPr>
          <w:p>
            <w:pPr>
              <w:pStyle w:val="12"/>
            </w:pPr>
            <w:r>
              <w:t>2023年5月底前完成拨付</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补贴资金发放到户，平均每户金额</w:t>
            </w:r>
          </w:p>
        </w:tc>
        <w:tc>
          <w:tcPr>
            <w:tcW w:w="2268" w:type="dxa"/>
            <w:vAlign w:val="center"/>
          </w:tcPr>
          <w:p>
            <w:pPr>
              <w:pStyle w:val="12"/>
            </w:pPr>
            <w:r>
              <w:t>≤110元/户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使用运行补贴资金后，大气质量改善程度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享受运行补贴的群众满意度</w:t>
            </w:r>
          </w:p>
        </w:tc>
        <w:tc>
          <w:tcPr>
            <w:tcW w:w="2268" w:type="dxa"/>
            <w:vAlign w:val="center"/>
          </w:tcPr>
          <w:p>
            <w:pPr>
              <w:pStyle w:val="12"/>
            </w:pPr>
            <w:r>
              <w:t>100%</w:t>
            </w:r>
          </w:p>
        </w:tc>
        <w:tc>
          <w:tcPr>
            <w:tcW w:w="1276" w:type="dxa"/>
            <w:vAlign w:val="center"/>
          </w:tcPr>
          <w:p>
            <w:pPr>
              <w:pStyle w:val="12"/>
            </w:pPr>
            <w:r>
              <w:t>工作需要</w:t>
            </w:r>
          </w:p>
        </w:tc>
      </w:tr>
    </w:tbl>
    <w:p>
      <w:pPr>
        <w:ind w:firstLine="560"/>
        <w:rPr>
          <w:rFonts w:ascii="方正仿宋_GBK" w:hAnsi="方正仿宋_GBK" w:eastAsia="方正仿宋_GBK" w:cs="方正仿宋_GBK"/>
          <w:color w:val="000000"/>
          <w:sz w:val="28"/>
          <w:lang w:eastAsia="zh-CN"/>
        </w:rPr>
      </w:pPr>
    </w:p>
    <w:p>
      <w:pPr>
        <w:ind w:firstLine="560"/>
        <w:rPr>
          <w:rFonts w:ascii="方正仿宋_GBK" w:hAnsi="方正仿宋_GBK" w:eastAsia="方正仿宋_GBK" w:cs="方正仿宋_GBK"/>
          <w:color w:val="000000"/>
          <w:sz w:val="28"/>
          <w:lang w:eastAsia="zh-CN"/>
        </w:rPr>
      </w:pPr>
    </w:p>
    <w:p>
      <w:pPr>
        <w:ind w:firstLine="560"/>
        <w:rPr>
          <w:rFonts w:ascii="方正仿宋_GBK" w:hAnsi="方正仿宋_GBK" w:eastAsia="方正仿宋_GBK" w:cs="方正仿宋_GBK"/>
          <w:color w:val="000000"/>
          <w:sz w:val="28"/>
          <w:lang w:eastAsia="zh-CN"/>
        </w:rPr>
      </w:pPr>
    </w:p>
    <w:p>
      <w:pPr>
        <w:ind w:firstLine="560"/>
        <w:rPr>
          <w:rFonts w:ascii="方正仿宋_GBK" w:hAnsi="方正仿宋_GBK" w:eastAsia="方正仿宋_GBK" w:cs="方正仿宋_GBK"/>
          <w:color w:val="000000"/>
          <w:sz w:val="28"/>
          <w:lang w:eastAsia="zh-CN"/>
        </w:rPr>
      </w:pPr>
    </w:p>
    <w:p>
      <w:pPr>
        <w:ind w:firstLine="560"/>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、2023年中央大气污染防治资金（用于农村地区清洁取暖县级运行补助）（保财资环【2022】67号）绩效目标表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13062123P00082810046T</w:t>
            </w:r>
          </w:p>
        </w:tc>
        <w:tc>
          <w:tcPr>
            <w:tcW w:w="2835" w:type="dxa"/>
            <w:vAlign w:val="center"/>
          </w:tcPr>
          <w:p>
            <w:pPr>
              <w:pStyle w:val="10"/>
            </w:pPr>
            <w:r>
              <w:t>项目名称</w:t>
            </w:r>
          </w:p>
        </w:tc>
        <w:tc>
          <w:tcPr>
            <w:tcW w:w="6094" w:type="dxa"/>
            <w:gridSpan w:val="3"/>
            <w:vAlign w:val="center"/>
          </w:tcPr>
          <w:p>
            <w:pPr>
              <w:pStyle w:val="12"/>
            </w:pPr>
            <w:r>
              <w:t>2023年中央大气污染防治资金（用于农村地区清洁取暖县级运行补助）（保财资环【2022】67号）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1065.00</w:t>
            </w:r>
          </w:p>
        </w:tc>
        <w:tc>
          <w:tcPr>
            <w:tcW w:w="2835" w:type="dxa"/>
            <w:vAlign w:val="center"/>
          </w:tcPr>
          <w:p>
            <w:pPr>
              <w:pStyle w:val="10"/>
            </w:pPr>
            <w:r>
              <w:t>其中：财政    资金</w:t>
            </w:r>
          </w:p>
        </w:tc>
        <w:tc>
          <w:tcPr>
            <w:tcW w:w="2551" w:type="dxa"/>
            <w:vAlign w:val="center"/>
          </w:tcPr>
          <w:p>
            <w:pPr>
              <w:pStyle w:val="12"/>
            </w:pPr>
            <w:r>
              <w:t>1065.00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农村地区气代煤县级运行补助资金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1065.00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p>
        </w:tc>
      </w:tr>
    </w:tbl>
    <w:p>
      <w:pPr>
        <w:spacing w:line="2" w:lineRule="exact"/>
        <w:jc w:val="center"/>
      </w:pPr>
    </w:p>
    <w:tbl>
      <w:tblPr>
        <w:tblStyle w:val="4"/>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补贴资金发放完成的时间</w:t>
            </w:r>
          </w:p>
        </w:tc>
        <w:tc>
          <w:tcPr>
            <w:tcW w:w="2268" w:type="dxa"/>
            <w:vAlign w:val="center"/>
          </w:tcPr>
          <w:p>
            <w:pPr>
              <w:pStyle w:val="12"/>
            </w:pPr>
            <w:r>
              <w:t>2023年5月前拨付完毕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运行补贴资金发放，平均每户金额</w:t>
            </w:r>
          </w:p>
        </w:tc>
        <w:tc>
          <w:tcPr>
            <w:tcW w:w="2268" w:type="dxa"/>
            <w:vAlign w:val="center"/>
          </w:tcPr>
          <w:p>
            <w:pPr>
              <w:pStyle w:val="12"/>
            </w:pPr>
            <w:r>
              <w:t>≤144元/户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运行补贴资金发放后，大气质量改善程度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享受运行补贴的群众满意程度</w:t>
            </w:r>
          </w:p>
        </w:tc>
        <w:tc>
          <w:tcPr>
            <w:tcW w:w="2268" w:type="dxa"/>
            <w:vAlign w:val="center"/>
          </w:tcPr>
          <w:p>
            <w:pPr>
              <w:pStyle w:val="12"/>
            </w:pPr>
            <w:r>
              <w:t>100</w:t>
            </w:r>
          </w:p>
        </w:tc>
        <w:tc>
          <w:tcPr>
            <w:tcW w:w="1276" w:type="dxa"/>
            <w:vAlign w:val="center"/>
          </w:tcPr>
          <w:p>
            <w:pPr>
              <w:pStyle w:val="12"/>
            </w:pPr>
            <w:r>
              <w:t>工作需要</w:t>
            </w:r>
          </w:p>
        </w:tc>
      </w:tr>
    </w:tbl>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、2024年中央大气污染防治资金（用于农村地区“双代”省级运行补助）（保财资环【2023】57号）绩效目标表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13062124P00082810062J</w:t>
            </w:r>
          </w:p>
        </w:tc>
        <w:tc>
          <w:tcPr>
            <w:tcW w:w="2835" w:type="dxa"/>
            <w:vAlign w:val="center"/>
          </w:tcPr>
          <w:p>
            <w:pPr>
              <w:pStyle w:val="10"/>
            </w:pPr>
            <w:r>
              <w:t>项目名称</w:t>
            </w:r>
          </w:p>
        </w:tc>
        <w:tc>
          <w:tcPr>
            <w:tcW w:w="6094" w:type="dxa"/>
            <w:gridSpan w:val="3"/>
            <w:vAlign w:val="center"/>
          </w:tcPr>
          <w:p>
            <w:pPr>
              <w:pStyle w:val="12"/>
            </w:pPr>
            <w:r>
              <w:t>2024年中央大气污染防治资金（用于农村地区“双代”省级运行补助）（保财资环【2023】57号）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504.00</w:t>
            </w:r>
          </w:p>
        </w:tc>
        <w:tc>
          <w:tcPr>
            <w:tcW w:w="2835" w:type="dxa"/>
            <w:vAlign w:val="center"/>
          </w:tcPr>
          <w:p>
            <w:pPr>
              <w:pStyle w:val="10"/>
            </w:pPr>
            <w:r>
              <w:t>其中：财政    资金</w:t>
            </w:r>
          </w:p>
        </w:tc>
        <w:tc>
          <w:tcPr>
            <w:tcW w:w="2551" w:type="dxa"/>
            <w:vAlign w:val="center"/>
          </w:tcPr>
          <w:p>
            <w:pPr>
              <w:pStyle w:val="12"/>
            </w:pPr>
            <w:r>
              <w:t>504.00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双代改造任务2024年供暖季省级应承担运行补助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504.00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1.运行补贴资金发放完毕，确保受益群众满意</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享受气量运行补贴户数</w:t>
            </w:r>
          </w:p>
        </w:tc>
        <w:tc>
          <w:tcPr>
            <w:tcW w:w="5386" w:type="dxa"/>
            <w:vAlign w:val="center"/>
          </w:tcPr>
          <w:p>
            <w:pPr>
              <w:pStyle w:val="12"/>
            </w:pPr>
            <w:r>
              <w:t>取暖季享受运行补贴户数</w:t>
            </w:r>
          </w:p>
        </w:tc>
        <w:tc>
          <w:tcPr>
            <w:tcW w:w="2268" w:type="dxa"/>
            <w:vAlign w:val="center"/>
          </w:tcPr>
          <w:p>
            <w:pPr>
              <w:pStyle w:val="12"/>
            </w:pPr>
            <w:r>
              <w:t>≤74342户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运行补贴使用质量</w:t>
            </w:r>
          </w:p>
        </w:tc>
        <w:tc>
          <w:tcPr>
            <w:tcW w:w="5386" w:type="dxa"/>
            <w:vAlign w:val="center"/>
          </w:tcPr>
          <w:p>
            <w:pPr>
              <w:pStyle w:val="12"/>
            </w:pPr>
            <w:r>
              <w:t>运行补贴发放范围</w:t>
            </w:r>
          </w:p>
        </w:tc>
        <w:tc>
          <w:tcPr>
            <w:tcW w:w="2268" w:type="dxa"/>
            <w:vAlign w:val="center"/>
          </w:tcPr>
          <w:p>
            <w:pPr>
              <w:pStyle w:val="12"/>
            </w:pPr>
            <w:r>
              <w:t>全部应用于双代改造户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5386" w:type="dxa"/>
            <w:vAlign w:val="center"/>
          </w:tcPr>
          <w:p>
            <w:pPr>
              <w:pStyle w:val="12"/>
            </w:pPr>
            <w:r>
              <w:t>补贴资金发放完成的时间</w:t>
            </w:r>
          </w:p>
        </w:tc>
        <w:tc>
          <w:tcPr>
            <w:tcW w:w="2268" w:type="dxa"/>
            <w:vAlign w:val="center"/>
          </w:tcPr>
          <w:p>
            <w:pPr>
              <w:pStyle w:val="12"/>
            </w:pPr>
            <w:r>
              <w:t>2024年6月前拨付完毕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户均发放金额</w:t>
            </w:r>
          </w:p>
        </w:tc>
        <w:tc>
          <w:tcPr>
            <w:tcW w:w="5386" w:type="dxa"/>
            <w:vAlign w:val="center"/>
          </w:tcPr>
          <w:p>
            <w:pPr>
              <w:pStyle w:val="12"/>
            </w:pPr>
            <w:r>
              <w:t>运行补贴资金发放，平均每户金额</w:t>
            </w:r>
          </w:p>
        </w:tc>
        <w:tc>
          <w:tcPr>
            <w:tcW w:w="2268" w:type="dxa"/>
            <w:vAlign w:val="center"/>
          </w:tcPr>
          <w:p>
            <w:pPr>
              <w:pStyle w:val="12"/>
            </w:pPr>
            <w:r>
              <w:t>≤68元/户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运行补贴资金发放后，大气质量改善程度</w:t>
            </w:r>
          </w:p>
        </w:tc>
        <w:tc>
          <w:tcPr>
            <w:tcW w:w="2268" w:type="dxa"/>
            <w:vAlign w:val="center"/>
          </w:tcPr>
          <w:p>
            <w:pPr>
              <w:pStyle w:val="12"/>
            </w:pPr>
            <w:r>
              <w:t>大气质量持续改善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5386" w:type="dxa"/>
            <w:vAlign w:val="center"/>
          </w:tcPr>
          <w:p>
            <w:pPr>
              <w:pStyle w:val="12"/>
            </w:pPr>
            <w:r>
              <w:t>享受运行补贴的群众满意程度</w:t>
            </w:r>
          </w:p>
        </w:tc>
        <w:tc>
          <w:tcPr>
            <w:tcW w:w="2268" w:type="dxa"/>
            <w:vAlign w:val="center"/>
          </w:tcPr>
          <w:p>
            <w:pPr>
              <w:pStyle w:val="12"/>
            </w:pPr>
            <w:r>
              <w:t>≥95%</w:t>
            </w:r>
          </w:p>
        </w:tc>
        <w:tc>
          <w:tcPr>
            <w:tcW w:w="1276" w:type="dxa"/>
            <w:vAlign w:val="center"/>
          </w:tcPr>
          <w:p>
            <w:pPr>
              <w:pStyle w:val="12"/>
            </w:pPr>
            <w:r>
              <w:t>工作需要</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1、2019年发改局办公楼维修改造资金绩效目标表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13062124P004992100193</w:t>
            </w:r>
          </w:p>
        </w:tc>
        <w:tc>
          <w:tcPr>
            <w:tcW w:w="2835" w:type="dxa"/>
            <w:vAlign w:val="center"/>
          </w:tcPr>
          <w:p>
            <w:pPr>
              <w:pStyle w:val="10"/>
            </w:pPr>
            <w:r>
              <w:t>项目名称</w:t>
            </w:r>
          </w:p>
        </w:tc>
        <w:tc>
          <w:tcPr>
            <w:tcW w:w="6094" w:type="dxa"/>
            <w:gridSpan w:val="3"/>
            <w:vAlign w:val="center"/>
          </w:tcPr>
          <w:p>
            <w:pPr>
              <w:pStyle w:val="12"/>
            </w:pPr>
            <w:r>
              <w:t>2019年发改局办公楼维修改造资金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办公楼维修改造资金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18.00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1.及时拨付维修资金，达到维修单位满意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建设、改造、修缮工程量</w:t>
            </w:r>
          </w:p>
          <w:p>
            <w:pPr>
              <w:pStyle w:val="12"/>
            </w:pPr>
          </w:p>
        </w:tc>
        <w:tc>
          <w:tcPr>
            <w:tcW w:w="5386" w:type="dxa"/>
            <w:vAlign w:val="center"/>
          </w:tcPr>
          <w:p>
            <w:pPr>
              <w:pStyle w:val="12"/>
            </w:pPr>
            <w:r>
              <w:t>基础设施建设、改造、修缮的平米数</w:t>
            </w:r>
          </w:p>
        </w:tc>
        <w:tc>
          <w:tcPr>
            <w:tcW w:w="2268" w:type="dxa"/>
            <w:vAlign w:val="center"/>
          </w:tcPr>
          <w:p>
            <w:pPr>
              <w:pStyle w:val="12"/>
            </w:pPr>
            <w:r>
              <w:t>≥1600平方米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维修改造办公设施合格率</w:t>
            </w:r>
          </w:p>
        </w:tc>
        <w:tc>
          <w:tcPr>
            <w:tcW w:w="5386" w:type="dxa"/>
            <w:vAlign w:val="center"/>
          </w:tcPr>
          <w:p>
            <w:pPr>
              <w:pStyle w:val="12"/>
            </w:pPr>
            <w:r>
              <w:t>维修改造办公设施合格率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维修改造办公设施时限</w:t>
            </w:r>
          </w:p>
        </w:tc>
        <w:tc>
          <w:tcPr>
            <w:tcW w:w="5386" w:type="dxa"/>
            <w:vAlign w:val="center"/>
          </w:tcPr>
          <w:p>
            <w:pPr>
              <w:pStyle w:val="12"/>
            </w:pPr>
            <w:r>
              <w:t>维修改造办公设施时限</w:t>
            </w:r>
          </w:p>
        </w:tc>
        <w:tc>
          <w:tcPr>
            <w:tcW w:w="2268" w:type="dxa"/>
            <w:vAlign w:val="center"/>
          </w:tcPr>
          <w:p>
            <w:pPr>
              <w:pStyle w:val="12"/>
            </w:pPr>
            <w:r>
              <w:t>2019年9月1日-2020年4月16日</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维修改造成本</w:t>
            </w:r>
          </w:p>
        </w:tc>
        <w:tc>
          <w:tcPr>
            <w:tcW w:w="5386" w:type="dxa"/>
            <w:vAlign w:val="center"/>
          </w:tcPr>
          <w:p>
            <w:pPr>
              <w:pStyle w:val="12"/>
            </w:pPr>
            <w:r>
              <w:t>办公用房维修改造结算评审成本</w:t>
            </w:r>
          </w:p>
        </w:tc>
        <w:tc>
          <w:tcPr>
            <w:tcW w:w="2268" w:type="dxa"/>
            <w:vAlign w:val="center"/>
          </w:tcPr>
          <w:p>
            <w:pPr>
              <w:pStyle w:val="12"/>
            </w:pPr>
            <w:r>
              <w:t>17.99万元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保障正常办公</w:t>
            </w:r>
          </w:p>
        </w:tc>
        <w:tc>
          <w:tcPr>
            <w:tcW w:w="5386" w:type="dxa"/>
            <w:vAlign w:val="center"/>
          </w:tcPr>
          <w:p>
            <w:pPr>
              <w:pStyle w:val="12"/>
            </w:pPr>
            <w:r>
              <w:t>完成办公用房维修改造，保障正常办公</w:t>
            </w:r>
          </w:p>
        </w:tc>
        <w:tc>
          <w:tcPr>
            <w:tcW w:w="2268" w:type="dxa"/>
            <w:vAlign w:val="center"/>
          </w:tcPr>
          <w:p>
            <w:pPr>
              <w:pStyle w:val="12"/>
            </w:pPr>
            <w:r>
              <w:t>改善办公环境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对维修工作的满意度</w:t>
            </w:r>
          </w:p>
        </w:tc>
        <w:tc>
          <w:tcPr>
            <w:tcW w:w="5386" w:type="dxa"/>
            <w:vAlign w:val="center"/>
          </w:tcPr>
          <w:p>
            <w:pPr>
              <w:pStyle w:val="12"/>
            </w:pPr>
            <w:r>
              <w:t>办公人员对维修工作的满意度</w:t>
            </w:r>
          </w:p>
        </w:tc>
        <w:tc>
          <w:tcPr>
            <w:tcW w:w="2268" w:type="dxa"/>
            <w:vAlign w:val="center"/>
          </w:tcPr>
          <w:p>
            <w:pPr>
              <w:pStyle w:val="12"/>
            </w:pPr>
            <w:r>
              <w:t>满意</w:t>
            </w:r>
          </w:p>
        </w:tc>
        <w:tc>
          <w:tcPr>
            <w:tcW w:w="1276" w:type="dxa"/>
            <w:vAlign w:val="center"/>
          </w:tcPr>
          <w:p>
            <w:pPr>
              <w:pStyle w:val="12"/>
            </w:pPr>
            <w: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2、2021-2023年度取暖季洁净型煤区级补贴资金绩效目标表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13062124P00488410019F</w:t>
            </w:r>
          </w:p>
        </w:tc>
        <w:tc>
          <w:tcPr>
            <w:tcW w:w="2835" w:type="dxa"/>
            <w:vAlign w:val="center"/>
          </w:tcPr>
          <w:p>
            <w:pPr>
              <w:pStyle w:val="10"/>
            </w:pPr>
            <w:r>
              <w:t>项目名称</w:t>
            </w:r>
          </w:p>
        </w:tc>
        <w:tc>
          <w:tcPr>
            <w:tcW w:w="6094" w:type="dxa"/>
            <w:gridSpan w:val="3"/>
            <w:vAlign w:val="center"/>
          </w:tcPr>
          <w:p>
            <w:pPr>
              <w:pStyle w:val="12"/>
            </w:pPr>
            <w:r>
              <w:t>2021-2023年度取暖季洁净型煤区级补贴资金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3000.00</w:t>
            </w:r>
          </w:p>
        </w:tc>
        <w:tc>
          <w:tcPr>
            <w:tcW w:w="2835" w:type="dxa"/>
            <w:vAlign w:val="center"/>
          </w:tcPr>
          <w:p>
            <w:pPr>
              <w:pStyle w:val="10"/>
            </w:pPr>
            <w:r>
              <w:t>其中：财政    资金</w:t>
            </w:r>
          </w:p>
        </w:tc>
        <w:tc>
          <w:tcPr>
            <w:tcW w:w="2551" w:type="dxa"/>
            <w:vAlign w:val="center"/>
          </w:tcPr>
          <w:p>
            <w:pPr>
              <w:pStyle w:val="12"/>
            </w:pPr>
            <w:r>
              <w:t>3000.00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2021-2023年度洁净型煤区级补贴资金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1.及时拨付补贴资金，支持企业发展</w:t>
            </w:r>
            <w:r>
              <w:tab/>
            </w:r>
            <w:r>
              <w:tab/>
            </w:r>
            <w:r>
              <w:tab/>
            </w:r>
            <w:r>
              <w:tab/>
            </w:r>
            <w:r>
              <w:tab/>
            </w:r>
            <w:r>
              <w:tab/>
            </w:r>
            <w:r>
              <w:tab/>
            </w:r>
            <w:r>
              <w:tab/>
            </w:r>
          </w:p>
        </w:tc>
      </w:tr>
    </w:tbl>
    <w:p>
      <w:pPr>
        <w:spacing w:line="2" w:lineRule="exact"/>
        <w:jc w:val="center"/>
      </w:pPr>
    </w:p>
    <w:tbl>
      <w:tblPr>
        <w:tblStyle w:val="4"/>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验收推广配送吨数</w:t>
            </w:r>
          </w:p>
        </w:tc>
        <w:tc>
          <w:tcPr>
            <w:tcW w:w="5386" w:type="dxa"/>
            <w:vAlign w:val="center"/>
          </w:tcPr>
          <w:p>
            <w:pPr>
              <w:pStyle w:val="12"/>
            </w:pPr>
            <w:r>
              <w:t>2021-2023年度洁净型煤验收推广保供配送吨数</w:t>
            </w:r>
          </w:p>
        </w:tc>
        <w:tc>
          <w:tcPr>
            <w:tcW w:w="2268" w:type="dxa"/>
            <w:vAlign w:val="center"/>
          </w:tcPr>
          <w:p>
            <w:pPr>
              <w:pStyle w:val="12"/>
            </w:pPr>
            <w:r>
              <w:t>83929.52吨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产品合格率</w:t>
            </w:r>
          </w:p>
        </w:tc>
        <w:tc>
          <w:tcPr>
            <w:tcW w:w="5386" w:type="dxa"/>
            <w:vAlign w:val="center"/>
          </w:tcPr>
          <w:p>
            <w:pPr>
              <w:pStyle w:val="12"/>
            </w:pPr>
            <w:r>
              <w:t>通过省市每批抽检产品检验合格率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自批复拨付区级补贴资金完成时限</w:t>
            </w:r>
          </w:p>
        </w:tc>
        <w:tc>
          <w:tcPr>
            <w:tcW w:w="2268" w:type="dxa"/>
            <w:vAlign w:val="center"/>
          </w:tcPr>
          <w:p>
            <w:pPr>
              <w:pStyle w:val="12"/>
            </w:pPr>
            <w:r>
              <w:t>3个工作日内</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补贴资金吨标准</w:t>
            </w:r>
          </w:p>
        </w:tc>
        <w:tc>
          <w:tcPr>
            <w:tcW w:w="5386" w:type="dxa"/>
            <w:vAlign w:val="center"/>
          </w:tcPr>
          <w:p>
            <w:pPr>
              <w:pStyle w:val="12"/>
            </w:pPr>
            <w:r>
              <w:t>2024年区级预算安排每吨补贴金额</w:t>
            </w:r>
          </w:p>
        </w:tc>
        <w:tc>
          <w:tcPr>
            <w:tcW w:w="2268" w:type="dxa"/>
            <w:vAlign w:val="center"/>
          </w:tcPr>
          <w:p>
            <w:pPr>
              <w:pStyle w:val="12"/>
            </w:pPr>
            <w:r>
              <w:t>≤358元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改善生态环境质量</w:t>
            </w:r>
          </w:p>
        </w:tc>
        <w:tc>
          <w:tcPr>
            <w:tcW w:w="5386" w:type="dxa"/>
            <w:vAlign w:val="center"/>
          </w:tcPr>
          <w:p>
            <w:pPr>
              <w:pStyle w:val="12"/>
            </w:pPr>
            <w:r>
              <w:t>通过使用洁净型煤，改善生态环境质量</w:t>
            </w:r>
          </w:p>
        </w:tc>
        <w:tc>
          <w:tcPr>
            <w:tcW w:w="2268" w:type="dxa"/>
            <w:vAlign w:val="center"/>
          </w:tcPr>
          <w:p>
            <w:pPr>
              <w:pStyle w:val="12"/>
            </w:pPr>
            <w:r>
              <w:t>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5386" w:type="dxa"/>
            <w:vAlign w:val="center"/>
          </w:tcPr>
          <w:p>
            <w:pPr>
              <w:pStyle w:val="12"/>
            </w:pPr>
            <w:r>
              <w:t>通过及时拨付区级补贴资金企业满意度</w:t>
            </w:r>
          </w:p>
        </w:tc>
        <w:tc>
          <w:tcPr>
            <w:tcW w:w="2268" w:type="dxa"/>
            <w:vAlign w:val="center"/>
          </w:tcPr>
          <w:p>
            <w:pPr>
              <w:pStyle w:val="12"/>
            </w:pPr>
            <w:r>
              <w:t>满意</w:t>
            </w:r>
          </w:p>
        </w:tc>
        <w:tc>
          <w:tcPr>
            <w:tcW w:w="1276" w:type="dxa"/>
            <w:vAlign w:val="center"/>
          </w:tcPr>
          <w:p>
            <w:pPr>
              <w:pStyle w:val="12"/>
            </w:pPr>
            <w:r>
              <w:t>工作需要</w:t>
            </w:r>
          </w:p>
        </w:tc>
      </w:tr>
    </w:tbl>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rPr>
          <w:rFonts w:ascii="方正仿宋_GBK" w:hAnsi="方正仿宋_GBK" w:eastAsia="方正仿宋_GBK" w:cs="方正仿宋_GBK"/>
          <w:color w:val="000000"/>
          <w:sz w:val="28"/>
          <w:lang w:eastAsia="zh-CN"/>
        </w:rPr>
      </w:pPr>
    </w:p>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、2024年机关后勤保障保安保洁用工绩效目标表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13062124P004992100168</w:t>
            </w:r>
          </w:p>
        </w:tc>
        <w:tc>
          <w:tcPr>
            <w:tcW w:w="2835" w:type="dxa"/>
            <w:vAlign w:val="center"/>
          </w:tcPr>
          <w:p>
            <w:pPr>
              <w:pStyle w:val="10"/>
            </w:pPr>
            <w:r>
              <w:t>项目名称</w:t>
            </w:r>
          </w:p>
        </w:tc>
        <w:tc>
          <w:tcPr>
            <w:tcW w:w="6094" w:type="dxa"/>
            <w:gridSpan w:val="3"/>
            <w:vAlign w:val="center"/>
          </w:tcPr>
          <w:p>
            <w:pPr>
              <w:pStyle w:val="12"/>
            </w:pPr>
            <w:r>
              <w:t>2024年机关后勤保障保安保洁用工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5.28</w:t>
            </w:r>
          </w:p>
        </w:tc>
        <w:tc>
          <w:tcPr>
            <w:tcW w:w="2835" w:type="dxa"/>
            <w:vAlign w:val="center"/>
          </w:tcPr>
          <w:p>
            <w:pPr>
              <w:pStyle w:val="10"/>
            </w:pPr>
            <w:r>
              <w:t>其中：财政    资金</w:t>
            </w:r>
          </w:p>
        </w:tc>
        <w:tc>
          <w:tcPr>
            <w:tcW w:w="2551" w:type="dxa"/>
            <w:vAlign w:val="center"/>
          </w:tcPr>
          <w:p>
            <w:pPr>
              <w:pStyle w:val="12"/>
            </w:pPr>
            <w:r>
              <w:t>5.28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机关后勤保洁保安临时工劳务费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1.32</w:t>
            </w:r>
          </w:p>
        </w:tc>
        <w:tc>
          <w:tcPr>
            <w:tcW w:w="2835" w:type="dxa"/>
            <w:vAlign w:val="center"/>
          </w:tcPr>
          <w:p>
            <w:pPr>
              <w:pStyle w:val="13"/>
            </w:pPr>
            <w:r>
              <w:t>2.64</w:t>
            </w:r>
          </w:p>
        </w:tc>
        <w:tc>
          <w:tcPr>
            <w:tcW w:w="2551" w:type="dxa"/>
            <w:vAlign w:val="center"/>
          </w:tcPr>
          <w:p>
            <w:pPr>
              <w:pStyle w:val="13"/>
            </w:pPr>
            <w:r>
              <w:t>3.96</w:t>
            </w:r>
          </w:p>
        </w:tc>
        <w:tc>
          <w:tcPr>
            <w:tcW w:w="3543" w:type="dxa"/>
            <w:gridSpan w:val="2"/>
            <w:vAlign w:val="center"/>
          </w:tcPr>
          <w:p>
            <w:pPr>
              <w:pStyle w:val="13"/>
            </w:pPr>
            <w:r>
              <w:t>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1.完成工作任务，按时支付劳务费，达到服务对象满意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签订用工协议人数</w:t>
            </w:r>
          </w:p>
        </w:tc>
        <w:tc>
          <w:tcPr>
            <w:tcW w:w="5386" w:type="dxa"/>
            <w:vAlign w:val="center"/>
          </w:tcPr>
          <w:p>
            <w:pPr>
              <w:pStyle w:val="12"/>
            </w:pPr>
            <w:r>
              <w:t>签订机关后勤服务协议人员数量</w:t>
            </w:r>
          </w:p>
        </w:tc>
        <w:tc>
          <w:tcPr>
            <w:tcW w:w="2268" w:type="dxa"/>
            <w:vAlign w:val="center"/>
          </w:tcPr>
          <w:p>
            <w:pPr>
              <w:pStyle w:val="12"/>
            </w:pPr>
            <w:r>
              <w:t>保安1名、保洁1名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后勤服务保障率</w:t>
            </w:r>
          </w:p>
        </w:tc>
        <w:tc>
          <w:tcPr>
            <w:tcW w:w="5386" w:type="dxa"/>
            <w:vAlign w:val="center"/>
          </w:tcPr>
          <w:p>
            <w:pPr>
              <w:pStyle w:val="12"/>
            </w:pPr>
            <w:r>
              <w:t>保安保洁人员后勤服务保障率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服务期限</w:t>
            </w:r>
          </w:p>
        </w:tc>
        <w:tc>
          <w:tcPr>
            <w:tcW w:w="5386" w:type="dxa"/>
            <w:vAlign w:val="center"/>
          </w:tcPr>
          <w:p>
            <w:pPr>
              <w:pStyle w:val="12"/>
            </w:pPr>
            <w:r>
              <w:t>保安保洁人员后勤服务期限</w:t>
            </w:r>
          </w:p>
        </w:tc>
        <w:tc>
          <w:tcPr>
            <w:tcW w:w="2268" w:type="dxa"/>
            <w:vAlign w:val="center"/>
          </w:tcPr>
          <w:p>
            <w:pPr>
              <w:pStyle w:val="12"/>
            </w:pPr>
            <w:r>
              <w:t>12月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月劳务费</w:t>
            </w:r>
          </w:p>
        </w:tc>
        <w:tc>
          <w:tcPr>
            <w:tcW w:w="5386" w:type="dxa"/>
            <w:vAlign w:val="center"/>
          </w:tcPr>
          <w:p>
            <w:pPr>
              <w:pStyle w:val="12"/>
            </w:pPr>
            <w:r>
              <w:t>每月支付保安保洁劳务费金额</w:t>
            </w:r>
          </w:p>
        </w:tc>
        <w:tc>
          <w:tcPr>
            <w:tcW w:w="2268" w:type="dxa"/>
            <w:vAlign w:val="center"/>
          </w:tcPr>
          <w:p>
            <w:pPr>
              <w:pStyle w:val="12"/>
            </w:pPr>
            <w:r>
              <w:t>4400元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提升工作环境</w:t>
            </w:r>
          </w:p>
        </w:tc>
        <w:tc>
          <w:tcPr>
            <w:tcW w:w="5386" w:type="dxa"/>
            <w:vAlign w:val="center"/>
          </w:tcPr>
          <w:p>
            <w:pPr>
              <w:pStyle w:val="12"/>
            </w:pPr>
            <w:r>
              <w:t>加强后勤服务能力，保障机关安全，保持工作环境干净卫生。</w:t>
            </w:r>
          </w:p>
        </w:tc>
        <w:tc>
          <w:tcPr>
            <w:tcW w:w="2268" w:type="dxa"/>
            <w:vAlign w:val="center"/>
          </w:tcPr>
          <w:p>
            <w:pPr>
              <w:pStyle w:val="12"/>
            </w:pPr>
            <w:r>
              <w:t>有效提升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5386" w:type="dxa"/>
            <w:vAlign w:val="center"/>
          </w:tcPr>
          <w:p>
            <w:pPr>
              <w:pStyle w:val="12"/>
            </w:pPr>
            <w:r>
              <w:t>机关工作人员对后勤服务人员的服务满意度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、2024年军粮供应和集约化保障建设资金（保财建【2023】90号）绩效目标表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13062124P00266D10023M</w:t>
            </w:r>
          </w:p>
        </w:tc>
        <w:tc>
          <w:tcPr>
            <w:tcW w:w="2835" w:type="dxa"/>
            <w:vAlign w:val="center"/>
          </w:tcPr>
          <w:p>
            <w:pPr>
              <w:pStyle w:val="10"/>
            </w:pPr>
            <w:r>
              <w:t>项目名称</w:t>
            </w:r>
          </w:p>
        </w:tc>
        <w:tc>
          <w:tcPr>
            <w:tcW w:w="6094" w:type="dxa"/>
            <w:gridSpan w:val="3"/>
            <w:vAlign w:val="center"/>
          </w:tcPr>
          <w:p>
            <w:pPr>
              <w:pStyle w:val="12"/>
            </w:pPr>
            <w:r>
              <w:t>2024年军粮供应和集约化保障建设资金（保财建【2023】90号）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17.00</w:t>
            </w:r>
          </w:p>
        </w:tc>
        <w:tc>
          <w:tcPr>
            <w:tcW w:w="2835" w:type="dxa"/>
            <w:vAlign w:val="center"/>
          </w:tcPr>
          <w:p>
            <w:pPr>
              <w:pStyle w:val="10"/>
            </w:pPr>
            <w:r>
              <w:t>其中：财政    资金</w:t>
            </w:r>
          </w:p>
        </w:tc>
        <w:tc>
          <w:tcPr>
            <w:tcW w:w="2551" w:type="dxa"/>
            <w:vAlign w:val="center"/>
          </w:tcPr>
          <w:p>
            <w:pPr>
              <w:pStyle w:val="12"/>
            </w:pPr>
            <w:r>
              <w:t>17.00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2024年军粮供应补贴资金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17.00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1.做好全省大米、小麦粉、食用油、大豆筹措统筹，高标准、高质量做好部队军粮保障。</w:t>
            </w:r>
          </w:p>
          <w:p>
            <w:pPr>
              <w:pStyle w:val="12"/>
            </w:pPr>
            <w:r>
              <w:t>2.做好节日品种调剂、丰富部队主食供应品种，改善部队官兵生活，助力双拥共建。</w:t>
            </w:r>
          </w:p>
          <w:p>
            <w:pPr>
              <w:pStyle w:val="12"/>
            </w:pPr>
            <w:r>
              <w:t>3.通过为军供站配置检测仪器和应急配送相关装备软件以及维修升级改造，实现全省军粮供应网格化全天候应急保障网络全覆盖。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部队调剂供应品种种类</w:t>
            </w:r>
          </w:p>
        </w:tc>
        <w:tc>
          <w:tcPr>
            <w:tcW w:w="5386" w:type="dxa"/>
            <w:vAlign w:val="center"/>
          </w:tcPr>
          <w:p>
            <w:pPr>
              <w:pStyle w:val="12"/>
            </w:pPr>
            <w:r>
              <w:t>为部队官兵供给免淘米、水饺粉、绿豆、红小豆等节日品种</w:t>
            </w:r>
          </w:p>
        </w:tc>
        <w:tc>
          <w:tcPr>
            <w:tcW w:w="2268" w:type="dxa"/>
            <w:vAlign w:val="center"/>
          </w:tcPr>
          <w:p>
            <w:pPr>
              <w:pStyle w:val="12"/>
            </w:pPr>
            <w:r>
              <w:t>品种调剂供应数量</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当年供应（含调剂）军粮质量合格率</w:t>
            </w:r>
          </w:p>
        </w:tc>
        <w:tc>
          <w:tcPr>
            <w:tcW w:w="5386" w:type="dxa"/>
            <w:vAlign w:val="center"/>
          </w:tcPr>
          <w:p>
            <w:pPr>
              <w:pStyle w:val="12"/>
            </w:pPr>
            <w:r>
              <w:t>合格数量/全部粮食检测总量</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项目资金落实情况</w:t>
            </w:r>
          </w:p>
        </w:tc>
        <w:tc>
          <w:tcPr>
            <w:tcW w:w="5386" w:type="dxa"/>
            <w:vAlign w:val="center"/>
          </w:tcPr>
          <w:p>
            <w:pPr>
              <w:pStyle w:val="12"/>
            </w:pPr>
            <w:r>
              <w:t>项目资金拨至军供站</w:t>
            </w:r>
          </w:p>
        </w:tc>
        <w:tc>
          <w:tcPr>
            <w:tcW w:w="2268" w:type="dxa"/>
            <w:vAlign w:val="center"/>
          </w:tcPr>
          <w:p>
            <w:pPr>
              <w:pStyle w:val="12"/>
            </w:pPr>
            <w:r>
              <w:t>2024年12月31日前完成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5386" w:type="dxa"/>
            <w:vAlign w:val="center"/>
          </w:tcPr>
          <w:p>
            <w:pPr>
              <w:pStyle w:val="12"/>
            </w:pPr>
            <w:r>
              <w:t>涉密</w:t>
            </w:r>
          </w:p>
        </w:tc>
        <w:tc>
          <w:tcPr>
            <w:tcW w:w="2268" w:type="dxa"/>
            <w:vAlign w:val="center"/>
          </w:tcPr>
          <w:p>
            <w:pPr>
              <w:pStyle w:val="12"/>
            </w:pPr>
            <w:r>
              <w:t>涉密</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准确、及时完成军粮供应任务</w:t>
            </w:r>
          </w:p>
        </w:tc>
        <w:tc>
          <w:tcPr>
            <w:tcW w:w="5386" w:type="dxa"/>
            <w:vAlign w:val="center"/>
          </w:tcPr>
          <w:p>
            <w:pPr>
              <w:pStyle w:val="12"/>
            </w:pPr>
            <w:r>
              <w:t>费用补贴资金拨至军供站</w:t>
            </w:r>
          </w:p>
        </w:tc>
        <w:tc>
          <w:tcPr>
            <w:tcW w:w="2268" w:type="dxa"/>
            <w:vAlign w:val="center"/>
          </w:tcPr>
          <w:p>
            <w:pPr>
              <w:pStyle w:val="12"/>
            </w:pPr>
            <w:r>
              <w:t>部队和政府相关部门对军粮供应工作的反馈意见</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驻冀部队满意度</w:t>
            </w:r>
          </w:p>
        </w:tc>
        <w:tc>
          <w:tcPr>
            <w:tcW w:w="5386" w:type="dxa"/>
            <w:vAlign w:val="center"/>
          </w:tcPr>
          <w:p>
            <w:pPr>
              <w:pStyle w:val="12"/>
            </w:pPr>
            <w:r>
              <w:t>调查驻冀部队反馈满意和较满意的数量占参与调查部队总数量的比率</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、（预）保定市满城区粮食和物资储备库建设项目（保财债【2023】20号）绩效目标表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13062123P00266D10029W</w:t>
            </w:r>
          </w:p>
        </w:tc>
        <w:tc>
          <w:tcPr>
            <w:tcW w:w="2835" w:type="dxa"/>
            <w:vAlign w:val="center"/>
          </w:tcPr>
          <w:p>
            <w:pPr>
              <w:pStyle w:val="10"/>
            </w:pPr>
            <w:r>
              <w:t>项目名称</w:t>
            </w:r>
          </w:p>
        </w:tc>
        <w:tc>
          <w:tcPr>
            <w:tcW w:w="6094" w:type="dxa"/>
            <w:gridSpan w:val="3"/>
            <w:vAlign w:val="center"/>
          </w:tcPr>
          <w:p>
            <w:pPr>
              <w:pStyle w:val="12"/>
            </w:pPr>
            <w:r>
              <w:t>（预）保定市满城区粮食和物资储备库建设项目（保财债【2023】20号）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2300.00</w:t>
            </w:r>
          </w:p>
        </w:tc>
        <w:tc>
          <w:tcPr>
            <w:tcW w:w="2835" w:type="dxa"/>
            <w:vAlign w:val="center"/>
          </w:tcPr>
          <w:p>
            <w:pPr>
              <w:pStyle w:val="10"/>
            </w:pPr>
            <w:r>
              <w:t>其中：财政    资金</w:t>
            </w:r>
          </w:p>
        </w:tc>
        <w:tc>
          <w:tcPr>
            <w:tcW w:w="2551" w:type="dxa"/>
            <w:vAlign w:val="center"/>
          </w:tcPr>
          <w:p>
            <w:pPr>
              <w:pStyle w:val="12"/>
            </w:pPr>
            <w:r>
              <w:t>2300.00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粮食和物资储备建设项目工程资金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575.00</w:t>
            </w:r>
          </w:p>
        </w:tc>
        <w:tc>
          <w:tcPr>
            <w:tcW w:w="2835" w:type="dxa"/>
            <w:vAlign w:val="center"/>
          </w:tcPr>
          <w:p>
            <w:pPr>
              <w:pStyle w:val="13"/>
            </w:pPr>
            <w:r>
              <w:t>1150.00</w:t>
            </w:r>
          </w:p>
        </w:tc>
        <w:tc>
          <w:tcPr>
            <w:tcW w:w="2551" w:type="dxa"/>
            <w:vAlign w:val="center"/>
          </w:tcPr>
          <w:p>
            <w:pPr>
              <w:pStyle w:val="13"/>
            </w:pPr>
            <w:r>
              <w:t>1725.00</w:t>
            </w:r>
          </w:p>
        </w:tc>
        <w:tc>
          <w:tcPr>
            <w:tcW w:w="3543" w:type="dxa"/>
            <w:gridSpan w:val="2"/>
            <w:vAlign w:val="center"/>
          </w:tcPr>
          <w:p>
            <w:pPr>
              <w:pStyle w:val="13"/>
            </w:pPr>
            <w:r>
              <w:t>2300.00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1.完成建设任务，确保粮食仓储，达到受益对象满意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占地面积</w:t>
            </w:r>
          </w:p>
        </w:tc>
        <w:tc>
          <w:tcPr>
            <w:tcW w:w="5386" w:type="dxa"/>
            <w:vAlign w:val="center"/>
          </w:tcPr>
          <w:p>
            <w:pPr>
              <w:pStyle w:val="12"/>
            </w:pPr>
            <w:r>
              <w:t>粮食储备库建设面积</w:t>
            </w:r>
          </w:p>
        </w:tc>
        <w:tc>
          <w:tcPr>
            <w:tcW w:w="2268" w:type="dxa"/>
            <w:vAlign w:val="center"/>
          </w:tcPr>
          <w:p>
            <w:pPr>
              <w:pStyle w:val="12"/>
            </w:pPr>
            <w:r>
              <w:t>24185.8平方米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粮食储备库建设项目验收合格率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p>
            <w:pPr>
              <w:pStyle w:val="12"/>
            </w:pPr>
          </w:p>
        </w:tc>
        <w:tc>
          <w:tcPr>
            <w:tcW w:w="5386" w:type="dxa"/>
            <w:vAlign w:val="center"/>
          </w:tcPr>
          <w:p>
            <w:pPr>
              <w:pStyle w:val="12"/>
            </w:pPr>
            <w:r>
              <w:t>粮食储备库建设项目完成时间</w:t>
            </w:r>
          </w:p>
        </w:tc>
        <w:tc>
          <w:tcPr>
            <w:tcW w:w="2268" w:type="dxa"/>
            <w:vAlign w:val="center"/>
          </w:tcPr>
          <w:p>
            <w:pPr>
              <w:pStyle w:val="12"/>
            </w:pPr>
            <w:r>
              <w:t>≤2年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粮食储备库建设项目单位建设平均成本</w:t>
            </w:r>
          </w:p>
        </w:tc>
        <w:tc>
          <w:tcPr>
            <w:tcW w:w="2268" w:type="dxa"/>
            <w:vAlign w:val="center"/>
          </w:tcPr>
          <w:p>
            <w:pPr>
              <w:pStyle w:val="12"/>
            </w:pPr>
            <w:r>
              <w:t>≤3775元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粮食仓储能力</w:t>
            </w:r>
          </w:p>
        </w:tc>
        <w:tc>
          <w:tcPr>
            <w:tcW w:w="5386" w:type="dxa"/>
            <w:vAlign w:val="center"/>
          </w:tcPr>
          <w:p>
            <w:pPr>
              <w:pStyle w:val="12"/>
            </w:pPr>
            <w:r>
              <w:t>粮食储备库建设提升满城区粮食仓储能力情况</w:t>
            </w:r>
          </w:p>
        </w:tc>
        <w:tc>
          <w:tcPr>
            <w:tcW w:w="2268" w:type="dxa"/>
            <w:vAlign w:val="center"/>
          </w:tcPr>
          <w:p>
            <w:pPr>
              <w:pStyle w:val="12"/>
            </w:pPr>
            <w:r>
              <w:t>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5386" w:type="dxa"/>
            <w:vAlign w:val="center"/>
          </w:tcPr>
          <w:p>
            <w:pPr>
              <w:pStyle w:val="12"/>
            </w:pPr>
            <w:r>
              <w:t>受益对象满意度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、保定市满城区粮食和物资储备库建设项目（保财债【2022】10号）绩效目标表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13062122P00266D10014G</w:t>
            </w:r>
          </w:p>
        </w:tc>
        <w:tc>
          <w:tcPr>
            <w:tcW w:w="2835" w:type="dxa"/>
            <w:vAlign w:val="center"/>
          </w:tcPr>
          <w:p>
            <w:pPr>
              <w:pStyle w:val="10"/>
            </w:pPr>
            <w:r>
              <w:t>项目名称</w:t>
            </w:r>
          </w:p>
        </w:tc>
        <w:tc>
          <w:tcPr>
            <w:tcW w:w="6094" w:type="dxa"/>
            <w:gridSpan w:val="3"/>
            <w:vAlign w:val="center"/>
          </w:tcPr>
          <w:p>
            <w:pPr>
              <w:pStyle w:val="12"/>
            </w:pPr>
            <w:r>
              <w:t>保定市满城区粮食和物资储备库建设项目（保财债【2022】10号）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789.93</w:t>
            </w:r>
          </w:p>
        </w:tc>
        <w:tc>
          <w:tcPr>
            <w:tcW w:w="2835" w:type="dxa"/>
            <w:vAlign w:val="center"/>
          </w:tcPr>
          <w:p>
            <w:pPr>
              <w:pStyle w:val="10"/>
            </w:pPr>
            <w:r>
              <w:t>其中：财政    资金</w:t>
            </w:r>
          </w:p>
        </w:tc>
        <w:tc>
          <w:tcPr>
            <w:tcW w:w="2551" w:type="dxa"/>
            <w:vAlign w:val="center"/>
          </w:tcPr>
          <w:p>
            <w:pPr>
              <w:pStyle w:val="12"/>
            </w:pPr>
            <w:r>
              <w:t>789.93</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满城区粮食储备库建设资金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1.完成建设任务，确保粮食仓储，达到受益对象满意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占地面积</w:t>
            </w:r>
          </w:p>
        </w:tc>
        <w:tc>
          <w:tcPr>
            <w:tcW w:w="5386" w:type="dxa"/>
            <w:vAlign w:val="center"/>
          </w:tcPr>
          <w:p>
            <w:pPr>
              <w:pStyle w:val="12"/>
            </w:pPr>
            <w:r>
              <w:t>粮食储备库建设面积</w:t>
            </w:r>
          </w:p>
        </w:tc>
        <w:tc>
          <w:tcPr>
            <w:tcW w:w="2268" w:type="dxa"/>
            <w:vAlign w:val="center"/>
          </w:tcPr>
          <w:p>
            <w:pPr>
              <w:pStyle w:val="12"/>
            </w:pPr>
            <w:r>
              <w:t>24185.8平方米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粮食储备库建设项目验收合格率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p>
            <w:pPr>
              <w:pStyle w:val="12"/>
            </w:pPr>
          </w:p>
          <w:p>
            <w:pPr>
              <w:pStyle w:val="12"/>
            </w:pPr>
          </w:p>
        </w:tc>
        <w:tc>
          <w:tcPr>
            <w:tcW w:w="5386" w:type="dxa"/>
            <w:vAlign w:val="center"/>
          </w:tcPr>
          <w:p>
            <w:pPr>
              <w:pStyle w:val="12"/>
            </w:pPr>
            <w:r>
              <w:t>粮食储备库建设项目完成时间</w:t>
            </w:r>
          </w:p>
          <w:p>
            <w:pPr>
              <w:pStyle w:val="12"/>
            </w:pPr>
          </w:p>
        </w:tc>
        <w:tc>
          <w:tcPr>
            <w:tcW w:w="2268" w:type="dxa"/>
            <w:vAlign w:val="center"/>
          </w:tcPr>
          <w:p>
            <w:pPr>
              <w:pStyle w:val="12"/>
            </w:pPr>
            <w:r>
              <w:t>≤2年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粮食储备库建设项目单位建设平均成本</w:t>
            </w:r>
          </w:p>
        </w:tc>
        <w:tc>
          <w:tcPr>
            <w:tcW w:w="2268" w:type="dxa"/>
            <w:vAlign w:val="center"/>
          </w:tcPr>
          <w:p>
            <w:pPr>
              <w:pStyle w:val="12"/>
            </w:pPr>
            <w:r>
              <w:t>≤3775元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粮食仓储能力</w:t>
            </w:r>
          </w:p>
        </w:tc>
        <w:tc>
          <w:tcPr>
            <w:tcW w:w="5386" w:type="dxa"/>
            <w:vAlign w:val="center"/>
          </w:tcPr>
          <w:p>
            <w:pPr>
              <w:pStyle w:val="12"/>
            </w:pPr>
            <w:r>
              <w:t>粮食储备库建设提升满城区粮食仓储能力情况</w:t>
            </w:r>
          </w:p>
        </w:tc>
        <w:tc>
          <w:tcPr>
            <w:tcW w:w="2268" w:type="dxa"/>
            <w:vAlign w:val="center"/>
          </w:tcPr>
          <w:p>
            <w:pPr>
              <w:pStyle w:val="12"/>
            </w:pPr>
            <w:r>
              <w:t>提升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5386" w:type="dxa"/>
            <w:vAlign w:val="center"/>
          </w:tcPr>
          <w:p>
            <w:pPr>
              <w:pStyle w:val="12"/>
            </w:pPr>
            <w:r>
              <w:t>受益对象满意度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、北京华源恒科蓄热电暖气有限公司“煤改电”试点工程未结工程款资金绩效目标表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13062124P00488410021E</w:t>
            </w:r>
          </w:p>
        </w:tc>
        <w:tc>
          <w:tcPr>
            <w:tcW w:w="2835" w:type="dxa"/>
            <w:vAlign w:val="center"/>
          </w:tcPr>
          <w:p>
            <w:pPr>
              <w:pStyle w:val="10"/>
            </w:pPr>
            <w:r>
              <w:t>项目名称</w:t>
            </w:r>
          </w:p>
        </w:tc>
        <w:tc>
          <w:tcPr>
            <w:tcW w:w="6094" w:type="dxa"/>
            <w:gridSpan w:val="3"/>
            <w:vAlign w:val="center"/>
          </w:tcPr>
          <w:p>
            <w:pPr>
              <w:pStyle w:val="12"/>
            </w:pPr>
            <w:r>
              <w:t>北京华源恒科蓄热电暖气有限公司“煤改电”试点工程未结工程款资金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煤改电工程补贴资金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w:t>
            </w:r>
          </w:p>
        </w:tc>
        <w:tc>
          <w:tcPr>
            <w:tcW w:w="2835" w:type="dxa"/>
            <w:vAlign w:val="center"/>
          </w:tcPr>
          <w:p>
            <w:pPr>
              <w:pStyle w:val="13"/>
            </w:pPr>
            <w:r>
              <w:t>114.40</w:t>
            </w: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1.及时拨付资金，达到企业满意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安装台数</w:t>
            </w:r>
          </w:p>
        </w:tc>
        <w:tc>
          <w:tcPr>
            <w:tcW w:w="5386" w:type="dxa"/>
            <w:vAlign w:val="center"/>
          </w:tcPr>
          <w:p>
            <w:pPr>
              <w:pStyle w:val="12"/>
            </w:pPr>
            <w:r>
              <w:t>煤改电试点工程安装设备台数</w:t>
            </w:r>
          </w:p>
        </w:tc>
        <w:tc>
          <w:tcPr>
            <w:tcW w:w="2268" w:type="dxa"/>
            <w:vAlign w:val="center"/>
          </w:tcPr>
          <w:p>
            <w:pPr>
              <w:pStyle w:val="12"/>
            </w:pPr>
            <w:r>
              <w:t>572台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设备验收完成合格率</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及时率</w:t>
            </w:r>
          </w:p>
        </w:tc>
        <w:tc>
          <w:tcPr>
            <w:tcW w:w="5386" w:type="dxa"/>
            <w:vAlign w:val="center"/>
          </w:tcPr>
          <w:p>
            <w:pPr>
              <w:pStyle w:val="12"/>
            </w:pPr>
            <w:r>
              <w:t>拨付补贴资金及时完成情况</w:t>
            </w:r>
          </w:p>
        </w:tc>
        <w:tc>
          <w:tcPr>
            <w:tcW w:w="2268" w:type="dxa"/>
            <w:vAlign w:val="center"/>
          </w:tcPr>
          <w:p>
            <w:pPr>
              <w:pStyle w:val="12"/>
            </w:pPr>
            <w:r>
              <w:t>及时完成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台补贴标准</w:t>
            </w:r>
          </w:p>
        </w:tc>
        <w:tc>
          <w:tcPr>
            <w:tcW w:w="5386" w:type="dxa"/>
            <w:vAlign w:val="center"/>
          </w:tcPr>
          <w:p>
            <w:pPr>
              <w:pStyle w:val="12"/>
            </w:pPr>
            <w:r>
              <w:t>设备每台补贴标准</w:t>
            </w:r>
          </w:p>
        </w:tc>
        <w:tc>
          <w:tcPr>
            <w:tcW w:w="2268" w:type="dxa"/>
            <w:vAlign w:val="center"/>
          </w:tcPr>
          <w:p>
            <w:pPr>
              <w:pStyle w:val="12"/>
            </w:pPr>
            <w:r>
              <w:t>2000元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受益群体满意度</w:t>
            </w:r>
          </w:p>
        </w:tc>
        <w:tc>
          <w:tcPr>
            <w:tcW w:w="5386" w:type="dxa"/>
            <w:vAlign w:val="center"/>
          </w:tcPr>
          <w:p>
            <w:pPr>
              <w:pStyle w:val="12"/>
            </w:pPr>
            <w:r>
              <w:t>受益群体满意度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、粮食市场监管执法经费绩效目标表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13062124P00266D100249</w:t>
            </w:r>
          </w:p>
        </w:tc>
        <w:tc>
          <w:tcPr>
            <w:tcW w:w="2835" w:type="dxa"/>
            <w:vAlign w:val="center"/>
          </w:tcPr>
          <w:p>
            <w:pPr>
              <w:pStyle w:val="10"/>
            </w:pPr>
            <w:r>
              <w:t>项目名称</w:t>
            </w:r>
          </w:p>
        </w:tc>
        <w:tc>
          <w:tcPr>
            <w:tcW w:w="6094" w:type="dxa"/>
            <w:gridSpan w:val="3"/>
            <w:vAlign w:val="center"/>
          </w:tcPr>
          <w:p>
            <w:pPr>
              <w:pStyle w:val="12"/>
            </w:pPr>
            <w:r>
              <w:t>粮食市场监管执法经费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粮食市场监管执法经费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0.20</w:t>
            </w:r>
          </w:p>
        </w:tc>
        <w:tc>
          <w:tcPr>
            <w:tcW w:w="2835" w:type="dxa"/>
            <w:vAlign w:val="center"/>
          </w:tcPr>
          <w:p>
            <w:pPr>
              <w:pStyle w:val="13"/>
            </w:pPr>
            <w:r>
              <w:t>0.40</w:t>
            </w:r>
          </w:p>
        </w:tc>
        <w:tc>
          <w:tcPr>
            <w:tcW w:w="2551" w:type="dxa"/>
            <w:vAlign w:val="center"/>
          </w:tcPr>
          <w:p>
            <w:pPr>
              <w:pStyle w:val="13"/>
            </w:pPr>
            <w:r>
              <w:t>0.60</w:t>
            </w:r>
          </w:p>
        </w:tc>
        <w:tc>
          <w:tcPr>
            <w:tcW w:w="3543" w:type="dxa"/>
            <w:gridSpan w:val="2"/>
            <w:vAlign w:val="center"/>
          </w:tcPr>
          <w:p>
            <w:pPr>
              <w:pStyle w:val="13"/>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1.目标1：提升粮食应急保供能力</w:t>
            </w:r>
          </w:p>
          <w:p>
            <w:pPr>
              <w:pStyle w:val="12"/>
            </w:pPr>
            <w:r>
              <w:t>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监管执法数量</w:t>
            </w:r>
          </w:p>
        </w:tc>
        <w:tc>
          <w:tcPr>
            <w:tcW w:w="5386" w:type="dxa"/>
            <w:vAlign w:val="center"/>
          </w:tcPr>
          <w:p>
            <w:pPr>
              <w:pStyle w:val="12"/>
            </w:pPr>
            <w:r>
              <w:t>粮食经营主体检查数量</w:t>
            </w:r>
          </w:p>
        </w:tc>
        <w:tc>
          <w:tcPr>
            <w:tcW w:w="2268" w:type="dxa"/>
            <w:vAlign w:val="center"/>
          </w:tcPr>
          <w:p>
            <w:pPr>
              <w:pStyle w:val="12"/>
            </w:pPr>
            <w:r>
              <w:t>≥60个次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检查覆盖率</w:t>
            </w:r>
          </w:p>
        </w:tc>
        <w:tc>
          <w:tcPr>
            <w:tcW w:w="5386" w:type="dxa"/>
            <w:vAlign w:val="center"/>
          </w:tcPr>
          <w:p>
            <w:pPr>
              <w:pStyle w:val="12"/>
            </w:pPr>
            <w:r>
              <w:t>粮食经营主体检查覆盖率</w:t>
            </w:r>
          </w:p>
        </w:tc>
        <w:tc>
          <w:tcPr>
            <w:tcW w:w="2268" w:type="dxa"/>
            <w:vAlign w:val="center"/>
          </w:tcPr>
          <w:p>
            <w:pPr>
              <w:pStyle w:val="12"/>
            </w:pPr>
            <w:r>
              <w:t>≥50%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完成工作时间</w:t>
            </w:r>
          </w:p>
        </w:tc>
        <w:tc>
          <w:tcPr>
            <w:tcW w:w="5386" w:type="dxa"/>
            <w:vAlign w:val="center"/>
          </w:tcPr>
          <w:p>
            <w:pPr>
              <w:pStyle w:val="12"/>
            </w:pPr>
            <w:r>
              <w:t>完成工作持续时间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检查总费用</w:t>
            </w:r>
          </w:p>
        </w:tc>
        <w:tc>
          <w:tcPr>
            <w:tcW w:w="5386" w:type="dxa"/>
            <w:vAlign w:val="center"/>
          </w:tcPr>
          <w:p>
            <w:pPr>
              <w:pStyle w:val="12"/>
            </w:pPr>
            <w:r>
              <w:t>检查活动所需要的经费</w:t>
            </w:r>
          </w:p>
        </w:tc>
        <w:tc>
          <w:tcPr>
            <w:tcW w:w="2268" w:type="dxa"/>
            <w:vAlign w:val="center"/>
          </w:tcPr>
          <w:p>
            <w:pPr>
              <w:pStyle w:val="12"/>
            </w:pPr>
            <w:r>
              <w:t>0.8万元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粮食应急保供能力</w:t>
            </w:r>
          </w:p>
        </w:tc>
        <w:tc>
          <w:tcPr>
            <w:tcW w:w="5386" w:type="dxa"/>
            <w:vAlign w:val="center"/>
          </w:tcPr>
          <w:p>
            <w:pPr>
              <w:pStyle w:val="12"/>
            </w:pPr>
            <w:r>
              <w:t>提升粮食应急保供能力</w:t>
            </w:r>
          </w:p>
        </w:tc>
        <w:tc>
          <w:tcPr>
            <w:tcW w:w="2268" w:type="dxa"/>
            <w:vAlign w:val="center"/>
          </w:tcPr>
          <w:p>
            <w:pPr>
              <w:pStyle w:val="12"/>
            </w:pPr>
            <w:r>
              <w:t>规范粮食流通市场秩序，保障粮食应急保供</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监管粮食经营主体对执法服务的满意度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9</w:t>
      </w:r>
      <w:r>
        <w:rPr>
          <w:rFonts w:ascii="方正仿宋_GBK" w:hAnsi="方正仿宋_GBK" w:eastAsia="方正仿宋_GBK" w:cs="方正仿宋_GBK"/>
          <w:color w:val="000000"/>
          <w:sz w:val="28"/>
        </w:rPr>
        <w:t>、粮食应急网点监管维护经费绩效目标表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13062124P00266D10025W</w:t>
            </w:r>
          </w:p>
        </w:tc>
        <w:tc>
          <w:tcPr>
            <w:tcW w:w="2835" w:type="dxa"/>
            <w:vAlign w:val="center"/>
          </w:tcPr>
          <w:p>
            <w:pPr>
              <w:pStyle w:val="10"/>
            </w:pPr>
            <w:r>
              <w:t>项目名称</w:t>
            </w:r>
          </w:p>
        </w:tc>
        <w:tc>
          <w:tcPr>
            <w:tcW w:w="6094" w:type="dxa"/>
            <w:gridSpan w:val="3"/>
            <w:vAlign w:val="center"/>
          </w:tcPr>
          <w:p>
            <w:pPr>
              <w:pStyle w:val="12"/>
            </w:pPr>
            <w:r>
              <w:t>粮食应急网点监管维护经费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粮食应急网点监管维护费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0.20</w:t>
            </w:r>
          </w:p>
        </w:tc>
        <w:tc>
          <w:tcPr>
            <w:tcW w:w="2835" w:type="dxa"/>
            <w:vAlign w:val="center"/>
          </w:tcPr>
          <w:p>
            <w:pPr>
              <w:pStyle w:val="13"/>
            </w:pPr>
            <w:r>
              <w:t>0.40</w:t>
            </w:r>
          </w:p>
        </w:tc>
        <w:tc>
          <w:tcPr>
            <w:tcW w:w="2551" w:type="dxa"/>
            <w:vAlign w:val="center"/>
          </w:tcPr>
          <w:p>
            <w:pPr>
              <w:pStyle w:val="13"/>
            </w:pPr>
            <w:r>
              <w:t>0.60</w:t>
            </w:r>
          </w:p>
        </w:tc>
        <w:tc>
          <w:tcPr>
            <w:tcW w:w="3543" w:type="dxa"/>
            <w:gridSpan w:val="2"/>
            <w:vAlign w:val="center"/>
          </w:tcPr>
          <w:p>
            <w:pPr>
              <w:pStyle w:val="13"/>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1.目标1：保障粮食应急网络运行正常 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应急网点数量</w:t>
            </w:r>
          </w:p>
        </w:tc>
        <w:tc>
          <w:tcPr>
            <w:tcW w:w="5386" w:type="dxa"/>
            <w:vAlign w:val="center"/>
          </w:tcPr>
          <w:p>
            <w:pPr>
              <w:pStyle w:val="12"/>
            </w:pPr>
            <w:r>
              <w:t>维持应急网点总数量</w:t>
            </w:r>
          </w:p>
        </w:tc>
        <w:tc>
          <w:tcPr>
            <w:tcW w:w="2268" w:type="dxa"/>
            <w:vAlign w:val="center"/>
          </w:tcPr>
          <w:p>
            <w:pPr>
              <w:pStyle w:val="12"/>
            </w:pPr>
            <w:r>
              <w:t>16个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网点质量</w:t>
            </w:r>
          </w:p>
        </w:tc>
        <w:tc>
          <w:tcPr>
            <w:tcW w:w="5386" w:type="dxa"/>
            <w:vAlign w:val="center"/>
          </w:tcPr>
          <w:p>
            <w:pPr>
              <w:pStyle w:val="12"/>
            </w:pPr>
            <w:r>
              <w:t>应急网点维护质量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网点监管维护时间</w:t>
            </w:r>
          </w:p>
        </w:tc>
        <w:tc>
          <w:tcPr>
            <w:tcW w:w="5386" w:type="dxa"/>
            <w:vAlign w:val="center"/>
          </w:tcPr>
          <w:p>
            <w:pPr>
              <w:pStyle w:val="12"/>
            </w:pPr>
            <w:r>
              <w:t>应急网点监管维护时间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粮食应急网点维护总费用</w:t>
            </w:r>
          </w:p>
        </w:tc>
        <w:tc>
          <w:tcPr>
            <w:tcW w:w="5386" w:type="dxa"/>
            <w:vAlign w:val="center"/>
          </w:tcPr>
          <w:p>
            <w:pPr>
              <w:pStyle w:val="12"/>
            </w:pPr>
            <w:r>
              <w:t>粮食应急网点维护总费用</w:t>
            </w:r>
          </w:p>
        </w:tc>
        <w:tc>
          <w:tcPr>
            <w:tcW w:w="2268" w:type="dxa"/>
            <w:vAlign w:val="center"/>
          </w:tcPr>
          <w:p>
            <w:pPr>
              <w:pStyle w:val="12"/>
            </w:pPr>
            <w:r>
              <w:t>0.8万元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保障粮食应急网络正常运行</w:t>
            </w:r>
          </w:p>
        </w:tc>
        <w:tc>
          <w:tcPr>
            <w:tcW w:w="5386" w:type="dxa"/>
            <w:vAlign w:val="center"/>
          </w:tcPr>
          <w:p>
            <w:pPr>
              <w:pStyle w:val="12"/>
            </w:pPr>
            <w:r>
              <w:t>应对市场突发情况</w:t>
            </w:r>
          </w:p>
        </w:tc>
        <w:tc>
          <w:tcPr>
            <w:tcW w:w="2268" w:type="dxa"/>
            <w:vAlign w:val="center"/>
          </w:tcPr>
          <w:p>
            <w:pPr>
              <w:pStyle w:val="12"/>
            </w:pPr>
            <w:r>
              <w:t>保障应急网络运转正常</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应急网点满意度</w:t>
            </w:r>
          </w:p>
        </w:tc>
        <w:tc>
          <w:tcPr>
            <w:tcW w:w="5386" w:type="dxa"/>
            <w:vAlign w:val="center"/>
          </w:tcPr>
          <w:p>
            <w:pPr>
              <w:pStyle w:val="12"/>
            </w:pPr>
            <w:r>
              <w:t>愿意维系应急网点的满意程度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10</w:t>
      </w:r>
      <w:r>
        <w:rPr>
          <w:rFonts w:ascii="方正仿宋_GBK" w:hAnsi="方正仿宋_GBK" w:eastAsia="方正仿宋_GBK" w:cs="方正仿宋_GBK"/>
          <w:color w:val="000000"/>
          <w:sz w:val="28"/>
        </w:rPr>
        <w:t>、粮食质监站运行经费绩效目标表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13062124P00266D10029B</w:t>
            </w:r>
          </w:p>
        </w:tc>
        <w:tc>
          <w:tcPr>
            <w:tcW w:w="2835" w:type="dxa"/>
            <w:vAlign w:val="center"/>
          </w:tcPr>
          <w:p>
            <w:pPr>
              <w:pStyle w:val="10"/>
            </w:pPr>
            <w:r>
              <w:t>项目名称</w:t>
            </w:r>
          </w:p>
        </w:tc>
        <w:tc>
          <w:tcPr>
            <w:tcW w:w="6094" w:type="dxa"/>
            <w:gridSpan w:val="3"/>
            <w:vAlign w:val="center"/>
          </w:tcPr>
          <w:p>
            <w:pPr>
              <w:pStyle w:val="12"/>
            </w:pPr>
            <w:r>
              <w:t>粮食质监站运行经费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3.50</w:t>
            </w:r>
          </w:p>
        </w:tc>
        <w:tc>
          <w:tcPr>
            <w:tcW w:w="2835" w:type="dxa"/>
            <w:vAlign w:val="center"/>
          </w:tcPr>
          <w:p>
            <w:pPr>
              <w:pStyle w:val="10"/>
            </w:pPr>
            <w:r>
              <w:t>其中：财政    资金</w:t>
            </w:r>
          </w:p>
        </w:tc>
        <w:tc>
          <w:tcPr>
            <w:tcW w:w="2551" w:type="dxa"/>
            <w:vAlign w:val="center"/>
          </w:tcPr>
          <w:p>
            <w:pPr>
              <w:pStyle w:val="12"/>
            </w:pPr>
            <w:r>
              <w:t>3.50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粮食质检站运行经费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0.88</w:t>
            </w:r>
          </w:p>
        </w:tc>
        <w:tc>
          <w:tcPr>
            <w:tcW w:w="2835" w:type="dxa"/>
            <w:vAlign w:val="center"/>
          </w:tcPr>
          <w:p>
            <w:pPr>
              <w:pStyle w:val="13"/>
            </w:pPr>
            <w:r>
              <w:t>1.75</w:t>
            </w:r>
          </w:p>
        </w:tc>
        <w:tc>
          <w:tcPr>
            <w:tcW w:w="2551" w:type="dxa"/>
            <w:vAlign w:val="center"/>
          </w:tcPr>
          <w:p>
            <w:pPr>
              <w:pStyle w:val="13"/>
            </w:pPr>
            <w:r>
              <w:t>2.63</w:t>
            </w:r>
          </w:p>
        </w:tc>
        <w:tc>
          <w:tcPr>
            <w:tcW w:w="3543" w:type="dxa"/>
            <w:gridSpan w:val="2"/>
            <w:vAlign w:val="center"/>
          </w:tcPr>
          <w:p>
            <w:pPr>
              <w:pStyle w:val="13"/>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1.保障粮食质检站正常运行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粮食质监任务完成数量</w:t>
            </w:r>
          </w:p>
        </w:tc>
        <w:tc>
          <w:tcPr>
            <w:tcW w:w="5386" w:type="dxa"/>
            <w:vAlign w:val="center"/>
          </w:tcPr>
          <w:p>
            <w:pPr>
              <w:pStyle w:val="12"/>
            </w:pPr>
            <w:r>
              <w:t>省市下达的粮食质监任务完成数量</w:t>
            </w:r>
          </w:p>
        </w:tc>
        <w:tc>
          <w:tcPr>
            <w:tcW w:w="2268" w:type="dxa"/>
            <w:vAlign w:val="center"/>
          </w:tcPr>
          <w:p>
            <w:pPr>
              <w:pStyle w:val="12"/>
            </w:pPr>
            <w:r>
              <w:t>≤50个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报告完成质量</w:t>
            </w:r>
          </w:p>
        </w:tc>
        <w:tc>
          <w:tcPr>
            <w:tcW w:w="5386" w:type="dxa"/>
            <w:vAlign w:val="center"/>
          </w:tcPr>
          <w:p>
            <w:pPr>
              <w:pStyle w:val="12"/>
            </w:pPr>
            <w:r>
              <w:t>粮食质量检测报告完成质量</w:t>
            </w:r>
          </w:p>
        </w:tc>
        <w:tc>
          <w:tcPr>
            <w:tcW w:w="2268" w:type="dxa"/>
            <w:vAlign w:val="center"/>
          </w:tcPr>
          <w:p>
            <w:pPr>
              <w:pStyle w:val="12"/>
            </w:pPr>
            <w:r>
              <w:t>保质保量</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按时完成任务</w:t>
            </w:r>
          </w:p>
        </w:tc>
        <w:tc>
          <w:tcPr>
            <w:tcW w:w="5386" w:type="dxa"/>
            <w:vAlign w:val="center"/>
          </w:tcPr>
          <w:p>
            <w:pPr>
              <w:pStyle w:val="12"/>
            </w:pPr>
            <w:r>
              <w:t>按时完成粮食质量安全监测任务</w:t>
            </w:r>
          </w:p>
        </w:tc>
        <w:tc>
          <w:tcPr>
            <w:tcW w:w="2268" w:type="dxa"/>
            <w:vAlign w:val="center"/>
          </w:tcPr>
          <w:p>
            <w:pPr>
              <w:pStyle w:val="12"/>
            </w:pPr>
            <w:r>
              <w:t>按时完成</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总费用</w:t>
            </w:r>
          </w:p>
        </w:tc>
        <w:tc>
          <w:tcPr>
            <w:tcW w:w="5386" w:type="dxa"/>
            <w:vAlign w:val="center"/>
          </w:tcPr>
          <w:p>
            <w:pPr>
              <w:pStyle w:val="12"/>
            </w:pPr>
            <w:r>
              <w:t>完成质监站工作所需总费用</w:t>
            </w:r>
          </w:p>
        </w:tc>
        <w:tc>
          <w:tcPr>
            <w:tcW w:w="2268" w:type="dxa"/>
            <w:vAlign w:val="center"/>
          </w:tcPr>
          <w:p>
            <w:pPr>
              <w:pStyle w:val="12"/>
            </w:pPr>
            <w:r>
              <w:t>3.5万元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构筑粮食质量追溯体系</w:t>
            </w:r>
          </w:p>
        </w:tc>
        <w:tc>
          <w:tcPr>
            <w:tcW w:w="5386" w:type="dxa"/>
            <w:vAlign w:val="center"/>
          </w:tcPr>
          <w:p>
            <w:pPr>
              <w:pStyle w:val="12"/>
            </w:pPr>
            <w:r>
              <w:t>通过粮食质监站，维护辖区内粮食质量安全</w:t>
            </w:r>
          </w:p>
        </w:tc>
        <w:tc>
          <w:tcPr>
            <w:tcW w:w="2268" w:type="dxa"/>
            <w:vAlign w:val="center"/>
          </w:tcPr>
          <w:p>
            <w:pPr>
              <w:pStyle w:val="12"/>
            </w:pPr>
            <w:r>
              <w:t>保障粮食质检站正常开展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进行检测的粮食经营主体的满意度</w:t>
            </w:r>
          </w:p>
        </w:tc>
        <w:tc>
          <w:tcPr>
            <w:tcW w:w="5386" w:type="dxa"/>
            <w:vAlign w:val="center"/>
          </w:tcPr>
          <w:p>
            <w:pPr>
              <w:pStyle w:val="12"/>
            </w:pPr>
            <w:r>
              <w:t>送检粮食经营主体满意度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、粮食质量安全监测经费绩效目标表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13062124P00266D10026G</w:t>
            </w:r>
          </w:p>
        </w:tc>
        <w:tc>
          <w:tcPr>
            <w:tcW w:w="2835" w:type="dxa"/>
            <w:vAlign w:val="center"/>
          </w:tcPr>
          <w:p>
            <w:pPr>
              <w:pStyle w:val="10"/>
            </w:pPr>
            <w:r>
              <w:t>项目名称</w:t>
            </w:r>
          </w:p>
        </w:tc>
        <w:tc>
          <w:tcPr>
            <w:tcW w:w="6094" w:type="dxa"/>
            <w:gridSpan w:val="3"/>
            <w:vAlign w:val="center"/>
          </w:tcPr>
          <w:p>
            <w:pPr>
              <w:pStyle w:val="12"/>
            </w:pPr>
            <w:r>
              <w:t>粮食质量安全监测经费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0.20</w:t>
            </w:r>
          </w:p>
        </w:tc>
        <w:tc>
          <w:tcPr>
            <w:tcW w:w="2835" w:type="dxa"/>
            <w:vAlign w:val="center"/>
          </w:tcPr>
          <w:p>
            <w:pPr>
              <w:pStyle w:val="10"/>
            </w:pPr>
            <w:r>
              <w:t>其中：财政    资金</w:t>
            </w:r>
          </w:p>
        </w:tc>
        <w:tc>
          <w:tcPr>
            <w:tcW w:w="2551" w:type="dxa"/>
            <w:vAlign w:val="center"/>
          </w:tcPr>
          <w:p>
            <w:pPr>
              <w:pStyle w:val="12"/>
            </w:pPr>
            <w:r>
              <w:t>0.20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粮食质量安全监测经费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0.05</w:t>
            </w:r>
          </w:p>
        </w:tc>
        <w:tc>
          <w:tcPr>
            <w:tcW w:w="2835" w:type="dxa"/>
            <w:vAlign w:val="center"/>
          </w:tcPr>
          <w:p>
            <w:pPr>
              <w:pStyle w:val="13"/>
            </w:pPr>
            <w:r>
              <w:t>0.10</w:t>
            </w:r>
          </w:p>
        </w:tc>
        <w:tc>
          <w:tcPr>
            <w:tcW w:w="2551" w:type="dxa"/>
            <w:vAlign w:val="center"/>
          </w:tcPr>
          <w:p>
            <w:pPr>
              <w:pStyle w:val="13"/>
            </w:pPr>
            <w:r>
              <w:t>0.15</w:t>
            </w:r>
          </w:p>
        </w:tc>
        <w:tc>
          <w:tcPr>
            <w:tcW w:w="3543" w:type="dxa"/>
            <w:gridSpan w:val="2"/>
            <w:vAlign w:val="center"/>
          </w:tcPr>
          <w:p>
            <w:pPr>
              <w:pStyle w:val="13"/>
            </w:pPr>
            <w:r>
              <w:t>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1.目标1：保障年度粮食质量检测工作顺利完成 目标2：2023年耕地保护和粮食安全责任制考核相关内容不丢分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粮食质量安全监测经费</w:t>
            </w:r>
          </w:p>
        </w:tc>
        <w:tc>
          <w:tcPr>
            <w:tcW w:w="5386" w:type="dxa"/>
            <w:vAlign w:val="center"/>
          </w:tcPr>
          <w:p>
            <w:pPr>
              <w:pStyle w:val="12"/>
            </w:pPr>
            <w:r>
              <w:t>从农户和种粮大户处收购小麦和玉米监测样本</w:t>
            </w:r>
          </w:p>
        </w:tc>
        <w:tc>
          <w:tcPr>
            <w:tcW w:w="2268" w:type="dxa"/>
            <w:vAlign w:val="center"/>
          </w:tcPr>
          <w:p>
            <w:pPr>
              <w:pStyle w:val="12"/>
            </w:pPr>
            <w:r>
              <w:t>0.2万元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样本送检质量</w:t>
            </w:r>
          </w:p>
        </w:tc>
        <w:tc>
          <w:tcPr>
            <w:tcW w:w="5386" w:type="dxa"/>
            <w:vAlign w:val="center"/>
          </w:tcPr>
          <w:p>
            <w:pPr>
              <w:pStyle w:val="12"/>
            </w:pPr>
            <w:r>
              <w:t>扦样样本质量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监测经费使用时间</w:t>
            </w:r>
          </w:p>
        </w:tc>
        <w:tc>
          <w:tcPr>
            <w:tcW w:w="5386" w:type="dxa"/>
            <w:vAlign w:val="center"/>
          </w:tcPr>
          <w:p>
            <w:pPr>
              <w:pStyle w:val="12"/>
            </w:pPr>
            <w:r>
              <w:t>监测经费使用时间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监测总经费</w:t>
            </w:r>
          </w:p>
        </w:tc>
        <w:tc>
          <w:tcPr>
            <w:tcW w:w="5386" w:type="dxa"/>
            <w:vAlign w:val="center"/>
          </w:tcPr>
          <w:p>
            <w:pPr>
              <w:pStyle w:val="12"/>
            </w:pPr>
            <w:r>
              <w:t>质量安全监测总经费</w:t>
            </w:r>
          </w:p>
        </w:tc>
        <w:tc>
          <w:tcPr>
            <w:tcW w:w="2268" w:type="dxa"/>
            <w:vAlign w:val="center"/>
          </w:tcPr>
          <w:p>
            <w:pPr>
              <w:pStyle w:val="12"/>
            </w:pPr>
            <w:r>
              <w:t>0.2万元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质量安全情况</w:t>
            </w:r>
          </w:p>
        </w:tc>
        <w:tc>
          <w:tcPr>
            <w:tcW w:w="5386" w:type="dxa"/>
            <w:vAlign w:val="center"/>
          </w:tcPr>
          <w:p>
            <w:pPr>
              <w:pStyle w:val="12"/>
            </w:pPr>
            <w:r>
              <w:t>确保年度监测工作顺利完成</w:t>
            </w:r>
          </w:p>
        </w:tc>
        <w:tc>
          <w:tcPr>
            <w:tcW w:w="2268" w:type="dxa"/>
            <w:vAlign w:val="center"/>
          </w:tcPr>
          <w:p>
            <w:pPr>
              <w:pStyle w:val="12"/>
            </w:pPr>
            <w:r>
              <w:t>真实反映我区质量安全情况</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农户、种粮大户满意度</w:t>
            </w:r>
          </w:p>
        </w:tc>
        <w:tc>
          <w:tcPr>
            <w:tcW w:w="5386" w:type="dxa"/>
            <w:vAlign w:val="center"/>
          </w:tcPr>
          <w:p>
            <w:pPr>
              <w:pStyle w:val="12"/>
            </w:pPr>
            <w:r>
              <w:t>农户、种粮大户对样品价格的满意度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、农村气代煤工程区级补贴资金绩效目标表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13062124P00082810065D</w:t>
            </w:r>
          </w:p>
        </w:tc>
        <w:tc>
          <w:tcPr>
            <w:tcW w:w="2835" w:type="dxa"/>
            <w:vAlign w:val="center"/>
          </w:tcPr>
          <w:p>
            <w:pPr>
              <w:pStyle w:val="10"/>
            </w:pPr>
            <w:r>
              <w:t>项目名称</w:t>
            </w:r>
          </w:p>
        </w:tc>
        <w:tc>
          <w:tcPr>
            <w:tcW w:w="6094" w:type="dxa"/>
            <w:gridSpan w:val="3"/>
            <w:vAlign w:val="center"/>
          </w:tcPr>
          <w:p>
            <w:pPr>
              <w:pStyle w:val="12"/>
            </w:pPr>
            <w:r>
              <w:t>农村气代煤工程区级补贴资金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1000.00</w:t>
            </w:r>
          </w:p>
        </w:tc>
        <w:tc>
          <w:tcPr>
            <w:tcW w:w="2835" w:type="dxa"/>
            <w:vAlign w:val="center"/>
          </w:tcPr>
          <w:p>
            <w:pPr>
              <w:pStyle w:val="10"/>
            </w:pPr>
            <w:r>
              <w:t>其中：财政    资金</w:t>
            </w:r>
          </w:p>
        </w:tc>
        <w:tc>
          <w:tcPr>
            <w:tcW w:w="2551" w:type="dxa"/>
            <w:vAlign w:val="center"/>
          </w:tcPr>
          <w:p>
            <w:pPr>
              <w:pStyle w:val="12"/>
            </w:pPr>
            <w:r>
              <w:t>1000.00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2017-2020年农村气代煤工程区级补贴资金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1.按合同拨付补贴资金，达到企业满意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时效指标</w:t>
            </w:r>
          </w:p>
        </w:tc>
        <w:tc>
          <w:tcPr>
            <w:tcW w:w="2835" w:type="dxa"/>
            <w:vAlign w:val="center"/>
          </w:tcPr>
          <w:p>
            <w:pPr>
              <w:pStyle w:val="12"/>
            </w:pPr>
            <w:r>
              <w:t>补贴资金拨付完成时间</w:t>
            </w:r>
          </w:p>
        </w:tc>
        <w:tc>
          <w:tcPr>
            <w:tcW w:w="5386" w:type="dxa"/>
            <w:vAlign w:val="center"/>
          </w:tcPr>
          <w:p>
            <w:pPr>
              <w:pStyle w:val="12"/>
            </w:pPr>
            <w:r>
              <w:t>2024年按合同拨付气代煤工程区级补贴资金完成时限</w:t>
            </w:r>
          </w:p>
        </w:tc>
        <w:tc>
          <w:tcPr>
            <w:tcW w:w="2268" w:type="dxa"/>
            <w:vAlign w:val="center"/>
          </w:tcPr>
          <w:p>
            <w:pPr>
              <w:pStyle w:val="12"/>
            </w:pPr>
            <w:r>
              <w:t>2024年12月底之前拨付完毕</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区级补贴平均成本</w:t>
            </w:r>
          </w:p>
        </w:tc>
        <w:tc>
          <w:tcPr>
            <w:tcW w:w="5386" w:type="dxa"/>
            <w:vAlign w:val="center"/>
          </w:tcPr>
          <w:p>
            <w:pPr>
              <w:pStyle w:val="12"/>
            </w:pPr>
            <w:r>
              <w:t>拨付气代煤工程区级补贴资金每家企业平均金额</w:t>
            </w:r>
          </w:p>
        </w:tc>
        <w:tc>
          <w:tcPr>
            <w:tcW w:w="2268" w:type="dxa"/>
            <w:vAlign w:val="center"/>
          </w:tcPr>
          <w:p>
            <w:pPr>
              <w:pStyle w:val="12"/>
            </w:pPr>
            <w:r>
              <w:t>≤75万元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拨付补贴资金企业数量</w:t>
            </w:r>
          </w:p>
        </w:tc>
        <w:tc>
          <w:tcPr>
            <w:tcW w:w="5386" w:type="dxa"/>
            <w:vAlign w:val="center"/>
          </w:tcPr>
          <w:p>
            <w:pPr>
              <w:pStyle w:val="12"/>
            </w:pPr>
            <w:r>
              <w:t>2024年拨付气代煤工程区级补贴资金企业个数</w:t>
            </w:r>
          </w:p>
        </w:tc>
        <w:tc>
          <w:tcPr>
            <w:tcW w:w="2268" w:type="dxa"/>
            <w:vAlign w:val="center"/>
          </w:tcPr>
          <w:p>
            <w:pPr>
              <w:pStyle w:val="12"/>
            </w:pPr>
            <w:r>
              <w:t>≤27家</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拨付气代煤工程区级补贴资金完成率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推动环保事业发展</w:t>
            </w:r>
          </w:p>
        </w:tc>
        <w:tc>
          <w:tcPr>
            <w:tcW w:w="5386" w:type="dxa"/>
            <w:vAlign w:val="center"/>
          </w:tcPr>
          <w:p>
            <w:pPr>
              <w:pStyle w:val="12"/>
            </w:pPr>
            <w:r>
              <w:t>通过气代煤工程的正常运转，推动区环保事业发展</w:t>
            </w:r>
          </w:p>
        </w:tc>
        <w:tc>
          <w:tcPr>
            <w:tcW w:w="2268" w:type="dxa"/>
            <w:vAlign w:val="center"/>
          </w:tcPr>
          <w:p>
            <w:pPr>
              <w:pStyle w:val="12"/>
            </w:pPr>
            <w:r>
              <w:t>提高环境水平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按合同拨付补贴资金，企业的满意度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、聘请第三方机构专业人员所需经费项目绩效目标表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13062124P00499210018F</w:t>
            </w:r>
          </w:p>
        </w:tc>
        <w:tc>
          <w:tcPr>
            <w:tcW w:w="2835" w:type="dxa"/>
            <w:vAlign w:val="center"/>
          </w:tcPr>
          <w:p>
            <w:pPr>
              <w:pStyle w:val="10"/>
            </w:pPr>
            <w:r>
              <w:t>项目名称</w:t>
            </w:r>
          </w:p>
        </w:tc>
        <w:tc>
          <w:tcPr>
            <w:tcW w:w="6094" w:type="dxa"/>
            <w:gridSpan w:val="3"/>
            <w:vAlign w:val="center"/>
          </w:tcPr>
          <w:p>
            <w:pPr>
              <w:pStyle w:val="12"/>
            </w:pPr>
            <w:r>
              <w:t>聘请第三方机构专业人员所需经费项目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聘请第三方机构专业人员委托业务费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1.完成价格鉴定，满足需求方满意。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价格鉴定标的物数量</w:t>
            </w:r>
          </w:p>
        </w:tc>
        <w:tc>
          <w:tcPr>
            <w:tcW w:w="5386" w:type="dxa"/>
            <w:vAlign w:val="center"/>
          </w:tcPr>
          <w:p>
            <w:pPr>
              <w:pStyle w:val="12"/>
            </w:pPr>
            <w:r>
              <w:t>聘请第三方机构价格鉴定标的物数量</w:t>
            </w:r>
          </w:p>
        </w:tc>
        <w:tc>
          <w:tcPr>
            <w:tcW w:w="2268" w:type="dxa"/>
            <w:vAlign w:val="center"/>
          </w:tcPr>
          <w:p>
            <w:pPr>
              <w:pStyle w:val="12"/>
            </w:pPr>
            <w:r>
              <w:t>2台</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完成率</w:t>
            </w:r>
          </w:p>
        </w:tc>
        <w:tc>
          <w:tcPr>
            <w:tcW w:w="5386" w:type="dxa"/>
            <w:vAlign w:val="center"/>
          </w:tcPr>
          <w:p>
            <w:pPr>
              <w:pStyle w:val="12"/>
            </w:pPr>
            <w:r>
              <w:t>聘请第三方机构价格鉴定完成情况</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5386" w:type="dxa"/>
            <w:vAlign w:val="center"/>
          </w:tcPr>
          <w:p>
            <w:pPr>
              <w:pStyle w:val="12"/>
            </w:pPr>
            <w:r>
              <w:t>聘请第三方机构价格鉴定完成时间</w:t>
            </w:r>
          </w:p>
        </w:tc>
        <w:tc>
          <w:tcPr>
            <w:tcW w:w="2268" w:type="dxa"/>
            <w:vAlign w:val="center"/>
          </w:tcPr>
          <w:p>
            <w:pPr>
              <w:pStyle w:val="12"/>
            </w:pPr>
            <w:r>
              <w:t>2023年6月15日前</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价格鉴定费用</w:t>
            </w:r>
          </w:p>
        </w:tc>
        <w:tc>
          <w:tcPr>
            <w:tcW w:w="5386" w:type="dxa"/>
            <w:vAlign w:val="center"/>
          </w:tcPr>
          <w:p>
            <w:pPr>
              <w:pStyle w:val="12"/>
            </w:pPr>
            <w:r>
              <w:t>聘请第三方机构价格鉴定经费金额</w:t>
            </w:r>
          </w:p>
        </w:tc>
        <w:tc>
          <w:tcPr>
            <w:tcW w:w="2268" w:type="dxa"/>
            <w:vAlign w:val="center"/>
          </w:tcPr>
          <w:p>
            <w:pPr>
              <w:pStyle w:val="12"/>
            </w:pPr>
            <w:r>
              <w:t>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签</w:t>
            </w:r>
            <w:r>
              <w:rPr>
                <w:rFonts w:hint="eastAsia"/>
                <w:lang w:val="en-US" w:eastAsia="zh-CN"/>
              </w:rPr>
              <w:t>订</w:t>
            </w:r>
            <w:r>
              <w:t>合同数量</w:t>
            </w:r>
          </w:p>
        </w:tc>
        <w:tc>
          <w:tcPr>
            <w:tcW w:w="5386" w:type="dxa"/>
            <w:vAlign w:val="center"/>
          </w:tcPr>
          <w:p>
            <w:pPr>
              <w:pStyle w:val="12"/>
            </w:pPr>
            <w:r>
              <w:t>与第三方机构签</w:t>
            </w:r>
            <w:r>
              <w:rPr>
                <w:rFonts w:hint="eastAsia"/>
                <w:lang w:val="en-US" w:eastAsia="zh-CN"/>
              </w:rPr>
              <w:t>订</w:t>
            </w:r>
            <w:r>
              <w:t>合同数量</w:t>
            </w:r>
          </w:p>
        </w:tc>
        <w:tc>
          <w:tcPr>
            <w:tcW w:w="2268" w:type="dxa"/>
            <w:vAlign w:val="center"/>
          </w:tcPr>
          <w:p>
            <w:pPr>
              <w:pStyle w:val="12"/>
            </w:pPr>
            <w:r>
              <w:t>1件</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聘请第三方机构、政府等服务对象满意度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bookmarkStart w:id="20" w:name="_GoBack"/>
      <w:bookmarkEnd w:id="20"/>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、燃气倒挂补贴绩效目标表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13062124P00082810064R</w:t>
            </w:r>
          </w:p>
        </w:tc>
        <w:tc>
          <w:tcPr>
            <w:tcW w:w="2835" w:type="dxa"/>
            <w:vAlign w:val="center"/>
          </w:tcPr>
          <w:p>
            <w:pPr>
              <w:pStyle w:val="10"/>
            </w:pPr>
            <w:r>
              <w:t>项目名称</w:t>
            </w:r>
          </w:p>
        </w:tc>
        <w:tc>
          <w:tcPr>
            <w:tcW w:w="6094" w:type="dxa"/>
            <w:gridSpan w:val="3"/>
            <w:vAlign w:val="center"/>
          </w:tcPr>
          <w:p>
            <w:pPr>
              <w:pStyle w:val="12"/>
            </w:pPr>
            <w:r>
              <w:t>燃气倒挂补贴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2000.00</w:t>
            </w:r>
          </w:p>
        </w:tc>
        <w:tc>
          <w:tcPr>
            <w:tcW w:w="2835" w:type="dxa"/>
            <w:vAlign w:val="center"/>
          </w:tcPr>
          <w:p>
            <w:pPr>
              <w:pStyle w:val="10"/>
            </w:pPr>
            <w:r>
              <w:t>其中：财政    资金</w:t>
            </w:r>
          </w:p>
        </w:tc>
        <w:tc>
          <w:tcPr>
            <w:tcW w:w="2551" w:type="dxa"/>
            <w:vAlign w:val="center"/>
          </w:tcPr>
          <w:p>
            <w:pPr>
              <w:pStyle w:val="12"/>
            </w:pPr>
            <w:r>
              <w:t>2000.00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2023-2024年度取暖季居民用气价格补贴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1.及时拨付价格补贴资金，达到服务对象满意。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保供户数</w:t>
            </w:r>
          </w:p>
        </w:tc>
        <w:tc>
          <w:tcPr>
            <w:tcW w:w="5386" w:type="dxa"/>
            <w:vAlign w:val="center"/>
          </w:tcPr>
          <w:p>
            <w:pPr>
              <w:pStyle w:val="12"/>
            </w:pPr>
            <w:r>
              <w:t>2023-2024年取暖季保供户数</w:t>
            </w:r>
          </w:p>
        </w:tc>
        <w:tc>
          <w:tcPr>
            <w:tcW w:w="2268" w:type="dxa"/>
            <w:vAlign w:val="center"/>
          </w:tcPr>
          <w:p>
            <w:pPr>
              <w:pStyle w:val="12"/>
            </w:pPr>
            <w:r>
              <w:t>≤11.6万户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正常供应率</w:t>
            </w:r>
          </w:p>
        </w:tc>
        <w:tc>
          <w:tcPr>
            <w:tcW w:w="5386" w:type="dxa"/>
            <w:vAlign w:val="center"/>
          </w:tcPr>
          <w:p>
            <w:pPr>
              <w:pStyle w:val="12"/>
            </w:pPr>
            <w:r>
              <w:t>2023-2024年取暖季居民用气正常供应程度</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保供时间</w:t>
            </w:r>
          </w:p>
        </w:tc>
        <w:tc>
          <w:tcPr>
            <w:tcW w:w="5386" w:type="dxa"/>
            <w:vAlign w:val="center"/>
          </w:tcPr>
          <w:p>
            <w:pPr>
              <w:pStyle w:val="12"/>
            </w:pPr>
            <w:r>
              <w:t>2023-2024年取暖季正常保供时间</w:t>
            </w:r>
          </w:p>
        </w:tc>
        <w:tc>
          <w:tcPr>
            <w:tcW w:w="2268" w:type="dxa"/>
            <w:vAlign w:val="center"/>
          </w:tcPr>
          <w:p>
            <w:pPr>
              <w:pStyle w:val="12"/>
            </w:pPr>
            <w:r>
              <w:t>2023.11.15-2024.3.15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户均成本</w:t>
            </w:r>
          </w:p>
        </w:tc>
        <w:tc>
          <w:tcPr>
            <w:tcW w:w="5386" w:type="dxa"/>
            <w:vAlign w:val="center"/>
          </w:tcPr>
          <w:p>
            <w:pPr>
              <w:pStyle w:val="12"/>
            </w:pPr>
            <w:r>
              <w:t>2023-2024年取暖季平均每户补贴</w:t>
            </w:r>
          </w:p>
        </w:tc>
        <w:tc>
          <w:tcPr>
            <w:tcW w:w="2268" w:type="dxa"/>
            <w:vAlign w:val="center"/>
          </w:tcPr>
          <w:p>
            <w:pPr>
              <w:pStyle w:val="12"/>
            </w:pPr>
            <w:r>
              <w:t>≤173元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取暖居民满意度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、石井乡乡村道路建设项目资金绩效目标表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13062124P00499210017U</w:t>
            </w:r>
          </w:p>
        </w:tc>
        <w:tc>
          <w:tcPr>
            <w:tcW w:w="2835" w:type="dxa"/>
            <w:vAlign w:val="center"/>
          </w:tcPr>
          <w:p>
            <w:pPr>
              <w:pStyle w:val="10"/>
            </w:pPr>
            <w:r>
              <w:t>项目名称</w:t>
            </w:r>
          </w:p>
        </w:tc>
        <w:tc>
          <w:tcPr>
            <w:tcW w:w="6094" w:type="dxa"/>
            <w:gridSpan w:val="3"/>
            <w:vAlign w:val="center"/>
          </w:tcPr>
          <w:p>
            <w:pPr>
              <w:pStyle w:val="12"/>
            </w:pPr>
            <w:r>
              <w:t>石井乡乡村道路建设项目资金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26.48</w:t>
            </w:r>
          </w:p>
        </w:tc>
        <w:tc>
          <w:tcPr>
            <w:tcW w:w="2835" w:type="dxa"/>
            <w:vAlign w:val="center"/>
          </w:tcPr>
          <w:p>
            <w:pPr>
              <w:pStyle w:val="10"/>
            </w:pPr>
            <w:r>
              <w:t>其中：财政    资金</w:t>
            </w:r>
          </w:p>
        </w:tc>
        <w:tc>
          <w:tcPr>
            <w:tcW w:w="2551" w:type="dxa"/>
            <w:vAlign w:val="center"/>
          </w:tcPr>
          <w:p>
            <w:pPr>
              <w:pStyle w:val="12"/>
            </w:pPr>
            <w:r>
              <w:t>26.48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石井乡乡村道路建设资金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26.48</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1.完成石井乡乡村道路建设、及时拨付建设资金</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乡村道路建设长度</w:t>
            </w:r>
          </w:p>
        </w:tc>
        <w:tc>
          <w:tcPr>
            <w:tcW w:w="5386" w:type="dxa"/>
            <w:vAlign w:val="center"/>
          </w:tcPr>
          <w:p>
            <w:pPr>
              <w:pStyle w:val="12"/>
            </w:pPr>
            <w:r>
              <w:t>石井乡乡村新建混凝土道路建设长度</w:t>
            </w:r>
          </w:p>
        </w:tc>
        <w:tc>
          <w:tcPr>
            <w:tcW w:w="2268" w:type="dxa"/>
            <w:vAlign w:val="center"/>
          </w:tcPr>
          <w:p>
            <w:pPr>
              <w:pStyle w:val="12"/>
            </w:pPr>
            <w:r>
              <w:t>595米</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验收合格情况</w:t>
            </w:r>
          </w:p>
        </w:tc>
        <w:tc>
          <w:tcPr>
            <w:tcW w:w="5386" w:type="dxa"/>
            <w:vAlign w:val="center"/>
          </w:tcPr>
          <w:p>
            <w:pPr>
              <w:pStyle w:val="12"/>
            </w:pPr>
            <w:r>
              <w:t>乡村道路建设验收合格情况</w:t>
            </w:r>
          </w:p>
        </w:tc>
        <w:tc>
          <w:tcPr>
            <w:tcW w:w="2268" w:type="dxa"/>
            <w:vAlign w:val="center"/>
          </w:tcPr>
          <w:p>
            <w:pPr>
              <w:pStyle w:val="12"/>
            </w:pPr>
            <w:r>
              <w:t>合格</w:t>
            </w:r>
          </w:p>
        </w:tc>
        <w:tc>
          <w:tcPr>
            <w:tcW w:w="1276" w:type="dxa"/>
            <w:vAlign w:val="center"/>
          </w:tcPr>
          <w:p>
            <w:pPr>
              <w:pStyle w:val="12"/>
            </w:pPr>
            <w:r>
              <w:t>验收鉴定书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建设期限</w:t>
            </w:r>
          </w:p>
        </w:tc>
        <w:tc>
          <w:tcPr>
            <w:tcW w:w="5386" w:type="dxa"/>
            <w:vAlign w:val="center"/>
          </w:tcPr>
          <w:p>
            <w:pPr>
              <w:pStyle w:val="12"/>
            </w:pPr>
            <w:r>
              <w:t>石井乡乡村道路建设期限</w:t>
            </w:r>
          </w:p>
        </w:tc>
        <w:tc>
          <w:tcPr>
            <w:tcW w:w="2268" w:type="dxa"/>
            <w:vAlign w:val="center"/>
          </w:tcPr>
          <w:p>
            <w:pPr>
              <w:pStyle w:val="12"/>
            </w:pPr>
            <w:r>
              <w:t>2月</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平均成本</w:t>
            </w:r>
          </w:p>
        </w:tc>
        <w:tc>
          <w:tcPr>
            <w:tcW w:w="5386" w:type="dxa"/>
            <w:vAlign w:val="center"/>
          </w:tcPr>
          <w:p>
            <w:pPr>
              <w:pStyle w:val="12"/>
            </w:pPr>
            <w:r>
              <w:t>乡村道路建设每米平均成本</w:t>
            </w:r>
          </w:p>
        </w:tc>
        <w:tc>
          <w:tcPr>
            <w:tcW w:w="2268" w:type="dxa"/>
            <w:vAlign w:val="center"/>
          </w:tcPr>
          <w:p>
            <w:pPr>
              <w:pStyle w:val="12"/>
            </w:pPr>
            <w:r>
              <w:t>949.28元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道路交通顺畅（%）</w:t>
            </w:r>
          </w:p>
        </w:tc>
        <w:tc>
          <w:tcPr>
            <w:tcW w:w="5386" w:type="dxa"/>
            <w:vAlign w:val="center"/>
          </w:tcPr>
          <w:p>
            <w:pPr>
              <w:pStyle w:val="12"/>
            </w:pPr>
            <w:r>
              <w:t>建设完成乡村道路建设日常道路交通顺畅（%）</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道路交通环境满意度</w:t>
            </w:r>
          </w:p>
        </w:tc>
        <w:tc>
          <w:tcPr>
            <w:tcW w:w="5386" w:type="dxa"/>
            <w:vAlign w:val="center"/>
          </w:tcPr>
          <w:p>
            <w:pPr>
              <w:pStyle w:val="12"/>
            </w:pPr>
            <w:r>
              <w:t>道路交通环境满意度</w:t>
            </w:r>
          </w:p>
        </w:tc>
        <w:tc>
          <w:tcPr>
            <w:tcW w:w="2268" w:type="dxa"/>
            <w:vAlign w:val="center"/>
          </w:tcPr>
          <w:p>
            <w:pPr>
              <w:pStyle w:val="12"/>
            </w:pPr>
            <w:r>
              <w:t>≥90%</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、食盐储备补贴绩效目标表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13062124P00266D100274</w:t>
            </w:r>
          </w:p>
        </w:tc>
        <w:tc>
          <w:tcPr>
            <w:tcW w:w="2835" w:type="dxa"/>
            <w:vAlign w:val="center"/>
          </w:tcPr>
          <w:p>
            <w:pPr>
              <w:pStyle w:val="10"/>
            </w:pPr>
            <w:r>
              <w:t>项目名称</w:t>
            </w:r>
          </w:p>
        </w:tc>
        <w:tc>
          <w:tcPr>
            <w:tcW w:w="6094" w:type="dxa"/>
            <w:gridSpan w:val="3"/>
            <w:vAlign w:val="center"/>
          </w:tcPr>
          <w:p>
            <w:pPr>
              <w:pStyle w:val="12"/>
            </w:pPr>
            <w:r>
              <w:t>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5.02</w:t>
            </w:r>
          </w:p>
        </w:tc>
        <w:tc>
          <w:tcPr>
            <w:tcW w:w="2835" w:type="dxa"/>
            <w:vAlign w:val="center"/>
          </w:tcPr>
          <w:p>
            <w:pPr>
              <w:pStyle w:val="10"/>
            </w:pPr>
            <w:r>
              <w:t>其中：财政    资金</w:t>
            </w:r>
          </w:p>
        </w:tc>
        <w:tc>
          <w:tcPr>
            <w:tcW w:w="2551" w:type="dxa"/>
            <w:vAlign w:val="center"/>
          </w:tcPr>
          <w:p>
            <w:pPr>
              <w:pStyle w:val="12"/>
            </w:pPr>
            <w:r>
              <w:t>5.02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食盐储备补贴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5.02</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1.完善储备制度，应对市场突发紧急情况</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储备数量</w:t>
            </w:r>
          </w:p>
        </w:tc>
        <w:tc>
          <w:tcPr>
            <w:tcW w:w="5386" w:type="dxa"/>
            <w:vAlign w:val="center"/>
          </w:tcPr>
          <w:p>
            <w:pPr>
              <w:pStyle w:val="12"/>
            </w:pPr>
            <w:r>
              <w:t>食盐储备数量</w:t>
            </w:r>
          </w:p>
        </w:tc>
        <w:tc>
          <w:tcPr>
            <w:tcW w:w="2268" w:type="dxa"/>
            <w:vAlign w:val="center"/>
          </w:tcPr>
          <w:p>
            <w:pPr>
              <w:pStyle w:val="12"/>
            </w:pPr>
            <w:r>
              <w:t>211吨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储备质量</w:t>
            </w:r>
          </w:p>
        </w:tc>
        <w:tc>
          <w:tcPr>
            <w:tcW w:w="5386" w:type="dxa"/>
            <w:vAlign w:val="center"/>
          </w:tcPr>
          <w:p>
            <w:pPr>
              <w:pStyle w:val="12"/>
            </w:pPr>
            <w:r>
              <w:t>食盐储备质量</w:t>
            </w:r>
          </w:p>
        </w:tc>
        <w:tc>
          <w:tcPr>
            <w:tcW w:w="2268" w:type="dxa"/>
            <w:vAlign w:val="center"/>
          </w:tcPr>
          <w:p>
            <w:pPr>
              <w:pStyle w:val="12"/>
            </w:pPr>
            <w:r>
              <w:t>质量良好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储备时间</w:t>
            </w:r>
          </w:p>
        </w:tc>
        <w:tc>
          <w:tcPr>
            <w:tcW w:w="5386" w:type="dxa"/>
            <w:vAlign w:val="center"/>
          </w:tcPr>
          <w:p>
            <w:pPr>
              <w:pStyle w:val="12"/>
            </w:pPr>
            <w:r>
              <w:t>本次食盐储备时间</w:t>
            </w:r>
          </w:p>
        </w:tc>
        <w:tc>
          <w:tcPr>
            <w:tcW w:w="2268" w:type="dxa"/>
            <w:vAlign w:val="center"/>
          </w:tcPr>
          <w:p>
            <w:pPr>
              <w:pStyle w:val="12"/>
            </w:pPr>
            <w:r>
              <w:t>1年</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储备总费用</w:t>
            </w:r>
          </w:p>
        </w:tc>
        <w:tc>
          <w:tcPr>
            <w:tcW w:w="5386" w:type="dxa"/>
            <w:vAlign w:val="center"/>
          </w:tcPr>
          <w:p>
            <w:pPr>
              <w:pStyle w:val="12"/>
            </w:pPr>
            <w:r>
              <w:t>食盐储备总费用</w:t>
            </w:r>
          </w:p>
        </w:tc>
        <w:tc>
          <w:tcPr>
            <w:tcW w:w="2268" w:type="dxa"/>
            <w:vAlign w:val="center"/>
          </w:tcPr>
          <w:p>
            <w:pPr>
              <w:pStyle w:val="12"/>
            </w:pPr>
            <w:r>
              <w:t>7.78万元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保障供应</w:t>
            </w:r>
          </w:p>
        </w:tc>
        <w:tc>
          <w:tcPr>
            <w:tcW w:w="5386" w:type="dxa"/>
            <w:vAlign w:val="center"/>
          </w:tcPr>
          <w:p>
            <w:pPr>
              <w:pStyle w:val="12"/>
            </w:pPr>
            <w:r>
              <w:t>保障食盐正常供应</w:t>
            </w:r>
          </w:p>
        </w:tc>
        <w:tc>
          <w:tcPr>
            <w:tcW w:w="2268" w:type="dxa"/>
            <w:vAlign w:val="center"/>
          </w:tcPr>
          <w:p>
            <w:pPr>
              <w:pStyle w:val="12"/>
            </w:pPr>
            <w:r>
              <w:t>供应正常</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民众满意度</w:t>
            </w:r>
          </w:p>
        </w:tc>
        <w:tc>
          <w:tcPr>
            <w:tcW w:w="5386" w:type="dxa"/>
            <w:vAlign w:val="center"/>
          </w:tcPr>
          <w:p>
            <w:pPr>
              <w:pStyle w:val="12"/>
            </w:pPr>
            <w:r>
              <w:t>民众对食盐供应的满意程度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17</w:t>
      </w:r>
      <w:r>
        <w:rPr>
          <w:rFonts w:ascii="方正仿宋_GBK" w:hAnsi="方正仿宋_GBK" w:eastAsia="方正仿宋_GBK" w:cs="方正仿宋_GBK"/>
          <w:color w:val="000000"/>
          <w:sz w:val="28"/>
        </w:rPr>
        <w:t>、应急成品粮临时储备补贴绩效目标表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13062124P00266D10028P</w:t>
            </w:r>
          </w:p>
        </w:tc>
        <w:tc>
          <w:tcPr>
            <w:tcW w:w="2835" w:type="dxa"/>
            <w:vAlign w:val="center"/>
          </w:tcPr>
          <w:p>
            <w:pPr>
              <w:pStyle w:val="10"/>
            </w:pPr>
            <w:r>
              <w:t>项目名称</w:t>
            </w:r>
          </w:p>
        </w:tc>
        <w:tc>
          <w:tcPr>
            <w:tcW w:w="6094" w:type="dxa"/>
            <w:gridSpan w:val="3"/>
            <w:vAlign w:val="center"/>
          </w:tcPr>
          <w:p>
            <w:pPr>
              <w:pStyle w:val="12"/>
            </w:pPr>
            <w:r>
              <w:t>应急成品粮临时储备补贴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11.99</w:t>
            </w:r>
          </w:p>
        </w:tc>
        <w:tc>
          <w:tcPr>
            <w:tcW w:w="2835" w:type="dxa"/>
            <w:vAlign w:val="center"/>
          </w:tcPr>
          <w:p>
            <w:pPr>
              <w:pStyle w:val="10"/>
            </w:pPr>
            <w:r>
              <w:t>其中：财政    资金</w:t>
            </w:r>
          </w:p>
        </w:tc>
        <w:tc>
          <w:tcPr>
            <w:tcW w:w="2551" w:type="dxa"/>
            <w:vAlign w:val="center"/>
          </w:tcPr>
          <w:p>
            <w:pPr>
              <w:pStyle w:val="12"/>
            </w:pPr>
            <w:r>
              <w:t>11.99</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应急成品粮临时储备补贴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r>
              <w:t>11.99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1.应急成品粮临时储备补贴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储备数量</w:t>
            </w:r>
          </w:p>
        </w:tc>
        <w:tc>
          <w:tcPr>
            <w:tcW w:w="5386" w:type="dxa"/>
            <w:vAlign w:val="center"/>
          </w:tcPr>
          <w:p>
            <w:pPr>
              <w:pStyle w:val="12"/>
            </w:pPr>
            <w:r>
              <w:t>应急成品粮临时储备总数量</w:t>
            </w:r>
          </w:p>
        </w:tc>
        <w:tc>
          <w:tcPr>
            <w:tcW w:w="2268" w:type="dxa"/>
            <w:vAlign w:val="center"/>
          </w:tcPr>
          <w:p>
            <w:pPr>
              <w:pStyle w:val="12"/>
            </w:pPr>
            <w:r>
              <w:t>975吨</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储备粮质量情况</w:t>
            </w:r>
          </w:p>
        </w:tc>
        <w:tc>
          <w:tcPr>
            <w:tcW w:w="5386" w:type="dxa"/>
            <w:vAlign w:val="center"/>
          </w:tcPr>
          <w:p>
            <w:pPr>
              <w:pStyle w:val="12"/>
            </w:pPr>
            <w:r>
              <w:t>应急成本粮临时储备质量情况</w:t>
            </w:r>
          </w:p>
        </w:tc>
        <w:tc>
          <w:tcPr>
            <w:tcW w:w="2268" w:type="dxa"/>
            <w:vAlign w:val="center"/>
          </w:tcPr>
          <w:p>
            <w:pPr>
              <w:pStyle w:val="12"/>
            </w:pPr>
            <w:r>
              <w:t>质量完好</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储备时间</w:t>
            </w:r>
          </w:p>
        </w:tc>
        <w:tc>
          <w:tcPr>
            <w:tcW w:w="5386" w:type="dxa"/>
            <w:vAlign w:val="center"/>
          </w:tcPr>
          <w:p>
            <w:pPr>
              <w:pStyle w:val="12"/>
            </w:pPr>
            <w:r>
              <w:t>本次储备时间</w:t>
            </w:r>
          </w:p>
        </w:tc>
        <w:tc>
          <w:tcPr>
            <w:tcW w:w="2268" w:type="dxa"/>
            <w:vAlign w:val="center"/>
          </w:tcPr>
          <w:p>
            <w:pPr>
              <w:pStyle w:val="12"/>
            </w:pPr>
            <w:r>
              <w:t>1万</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补贴总费用</w:t>
            </w:r>
          </w:p>
        </w:tc>
        <w:tc>
          <w:tcPr>
            <w:tcW w:w="5386" w:type="dxa"/>
            <w:vAlign w:val="center"/>
          </w:tcPr>
          <w:p>
            <w:pPr>
              <w:pStyle w:val="12"/>
            </w:pPr>
            <w:r>
              <w:t>应急成品粮临时补贴总费用</w:t>
            </w:r>
          </w:p>
        </w:tc>
        <w:tc>
          <w:tcPr>
            <w:tcW w:w="2268" w:type="dxa"/>
            <w:vAlign w:val="center"/>
          </w:tcPr>
          <w:p>
            <w:pPr>
              <w:pStyle w:val="12"/>
            </w:pPr>
            <w:r>
              <w:t>11.9925万元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完善储备制度</w:t>
            </w:r>
          </w:p>
        </w:tc>
        <w:tc>
          <w:tcPr>
            <w:tcW w:w="5386" w:type="dxa"/>
            <w:vAlign w:val="center"/>
          </w:tcPr>
          <w:p>
            <w:pPr>
              <w:pStyle w:val="12"/>
            </w:pPr>
            <w:r>
              <w:t>应对市场突发情况</w:t>
            </w:r>
          </w:p>
        </w:tc>
        <w:tc>
          <w:tcPr>
            <w:tcW w:w="2268" w:type="dxa"/>
            <w:vAlign w:val="center"/>
          </w:tcPr>
          <w:p>
            <w:pPr>
              <w:pStyle w:val="12"/>
            </w:pPr>
            <w:r>
              <w:t>足以应对</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应急成品粮临时储备承储企业</w:t>
            </w:r>
          </w:p>
        </w:tc>
        <w:tc>
          <w:tcPr>
            <w:tcW w:w="5386" w:type="dxa"/>
            <w:vAlign w:val="center"/>
          </w:tcPr>
          <w:p>
            <w:pPr>
              <w:pStyle w:val="12"/>
            </w:pPr>
            <w:r>
              <w:t>满意程度</w:t>
            </w:r>
          </w:p>
        </w:tc>
        <w:tc>
          <w:tcPr>
            <w:tcW w:w="2268" w:type="dxa"/>
            <w:vAlign w:val="center"/>
          </w:tcPr>
          <w:p>
            <w:pPr>
              <w:pStyle w:val="12"/>
            </w:pPr>
            <w:r>
              <w:t>满意</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color w:val="000000"/>
          <w:sz w:val="28"/>
          <w:lang w:eastAsia="zh-CN"/>
        </w:rPr>
        <w:t>18</w:t>
      </w:r>
      <w:r>
        <w:rPr>
          <w:rFonts w:ascii="方正仿宋_GBK" w:hAnsi="方正仿宋_GBK" w:eastAsia="方正仿宋_GBK" w:cs="方正仿宋_GBK"/>
          <w:color w:val="000000"/>
          <w:sz w:val="28"/>
        </w:rPr>
        <w:t>、预拨付城燃企业气价补贴资金绩效目标表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13062124P000828100636</w:t>
            </w:r>
          </w:p>
        </w:tc>
        <w:tc>
          <w:tcPr>
            <w:tcW w:w="2835" w:type="dxa"/>
            <w:vAlign w:val="center"/>
          </w:tcPr>
          <w:p>
            <w:pPr>
              <w:pStyle w:val="10"/>
            </w:pPr>
            <w:r>
              <w:t>项目名称</w:t>
            </w:r>
          </w:p>
        </w:tc>
        <w:tc>
          <w:tcPr>
            <w:tcW w:w="6094" w:type="dxa"/>
            <w:gridSpan w:val="3"/>
            <w:vAlign w:val="center"/>
          </w:tcPr>
          <w:p>
            <w:pPr>
              <w:pStyle w:val="12"/>
            </w:pPr>
            <w:r>
              <w:t>预拨付城燃企业气价补贴资金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1500.00</w:t>
            </w:r>
          </w:p>
        </w:tc>
        <w:tc>
          <w:tcPr>
            <w:tcW w:w="2835" w:type="dxa"/>
            <w:vAlign w:val="center"/>
          </w:tcPr>
          <w:p>
            <w:pPr>
              <w:pStyle w:val="10"/>
            </w:pPr>
            <w:r>
              <w:t>其中：财政    资金</w:t>
            </w:r>
          </w:p>
        </w:tc>
        <w:tc>
          <w:tcPr>
            <w:tcW w:w="2551" w:type="dxa"/>
            <w:vAlign w:val="center"/>
          </w:tcPr>
          <w:p>
            <w:pPr>
              <w:pStyle w:val="12"/>
            </w:pPr>
            <w:r>
              <w:t>1500.00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2023-2024年取暖季预拨付居民用气价格补贴资金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1500.00</w:t>
            </w:r>
          </w:p>
        </w:tc>
        <w:tc>
          <w:tcPr>
            <w:tcW w:w="2835" w:type="dxa"/>
            <w:vAlign w:val="center"/>
          </w:tcPr>
          <w:p>
            <w:pPr>
              <w:pStyle w:val="13"/>
            </w:pPr>
          </w:p>
        </w:tc>
        <w:tc>
          <w:tcPr>
            <w:tcW w:w="2551" w:type="dxa"/>
            <w:vAlign w:val="center"/>
          </w:tcPr>
          <w:p>
            <w:pPr>
              <w:pStyle w:val="13"/>
            </w:pPr>
          </w:p>
        </w:tc>
        <w:tc>
          <w:tcPr>
            <w:tcW w:w="3543" w:type="dxa"/>
            <w:gridSpan w:val="2"/>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1.及时拨付价格补贴资金，达到服务对象满意。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保供户数</w:t>
            </w:r>
          </w:p>
        </w:tc>
        <w:tc>
          <w:tcPr>
            <w:tcW w:w="5386" w:type="dxa"/>
            <w:vAlign w:val="center"/>
          </w:tcPr>
          <w:p>
            <w:pPr>
              <w:pStyle w:val="12"/>
            </w:pPr>
            <w:r>
              <w:t>2023-2024年取暖季保供户数</w:t>
            </w:r>
          </w:p>
        </w:tc>
        <w:tc>
          <w:tcPr>
            <w:tcW w:w="2268" w:type="dxa"/>
            <w:vAlign w:val="center"/>
          </w:tcPr>
          <w:p>
            <w:pPr>
              <w:pStyle w:val="12"/>
            </w:pPr>
            <w:r>
              <w:t>≤11.6万户</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正常供应率</w:t>
            </w:r>
          </w:p>
        </w:tc>
        <w:tc>
          <w:tcPr>
            <w:tcW w:w="5386" w:type="dxa"/>
            <w:vAlign w:val="center"/>
          </w:tcPr>
          <w:p>
            <w:pPr>
              <w:pStyle w:val="12"/>
            </w:pPr>
            <w:r>
              <w:t>2023-2024年取暖季居民用气正常供应程度</w:t>
            </w:r>
          </w:p>
        </w:tc>
        <w:tc>
          <w:tcPr>
            <w:tcW w:w="2268" w:type="dxa"/>
            <w:vAlign w:val="center"/>
          </w:tcPr>
          <w:p>
            <w:pPr>
              <w:pStyle w:val="12"/>
            </w:pPr>
            <w:r>
              <w:t>≥95%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保供时间</w:t>
            </w:r>
          </w:p>
        </w:tc>
        <w:tc>
          <w:tcPr>
            <w:tcW w:w="5386" w:type="dxa"/>
            <w:vAlign w:val="center"/>
          </w:tcPr>
          <w:p>
            <w:pPr>
              <w:pStyle w:val="12"/>
            </w:pPr>
            <w:r>
              <w:t>2023-2024年取暖季正常保供时间</w:t>
            </w:r>
          </w:p>
        </w:tc>
        <w:tc>
          <w:tcPr>
            <w:tcW w:w="2268" w:type="dxa"/>
            <w:vAlign w:val="center"/>
          </w:tcPr>
          <w:p>
            <w:pPr>
              <w:pStyle w:val="12"/>
            </w:pPr>
            <w:r>
              <w:t>2023.11.15-2024.3.15</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户均成本</w:t>
            </w:r>
          </w:p>
        </w:tc>
        <w:tc>
          <w:tcPr>
            <w:tcW w:w="5386" w:type="dxa"/>
            <w:vAlign w:val="center"/>
          </w:tcPr>
          <w:p>
            <w:pPr>
              <w:pStyle w:val="12"/>
            </w:pPr>
            <w:r>
              <w:t>2023-2024年取暖季平均每户补贴</w:t>
            </w:r>
          </w:p>
        </w:tc>
        <w:tc>
          <w:tcPr>
            <w:tcW w:w="2268" w:type="dxa"/>
            <w:vAlign w:val="center"/>
          </w:tcPr>
          <w:p>
            <w:pPr>
              <w:pStyle w:val="12"/>
            </w:pPr>
            <w:r>
              <w:t>≤129元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大气环境质量改善</w:t>
            </w:r>
          </w:p>
        </w:tc>
        <w:tc>
          <w:tcPr>
            <w:tcW w:w="5386" w:type="dxa"/>
            <w:vAlign w:val="center"/>
          </w:tcPr>
          <w:p>
            <w:pPr>
              <w:pStyle w:val="12"/>
            </w:pPr>
            <w:r>
              <w:t>大气环境质量改善</w:t>
            </w:r>
          </w:p>
        </w:tc>
        <w:tc>
          <w:tcPr>
            <w:tcW w:w="2268" w:type="dxa"/>
            <w:vAlign w:val="center"/>
          </w:tcPr>
          <w:p>
            <w:pPr>
              <w:pStyle w:val="12"/>
            </w:pPr>
            <w:r>
              <w:t>有效改善</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取暖居民满意度</w:t>
            </w:r>
          </w:p>
        </w:tc>
        <w:tc>
          <w:tcPr>
            <w:tcW w:w="2268" w:type="dxa"/>
            <w:vAlign w:val="center"/>
          </w:tcPr>
          <w:p>
            <w:pPr>
              <w:pStyle w:val="12"/>
            </w:pPr>
            <w:r>
              <w:t>≥95%</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4"/>
        <w:tblW w:w="15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3"/>
        <w:gridCol w:w="1133"/>
        <w:gridCol w:w="708"/>
        <w:gridCol w:w="849"/>
        <w:gridCol w:w="857"/>
        <w:gridCol w:w="964"/>
        <w:gridCol w:w="964"/>
        <w:gridCol w:w="964"/>
        <w:gridCol w:w="964"/>
        <w:gridCol w:w="964"/>
        <w:gridCol w:w="964"/>
        <w:gridCol w:w="966"/>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tblHeader/>
          <w:jc w:val="center"/>
        </w:trPr>
        <w:tc>
          <w:tcPr>
            <w:tcW w:w="7345" w:type="dxa"/>
            <w:gridSpan w:val="7"/>
            <w:tcBorders>
              <w:top w:val="single" w:color="FFFFFF" w:sz="6" w:space="0"/>
              <w:left w:val="single" w:color="FFFFFF" w:sz="6" w:space="0"/>
              <w:right w:val="single" w:color="FFFFFF" w:sz="6" w:space="0"/>
            </w:tcBorders>
            <w:vAlign w:val="center"/>
          </w:tcPr>
          <w:p>
            <w:pPr>
              <w:pStyle w:val="9"/>
            </w:pPr>
            <w:r>
              <w:t>303保定市满城区发展和改革局</w:t>
            </w:r>
          </w:p>
        </w:tc>
        <w:tc>
          <w:tcPr>
            <w:tcW w:w="7714"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4" w:hRule="atLeast"/>
          <w:tblHeader/>
          <w:jc w:val="center"/>
        </w:trPr>
        <w:tc>
          <w:tcPr>
            <w:tcW w:w="2665" w:type="dxa"/>
            <w:gridSpan w:val="2"/>
            <w:vAlign w:val="center"/>
          </w:tcPr>
          <w:p>
            <w:pPr>
              <w:pStyle w:val="10"/>
            </w:pPr>
            <w:r>
              <w:t>政府采购项目来源</w:t>
            </w:r>
          </w:p>
        </w:tc>
        <w:tc>
          <w:tcPr>
            <w:tcW w:w="1133" w:type="dxa"/>
            <w:vMerge w:val="restart"/>
            <w:vAlign w:val="center"/>
          </w:tcPr>
          <w:p>
            <w:pPr>
              <w:pStyle w:val="10"/>
            </w:pPr>
            <w:r>
              <w:t>采购物品名称</w:t>
            </w:r>
          </w:p>
        </w:tc>
        <w:tc>
          <w:tcPr>
            <w:tcW w:w="1133" w:type="dxa"/>
            <w:vMerge w:val="restart"/>
            <w:vAlign w:val="center"/>
          </w:tcPr>
          <w:p>
            <w:pPr>
              <w:pStyle w:val="10"/>
            </w:pPr>
            <w:r>
              <w:t>政府采购目录序号</w:t>
            </w:r>
          </w:p>
        </w:tc>
        <w:tc>
          <w:tcPr>
            <w:tcW w:w="708" w:type="dxa"/>
            <w:vMerge w:val="restart"/>
            <w:vAlign w:val="center"/>
          </w:tcPr>
          <w:p>
            <w:pPr>
              <w:pStyle w:val="10"/>
            </w:pPr>
            <w:r>
              <w:t>计量  单位</w:t>
            </w:r>
          </w:p>
        </w:tc>
        <w:tc>
          <w:tcPr>
            <w:tcW w:w="849" w:type="dxa"/>
            <w:vMerge w:val="restart"/>
            <w:vAlign w:val="center"/>
          </w:tcPr>
          <w:p>
            <w:pPr>
              <w:pStyle w:val="10"/>
            </w:pPr>
            <w:r>
              <w:t>数量</w:t>
            </w:r>
          </w:p>
        </w:tc>
        <w:tc>
          <w:tcPr>
            <w:tcW w:w="857" w:type="dxa"/>
            <w:vMerge w:val="restart"/>
            <w:vAlign w:val="center"/>
          </w:tcPr>
          <w:p>
            <w:pPr>
              <w:pStyle w:val="10"/>
            </w:pPr>
            <w:r>
              <w:t>单价</w:t>
            </w:r>
          </w:p>
        </w:tc>
        <w:tc>
          <w:tcPr>
            <w:tcW w:w="6750"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77" w:hRule="atLeas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3" w:type="dxa"/>
            <w:vMerge w:val="continue"/>
          </w:tcPr>
          <w:p/>
        </w:tc>
        <w:tc>
          <w:tcPr>
            <w:tcW w:w="1133" w:type="dxa"/>
            <w:vMerge w:val="continue"/>
          </w:tcPr>
          <w:p/>
        </w:tc>
        <w:tc>
          <w:tcPr>
            <w:tcW w:w="708" w:type="dxa"/>
            <w:vMerge w:val="continue"/>
          </w:tcPr>
          <w:p/>
        </w:tc>
        <w:tc>
          <w:tcPr>
            <w:tcW w:w="849" w:type="dxa"/>
            <w:vMerge w:val="continue"/>
          </w:tcPr>
          <w:p/>
        </w:tc>
        <w:tc>
          <w:tcPr>
            <w:tcW w:w="857"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6"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5" w:hRule="atLeast"/>
          <w:jc w:val="center"/>
        </w:trPr>
        <w:tc>
          <w:tcPr>
            <w:tcW w:w="1701" w:type="dxa"/>
            <w:vAlign w:val="center"/>
          </w:tcPr>
          <w:p>
            <w:pPr>
              <w:pStyle w:val="12"/>
            </w:pPr>
          </w:p>
        </w:tc>
        <w:tc>
          <w:tcPr>
            <w:tcW w:w="964" w:type="dxa"/>
            <w:vAlign w:val="center"/>
          </w:tcPr>
          <w:p>
            <w:pPr>
              <w:pStyle w:val="11"/>
            </w:pPr>
          </w:p>
        </w:tc>
        <w:tc>
          <w:tcPr>
            <w:tcW w:w="1133" w:type="dxa"/>
            <w:vAlign w:val="center"/>
          </w:tcPr>
          <w:p>
            <w:pPr>
              <w:pStyle w:val="12"/>
            </w:pPr>
          </w:p>
        </w:tc>
        <w:tc>
          <w:tcPr>
            <w:tcW w:w="1133" w:type="dxa"/>
            <w:vAlign w:val="center"/>
          </w:tcPr>
          <w:p>
            <w:pPr>
              <w:pStyle w:val="12"/>
            </w:pPr>
          </w:p>
        </w:tc>
        <w:tc>
          <w:tcPr>
            <w:tcW w:w="708" w:type="dxa"/>
            <w:vAlign w:val="center"/>
          </w:tcPr>
          <w:p>
            <w:pPr>
              <w:pStyle w:val="13"/>
            </w:pPr>
          </w:p>
        </w:tc>
        <w:tc>
          <w:tcPr>
            <w:tcW w:w="849" w:type="dxa"/>
            <w:vAlign w:val="center"/>
          </w:tcPr>
          <w:p>
            <w:pPr>
              <w:pStyle w:val="11"/>
            </w:pPr>
          </w:p>
        </w:tc>
        <w:tc>
          <w:tcPr>
            <w:tcW w:w="857"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6"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九、国有资产信息</w:t>
      </w:r>
      <w:bookmarkEnd w:id="17"/>
    </w:p>
    <w:p>
      <w:pPr>
        <w:spacing w:line="500" w:lineRule="exact"/>
        <w:ind w:firstLine="560"/>
        <w:rPr>
          <w:rFonts w:eastAsiaTheme="minorEastAsia"/>
          <w:color w:val="000000"/>
          <w:sz w:val="28"/>
          <w:lang w:eastAsia="zh-CN"/>
        </w:rPr>
      </w:pPr>
      <w:r>
        <w:rPr>
          <w:rFonts w:eastAsia="方正仿宋_GBK"/>
          <w:color w:val="000000"/>
          <w:sz w:val="28"/>
        </w:rPr>
        <w:t>保定市满城区发展和改革局（含所属单位）</w:t>
      </w:r>
      <w:r>
        <w:rPr>
          <w:rFonts w:hint="eastAsia" w:eastAsiaTheme="minorEastAsia"/>
          <w:color w:val="000000"/>
          <w:sz w:val="28"/>
          <w:lang w:eastAsia="zh-CN"/>
        </w:rPr>
        <w:t>2023</w:t>
      </w:r>
      <w:r>
        <w:rPr>
          <w:rFonts w:eastAsia="方正仿宋_GBK"/>
          <w:color w:val="000000"/>
          <w:sz w:val="28"/>
        </w:rPr>
        <w:t>年末固定资产金额为</w:t>
      </w:r>
      <w:r>
        <w:rPr>
          <w:rFonts w:hint="eastAsia" w:eastAsiaTheme="minorEastAsia"/>
          <w:color w:val="000000"/>
          <w:sz w:val="28"/>
          <w:lang w:eastAsia="zh-CN"/>
        </w:rPr>
        <w:t>84.35</w:t>
      </w:r>
      <w:r>
        <w:rPr>
          <w:rFonts w:eastAsia="方正仿宋_GBK"/>
          <w:color w:val="000000"/>
          <w:sz w:val="28"/>
        </w:rPr>
        <w:t>万元（详见下表）。</w:t>
      </w:r>
    </w:p>
    <w:p>
      <w:pPr>
        <w:spacing w:line="500" w:lineRule="exact"/>
        <w:ind w:firstLine="560"/>
        <w:rPr>
          <w:rFonts w:eastAsiaTheme="minorEastAsia"/>
          <w:lang w:eastAsia="zh-CN"/>
        </w:rPr>
      </w:pPr>
      <w:r>
        <w:rPr>
          <w:rFonts w:hint="eastAsia" w:eastAsia="方正仿宋_GBK"/>
          <w:color w:val="000000"/>
          <w:sz w:val="28"/>
          <w:lang w:eastAsia="zh-CN"/>
        </w:rPr>
        <w:t>202</w:t>
      </w:r>
      <w:r>
        <w:rPr>
          <w:rFonts w:hint="eastAsia" w:eastAsiaTheme="minorEastAsia"/>
          <w:color w:val="000000"/>
          <w:sz w:val="28"/>
          <w:lang w:eastAsia="zh-CN"/>
        </w:rPr>
        <w:t>4</w:t>
      </w:r>
      <w:r>
        <w:rPr>
          <w:rFonts w:hint="eastAsia" w:eastAsia="方正仿宋_GBK"/>
          <w:color w:val="000000"/>
          <w:sz w:val="28"/>
          <w:lang w:eastAsia="zh-CN"/>
        </w:rPr>
        <w:t>年度无</w:t>
      </w:r>
      <w:r>
        <w:rPr>
          <w:rFonts w:eastAsia="方正仿宋_GBK"/>
          <w:color w:val="000000"/>
          <w:sz w:val="28"/>
        </w:rPr>
        <w:t>拟购置固定资产</w:t>
      </w:r>
      <w:r>
        <w:rPr>
          <w:rFonts w:hint="eastAsia" w:eastAsia="方正仿宋_GBK"/>
          <w:color w:val="000000"/>
          <w:sz w:val="28"/>
          <w:lang w:eastAsia="zh-CN"/>
        </w:rPr>
        <w:t>计划</w:t>
      </w:r>
      <w:r>
        <w:rPr>
          <w:rFonts w:hint="eastAsia" w:eastAsiaTheme="minorEastAsia"/>
          <w:color w:val="000000"/>
          <w:sz w:val="28"/>
          <w:lang w:eastAsia="zh-CN"/>
        </w:rPr>
        <w:t>。</w:t>
      </w:r>
    </w:p>
    <w:p>
      <w:pPr>
        <w:jc w:val="center"/>
      </w:pPr>
      <w:r>
        <w:rPr>
          <w:rFonts w:ascii="方正小标宋_GBK" w:hAnsi="方正小标宋_GBK" w:eastAsia="方正小标宋_GBK" w:cs="方正小标宋_GBK"/>
          <w:color w:val="000000"/>
          <w:sz w:val="36"/>
        </w:rPr>
        <w:t>部门固定资产占用情况表</w:t>
      </w:r>
    </w:p>
    <w:tbl>
      <w:tblPr>
        <w:tblStyle w:val="4"/>
        <w:tblpPr w:leftFromText="180" w:rightFromText="180" w:vertAnchor="page" w:horzAnchor="page" w:tblpX="1814" w:tblpY="5431"/>
        <w:tblOverlap w:val="never"/>
        <w:tblW w:w="134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9"/>
        <w:gridCol w:w="1501"/>
        <w:gridCol w:w="4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7109" w:type="dxa"/>
            <w:noWrap w:val="0"/>
            <w:vAlign w:val="top"/>
          </w:tcPr>
          <w:p>
            <w:pPr>
              <w:pStyle w:val="31"/>
              <w:tabs>
                <w:tab w:val="left" w:pos="729"/>
              </w:tabs>
              <w:spacing w:before="150"/>
              <w:ind w:left="9"/>
              <w:jc w:val="center"/>
              <w:rPr>
                <w:rFonts w:hint="eastAsia" w:ascii="Microsoft YaHei UI" w:eastAsia="Microsoft YaHei UI"/>
                <w:b/>
                <w:sz w:val="24"/>
              </w:rPr>
            </w:pPr>
            <w:bookmarkStart w:id="18" w:name="_Toc_3_3_0000000019"/>
            <w:r>
              <w:rPr>
                <w:rFonts w:hint="eastAsia" w:ascii="Microsoft YaHei UI" w:eastAsia="Microsoft YaHei UI"/>
                <w:b/>
                <w:sz w:val="24"/>
              </w:rPr>
              <w:t>项</w:t>
            </w:r>
            <w:r>
              <w:rPr>
                <w:rFonts w:hint="eastAsia" w:ascii="Microsoft YaHei UI" w:eastAsia="Microsoft YaHei UI"/>
                <w:b/>
                <w:sz w:val="24"/>
              </w:rPr>
              <w:tab/>
            </w:r>
            <w:r>
              <w:rPr>
                <w:rFonts w:hint="eastAsia" w:ascii="Microsoft YaHei UI" w:eastAsia="Microsoft YaHei UI"/>
                <w:b/>
                <w:sz w:val="24"/>
              </w:rPr>
              <w:t>目</w:t>
            </w:r>
          </w:p>
        </w:tc>
        <w:tc>
          <w:tcPr>
            <w:tcW w:w="1501" w:type="dxa"/>
            <w:noWrap w:val="0"/>
            <w:vAlign w:val="top"/>
          </w:tcPr>
          <w:p>
            <w:pPr>
              <w:pStyle w:val="31"/>
              <w:spacing w:before="150"/>
              <w:ind w:left="535" w:right="525"/>
              <w:jc w:val="center"/>
              <w:rPr>
                <w:rFonts w:hint="eastAsia" w:ascii="Microsoft YaHei UI" w:eastAsia="Microsoft YaHei UI"/>
                <w:b/>
                <w:sz w:val="24"/>
              </w:rPr>
            </w:pPr>
            <w:r>
              <w:rPr>
                <w:rFonts w:hint="eastAsia" w:ascii="Microsoft YaHei UI" w:eastAsia="Microsoft YaHei UI"/>
                <w:b/>
                <w:sz w:val="24"/>
              </w:rPr>
              <w:t>数量</w:t>
            </w:r>
          </w:p>
        </w:tc>
        <w:tc>
          <w:tcPr>
            <w:tcW w:w="4808" w:type="dxa"/>
            <w:noWrap w:val="0"/>
            <w:vAlign w:val="top"/>
          </w:tcPr>
          <w:p>
            <w:pPr>
              <w:pStyle w:val="31"/>
              <w:spacing w:before="150"/>
              <w:ind w:left="601" w:right="590"/>
              <w:jc w:val="center"/>
              <w:rPr>
                <w:rFonts w:hint="eastAsia" w:ascii="Microsoft YaHei UI" w:eastAsia="Microsoft YaHei UI"/>
                <w:b/>
                <w:sz w:val="24"/>
              </w:rPr>
            </w:pPr>
            <w:r>
              <w:rPr>
                <w:rFonts w:hint="eastAsia" w:ascii="Microsoft YaHei UI" w:eastAsia="Microsoft YaHei UI"/>
                <w:b/>
                <w:sz w:val="24"/>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7109" w:type="dxa"/>
            <w:noWrap w:val="0"/>
            <w:vAlign w:val="top"/>
          </w:tcPr>
          <w:p>
            <w:pPr>
              <w:pStyle w:val="31"/>
              <w:spacing w:before="24"/>
              <w:ind w:left="9"/>
              <w:jc w:val="center"/>
              <w:rPr>
                <w:rFonts w:hint="eastAsia" w:ascii="Microsoft YaHei UI" w:eastAsia="Microsoft YaHei UI"/>
                <w:b/>
                <w:sz w:val="24"/>
              </w:rPr>
            </w:pPr>
            <w:r>
              <w:rPr>
                <w:rFonts w:hint="eastAsia" w:ascii="Microsoft YaHei UI" w:eastAsia="Microsoft YaHei UI"/>
                <w:b/>
                <w:sz w:val="24"/>
              </w:rPr>
              <w:t>固定资产总额</w:t>
            </w:r>
          </w:p>
        </w:tc>
        <w:tc>
          <w:tcPr>
            <w:tcW w:w="1501" w:type="dxa"/>
            <w:noWrap w:val="0"/>
            <w:vAlign w:val="top"/>
          </w:tcPr>
          <w:p>
            <w:pPr>
              <w:pStyle w:val="31"/>
              <w:spacing w:before="63"/>
              <w:ind w:left="10"/>
              <w:jc w:val="center"/>
              <w:rPr>
                <w:rFonts w:hint="default" w:ascii="Lucida Sans Unicode" w:hAnsi="Lucida Sans Unicode" w:eastAsia="宋体"/>
                <w:sz w:val="24"/>
                <w:lang w:val="en-US" w:eastAsia="zh-CN"/>
              </w:rPr>
            </w:pPr>
            <w:r>
              <w:rPr>
                <w:rFonts w:hint="eastAsia" w:ascii="Lucida Sans Unicode" w:hAnsi="Lucida Sans Unicode"/>
                <w:sz w:val="24"/>
                <w:lang w:val="en-US" w:eastAsia="zh-CN"/>
              </w:rPr>
              <w:t>97</w:t>
            </w:r>
          </w:p>
        </w:tc>
        <w:tc>
          <w:tcPr>
            <w:tcW w:w="4808" w:type="dxa"/>
            <w:noWrap w:val="0"/>
            <w:vAlign w:val="top"/>
          </w:tcPr>
          <w:p>
            <w:pPr>
              <w:pStyle w:val="31"/>
              <w:spacing w:before="19"/>
              <w:ind w:left="599" w:right="590"/>
              <w:jc w:val="center"/>
              <w:rPr>
                <w:rFonts w:hint="default" w:ascii="Microsoft YaHei UI" w:eastAsia="宋体"/>
                <w:b/>
                <w:sz w:val="24"/>
                <w:lang w:val="en-US" w:eastAsia="zh-CN"/>
              </w:rPr>
            </w:pPr>
            <w:r>
              <w:rPr>
                <w:rFonts w:hint="eastAsia" w:ascii="Microsoft YaHei UI"/>
                <w:b/>
                <w:sz w:val="24"/>
                <w:lang w:val="en-US" w:eastAsia="zh-CN"/>
              </w:rPr>
              <w:t>84.35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109" w:type="dxa"/>
            <w:noWrap w:val="0"/>
            <w:vAlign w:val="top"/>
          </w:tcPr>
          <w:p>
            <w:pPr>
              <w:pStyle w:val="31"/>
              <w:spacing w:before="78"/>
              <w:ind w:left="226"/>
              <w:rPr>
                <w:sz w:val="24"/>
              </w:rPr>
            </w:pPr>
            <w:r>
              <w:rPr>
                <w:sz w:val="24"/>
              </w:rPr>
              <w:t>1、房屋（平方米）</w:t>
            </w:r>
          </w:p>
        </w:tc>
        <w:tc>
          <w:tcPr>
            <w:tcW w:w="1501" w:type="dxa"/>
            <w:noWrap w:val="0"/>
            <w:vAlign w:val="top"/>
          </w:tcPr>
          <w:p>
            <w:pPr>
              <w:pStyle w:val="3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2318</w:t>
            </w:r>
          </w:p>
        </w:tc>
        <w:tc>
          <w:tcPr>
            <w:tcW w:w="4808" w:type="dxa"/>
            <w:noWrap w:val="0"/>
            <w:vAlign w:val="top"/>
          </w:tcPr>
          <w:p>
            <w:pPr>
              <w:pStyle w:val="3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109" w:type="dxa"/>
            <w:noWrap w:val="0"/>
            <w:vAlign w:val="top"/>
          </w:tcPr>
          <w:p>
            <w:pPr>
              <w:pStyle w:val="31"/>
              <w:spacing w:before="50"/>
              <w:ind w:left="286" w:firstLine="480" w:firstLineChars="200"/>
              <w:rPr>
                <w:sz w:val="24"/>
              </w:rPr>
            </w:pPr>
            <w:r>
              <w:rPr>
                <w:sz w:val="24"/>
              </w:rPr>
              <w:t>其中：办公用房（平方米）</w:t>
            </w:r>
          </w:p>
        </w:tc>
        <w:tc>
          <w:tcPr>
            <w:tcW w:w="1501" w:type="dxa"/>
            <w:noWrap w:val="0"/>
            <w:vAlign w:val="top"/>
          </w:tcPr>
          <w:p>
            <w:pPr>
              <w:pStyle w:val="3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1885</w:t>
            </w:r>
          </w:p>
        </w:tc>
        <w:tc>
          <w:tcPr>
            <w:tcW w:w="4808" w:type="dxa"/>
            <w:noWrap w:val="0"/>
            <w:vAlign w:val="top"/>
          </w:tcPr>
          <w:p>
            <w:pPr>
              <w:pStyle w:val="3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109" w:type="dxa"/>
            <w:noWrap w:val="0"/>
            <w:vAlign w:val="top"/>
          </w:tcPr>
          <w:p>
            <w:pPr>
              <w:pStyle w:val="31"/>
              <w:spacing w:before="85"/>
              <w:ind w:left="226"/>
              <w:rPr>
                <w:sz w:val="24"/>
              </w:rPr>
            </w:pPr>
            <w:r>
              <w:rPr>
                <w:sz w:val="24"/>
              </w:rPr>
              <w:t>2、车辆（台、辆）</w:t>
            </w:r>
          </w:p>
        </w:tc>
        <w:tc>
          <w:tcPr>
            <w:tcW w:w="1501" w:type="dxa"/>
            <w:noWrap w:val="0"/>
            <w:vAlign w:val="top"/>
          </w:tcPr>
          <w:p>
            <w:pPr>
              <w:pStyle w:val="31"/>
              <w:spacing w:before="82"/>
              <w:ind w:left="10"/>
              <w:jc w:val="center"/>
              <w:rPr>
                <w:rFonts w:hint="default" w:eastAsia="宋体"/>
                <w:sz w:val="24"/>
                <w:lang w:val="en-US" w:eastAsia="zh-CN"/>
              </w:rPr>
            </w:pPr>
            <w:r>
              <w:rPr>
                <w:rFonts w:hint="eastAsia"/>
                <w:sz w:val="24"/>
                <w:lang w:val="en-US" w:eastAsia="zh-CN"/>
              </w:rPr>
              <w:t>3</w:t>
            </w:r>
          </w:p>
        </w:tc>
        <w:tc>
          <w:tcPr>
            <w:tcW w:w="4808" w:type="dxa"/>
            <w:noWrap w:val="0"/>
            <w:vAlign w:val="top"/>
          </w:tcPr>
          <w:p>
            <w:pPr>
              <w:pStyle w:val="31"/>
              <w:spacing w:before="82"/>
              <w:ind w:left="594" w:right="590"/>
              <w:jc w:val="center"/>
              <w:rPr>
                <w:rFonts w:hint="default" w:eastAsia="宋体"/>
                <w:sz w:val="24"/>
                <w:lang w:val="en-US" w:eastAsia="zh-CN"/>
              </w:rPr>
            </w:pPr>
            <w:r>
              <w:rPr>
                <w:rFonts w:hint="eastAsia"/>
                <w:sz w:val="24"/>
                <w:lang w:val="en-US" w:eastAsia="zh-CN"/>
              </w:rPr>
              <w:t>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7109" w:type="dxa"/>
            <w:noWrap w:val="0"/>
            <w:vAlign w:val="top"/>
          </w:tcPr>
          <w:p>
            <w:pPr>
              <w:pStyle w:val="31"/>
              <w:spacing w:before="141"/>
              <w:ind w:left="226"/>
              <w:rPr>
                <w:sz w:val="24"/>
              </w:rPr>
            </w:pPr>
            <w:r>
              <w:rPr>
                <w:spacing w:val="-1"/>
                <w:sz w:val="24"/>
              </w:rPr>
              <w:t>3</w:t>
            </w:r>
            <w:r>
              <w:rPr>
                <w:spacing w:val="-13"/>
                <w:sz w:val="24"/>
              </w:rPr>
              <w:t xml:space="preserve">、单价在 </w:t>
            </w:r>
            <w:r>
              <w:rPr>
                <w:sz w:val="24"/>
              </w:rPr>
              <w:t>20</w:t>
            </w:r>
            <w:r>
              <w:rPr>
                <w:spacing w:val="-8"/>
                <w:sz w:val="24"/>
              </w:rPr>
              <w:t xml:space="preserve"> 万元以上的设备</w:t>
            </w:r>
          </w:p>
        </w:tc>
        <w:tc>
          <w:tcPr>
            <w:tcW w:w="1501" w:type="dxa"/>
            <w:noWrap w:val="0"/>
            <w:vAlign w:val="top"/>
          </w:tcPr>
          <w:p>
            <w:pPr>
              <w:pStyle w:val="31"/>
              <w:spacing w:before="120"/>
              <w:ind w:left="10"/>
              <w:jc w:val="center"/>
              <w:rPr>
                <w:rFonts w:ascii="Lucida Sans Unicode" w:hAnsi="Lucida Sans Unicode"/>
                <w:sz w:val="24"/>
              </w:rPr>
            </w:pPr>
          </w:p>
        </w:tc>
        <w:tc>
          <w:tcPr>
            <w:tcW w:w="4808" w:type="dxa"/>
            <w:noWrap w:val="0"/>
            <w:vAlign w:val="top"/>
          </w:tcPr>
          <w:p>
            <w:pPr>
              <w:pStyle w:val="31"/>
              <w:spacing w:before="141"/>
              <w:ind w:left="594" w:right="59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109" w:type="dxa"/>
            <w:noWrap w:val="0"/>
            <w:vAlign w:val="top"/>
          </w:tcPr>
          <w:p>
            <w:pPr>
              <w:pStyle w:val="31"/>
              <w:spacing w:before="53"/>
              <w:ind w:left="226"/>
              <w:rPr>
                <w:sz w:val="24"/>
              </w:rPr>
            </w:pPr>
            <w:r>
              <w:rPr>
                <w:sz w:val="24"/>
              </w:rPr>
              <w:t>4、其他固定资产</w:t>
            </w:r>
          </w:p>
        </w:tc>
        <w:tc>
          <w:tcPr>
            <w:tcW w:w="1501" w:type="dxa"/>
            <w:noWrap w:val="0"/>
            <w:vAlign w:val="top"/>
          </w:tcPr>
          <w:p>
            <w:pPr>
              <w:pStyle w:val="31"/>
              <w:spacing w:before="30"/>
              <w:ind w:left="10"/>
              <w:jc w:val="center"/>
              <w:rPr>
                <w:rFonts w:ascii="Lucida Sans Unicode" w:hAnsi="Lucida Sans Unicode"/>
                <w:sz w:val="24"/>
              </w:rPr>
            </w:pPr>
          </w:p>
        </w:tc>
        <w:tc>
          <w:tcPr>
            <w:tcW w:w="4808" w:type="dxa"/>
            <w:noWrap w:val="0"/>
            <w:vAlign w:val="top"/>
          </w:tcPr>
          <w:p>
            <w:pPr>
              <w:pStyle w:val="31"/>
              <w:spacing w:before="53"/>
              <w:ind w:left="594" w:right="590"/>
              <w:jc w:val="center"/>
              <w:rPr>
                <w:rFonts w:hint="default" w:eastAsia="宋体"/>
                <w:sz w:val="24"/>
                <w:lang w:val="en-US" w:eastAsia="zh-CN"/>
              </w:rPr>
            </w:pPr>
            <w:r>
              <w:rPr>
                <w:rFonts w:hint="eastAsia"/>
                <w:sz w:val="24"/>
                <w:lang w:val="en-US" w:eastAsia="zh-CN"/>
              </w:rPr>
              <w:t>6.87</w:t>
            </w:r>
          </w:p>
        </w:tc>
      </w:tr>
    </w:tbl>
    <w:p>
      <w:pPr>
        <w:spacing w:before="10" w:after="10"/>
        <w:ind w:firstLine="960" w:firstLineChars="300"/>
        <w:outlineLvl w:val="2"/>
        <w:rPr>
          <w:rFonts w:hint="default" w:ascii="黑体" w:hAnsi="黑体" w:eastAsia="黑体" w:cs="黑体"/>
          <w:color w:val="000000"/>
          <w:sz w:val="32"/>
          <w:lang w:val="en-US" w:eastAsia="zh-CN"/>
        </w:rPr>
      </w:pPr>
    </w:p>
    <w:p>
      <w:pPr>
        <w:spacing w:before="10" w:after="10"/>
        <w:ind w:firstLine="960" w:firstLineChars="400"/>
        <w:outlineLvl w:val="2"/>
        <w:rPr>
          <w:rFonts w:hint="default" w:ascii="黑体" w:hAnsi="黑体" w:eastAsia="黑体" w:cs="黑体"/>
          <w:color w:val="000000"/>
          <w:sz w:val="32"/>
          <w:lang w:val="en-US"/>
        </w:rPr>
      </w:pPr>
      <w:r>
        <w:rPr>
          <w:rFonts w:hint="eastAsia" w:ascii="宋体" w:hAnsi="宋体" w:eastAsia="宋体" w:cs="宋体"/>
          <w:color w:val="000000"/>
          <w:sz w:val="24"/>
          <w:szCs w:val="24"/>
          <w:lang w:val="en-US" w:eastAsia="zh-CN"/>
        </w:rPr>
        <w:t xml:space="preserve">303保定市满城区发展和改革局                                                              </w:t>
      </w:r>
      <w:r>
        <w:t>截止时间：2023-12-31</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Lucida Sans Unicode">
    <w:panose1 w:val="020B0602030504020204"/>
    <w:charset w:val="01"/>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NTVhNjM4NzlkMzdkMjBlM2U5NTBiN2YyZTIxZjUifQ=="/>
    <w:docVar w:name="KSO_WPS_MARK_KEY" w:val="0bf52ae6-ef0c-4433-8dbd-ca1accf0227f"/>
  </w:docVars>
  <w:rsids>
    <w:rsidRoot w:val="007A1527"/>
    <w:rsid w:val="000E0B69"/>
    <w:rsid w:val="000E6224"/>
    <w:rsid w:val="00261136"/>
    <w:rsid w:val="00291239"/>
    <w:rsid w:val="002E6941"/>
    <w:rsid w:val="002F3FA2"/>
    <w:rsid w:val="003A7560"/>
    <w:rsid w:val="003F24E3"/>
    <w:rsid w:val="00455EE3"/>
    <w:rsid w:val="00494326"/>
    <w:rsid w:val="004B476A"/>
    <w:rsid w:val="0052510F"/>
    <w:rsid w:val="005504BF"/>
    <w:rsid w:val="005E3AA3"/>
    <w:rsid w:val="005E6C74"/>
    <w:rsid w:val="00617C82"/>
    <w:rsid w:val="00623BC5"/>
    <w:rsid w:val="0065672D"/>
    <w:rsid w:val="006C4822"/>
    <w:rsid w:val="00750241"/>
    <w:rsid w:val="007823CA"/>
    <w:rsid w:val="007A1527"/>
    <w:rsid w:val="00850C0E"/>
    <w:rsid w:val="008C2546"/>
    <w:rsid w:val="00926B7E"/>
    <w:rsid w:val="009472D9"/>
    <w:rsid w:val="00A56943"/>
    <w:rsid w:val="00AD5EE0"/>
    <w:rsid w:val="00AE202C"/>
    <w:rsid w:val="00AE2F35"/>
    <w:rsid w:val="00B22B9F"/>
    <w:rsid w:val="00B814D7"/>
    <w:rsid w:val="00B92BF9"/>
    <w:rsid w:val="00C13E20"/>
    <w:rsid w:val="00C67671"/>
    <w:rsid w:val="00C90F05"/>
    <w:rsid w:val="00D4464C"/>
    <w:rsid w:val="00DA306F"/>
    <w:rsid w:val="00E22AE4"/>
    <w:rsid w:val="00F21443"/>
    <w:rsid w:val="00F550D6"/>
    <w:rsid w:val="00F93D12"/>
    <w:rsid w:val="00FB3A23"/>
    <w:rsid w:val="00FC2836"/>
    <w:rsid w:val="23052BAC"/>
    <w:rsid w:val="435D1CC6"/>
    <w:rsid w:val="58880908"/>
    <w:rsid w:val="6DA10579"/>
    <w:rsid w:val="6EAE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semiHidden/>
    <w:unhideWhenUsed/>
    <w:qFormat/>
    <w:uiPriority w:val="99"/>
    <w:pPr>
      <w:tabs>
        <w:tab w:val="center" w:pos="4153"/>
        <w:tab w:val="right" w:pos="8306"/>
      </w:tabs>
      <w:snapToGrid w:val="0"/>
    </w:pPr>
    <w:rPr>
      <w:sz w:val="18"/>
      <w:szCs w:val="18"/>
    </w:rPr>
  </w:style>
  <w:style w:type="paragraph" w:styleId="3">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预算公开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TOC 2"/>
    <w:basedOn w:val="1"/>
    <w:qFormat/>
    <w:uiPriority w:val="0"/>
    <w:pPr>
      <w:ind w:left="240"/>
    </w:pPr>
  </w:style>
  <w:style w:type="paragraph" w:customStyle="1" w:styleId="26">
    <w:name w:val="TOC 3"/>
    <w:basedOn w:val="1"/>
    <w:qFormat/>
    <w:uiPriority w:val="0"/>
    <w:pPr>
      <w:ind w:left="480"/>
    </w:pPr>
  </w:style>
  <w:style w:type="paragraph" w:customStyle="1" w:styleId="27">
    <w:name w:val="TOC 1"/>
    <w:basedOn w:val="1"/>
    <w:qFormat/>
    <w:uiPriority w:val="0"/>
    <w:pPr>
      <w:spacing w:before="120"/>
      <w:ind w:firstLine="560"/>
    </w:pPr>
    <w:rPr>
      <w:rFonts w:eastAsia="方正仿宋_GBK"/>
      <w:color w:val="000000"/>
      <w:sz w:val="28"/>
    </w:rPr>
  </w:style>
  <w:style w:type="character" w:customStyle="1" w:styleId="28">
    <w:name w:val="页眉 Char"/>
    <w:basedOn w:val="6"/>
    <w:link w:val="3"/>
    <w:semiHidden/>
    <w:qFormat/>
    <w:uiPriority w:val="99"/>
    <w:rPr>
      <w:rFonts w:eastAsia="Times New Roman"/>
      <w:sz w:val="18"/>
      <w:szCs w:val="18"/>
      <w:lang w:eastAsia="uk-UA"/>
    </w:rPr>
  </w:style>
  <w:style w:type="character" w:customStyle="1" w:styleId="29">
    <w:name w:val="页脚 Char"/>
    <w:basedOn w:val="6"/>
    <w:link w:val="2"/>
    <w:semiHidden/>
    <w:qFormat/>
    <w:uiPriority w:val="99"/>
    <w:rPr>
      <w:rFonts w:eastAsia="Times New Roman"/>
      <w:sz w:val="18"/>
      <w:szCs w:val="18"/>
      <w:lang w:eastAsia="uk-UA"/>
    </w:rPr>
  </w:style>
  <w:style w:type="paragraph" w:customStyle="1" w:styleId="30">
    <w:name w:val="插入文本样式-插入部门职责文件"/>
    <w:basedOn w:val="1"/>
    <w:qFormat/>
    <w:uiPriority w:val="0"/>
    <w:pPr>
      <w:spacing w:line="500" w:lineRule="exact"/>
      <w:ind w:firstLine="560"/>
    </w:pPr>
    <w:rPr>
      <w:rFonts w:eastAsia="方正仿宋_GBK"/>
      <w:sz w:val="28"/>
    </w:rPr>
  </w:style>
  <w:style w:type="paragraph" w:customStyle="1" w:styleId="3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7" Type="http://schemas.openxmlformats.org/officeDocument/2006/relationships/fontTable" Target="fontTable.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2024-03-01T16:36:37Z</dcterms:created>
  <dcterms:modified xsi:type="dcterms:W3CDTF">2024-03-01T08:36:37Z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2024-03-01T16:36:39Z</dcterms:created>
  <dcterms:modified xsi:type="dcterms:W3CDTF">2024-03-01T08:36:39Z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2024-03-01T16:36:37Z</dcterms:created>
  <dcterms:modified xsi:type="dcterms:W3CDTF">2024-03-01T08:36:37Z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2024-03-01T16:36:39Z</dcterms:created>
  <dcterms:modified xsi:type="dcterms:W3CDTF">2024-03-01T08:36:39Z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2024-03-01T16:36:37Z</dcterms:created>
  <dcterms:modified xsi:type="dcterms:W3CDTF">2024-03-01T08:36:37Z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2024-03-01T16:36:40Z</dcterms:created>
  <dcterms:modified xsi:type="dcterms:W3CDTF">2024-03-01T08:36:40Z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2024-03-01T16:36:34Z</dcterms:created>
  <dcterms:modified xsi:type="dcterms:W3CDTF">2024-03-01T08:36:34Z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2024-03-01T16:36:37Z</dcterms:created>
  <dcterms:modified xsi:type="dcterms:W3CDTF">2024-03-01T08:36:37Z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2024-03-01T16:36:37Z</dcterms:created>
  <dcterms:modified xsi:type="dcterms:W3CDTF">2024-03-01T08:36:37Z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2024-03-01T16:36:39Z</dcterms:created>
  <dcterms:modified xsi:type="dcterms:W3CDTF">2024-03-01T08:36:39Z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2024-03-01T16:36:39Z</dcterms:created>
  <dcterms:modified xsi:type="dcterms:W3CDTF">2024-03-01T08:36:39Z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2024-03-01T16:36:38Z</dcterms:created>
  <dcterms:modified xsi:type="dcterms:W3CDTF">2024-03-01T08:36:38Z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2024-03-01T16:36:36Z</dcterms:created>
  <dcterms:modified xsi:type="dcterms:W3CDTF">2024-03-01T08:36:36Z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2024-03-01T16:36:39Z</dcterms:created>
  <dcterms:modified xsi:type="dcterms:W3CDTF">2024-03-01T08:36:39Z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630B367-A070-4525-A3B4-2693870D6A45}">
  <ds:schemaRefs/>
</ds:datastoreItem>
</file>

<file path=customXml/itemProps10.xml><?xml version="1.0" encoding="utf-8"?>
<ds:datastoreItem xmlns:ds="http://schemas.openxmlformats.org/officeDocument/2006/customXml" ds:itemID="{0B723D32-C8BA-4CCB-800D-A73A78C3E157}">
  <ds:schemaRefs/>
</ds:datastoreItem>
</file>

<file path=customXml/itemProps11.xml><?xml version="1.0" encoding="utf-8"?>
<ds:datastoreItem xmlns:ds="http://schemas.openxmlformats.org/officeDocument/2006/customXml" ds:itemID="{87F6601A-519D-43AF-94C7-0E9E20E2B662}">
  <ds:schemaRefs/>
</ds:datastoreItem>
</file>

<file path=customXml/itemProps12.xml><?xml version="1.0" encoding="utf-8"?>
<ds:datastoreItem xmlns:ds="http://schemas.openxmlformats.org/officeDocument/2006/customXml" ds:itemID="{93B536C4-3E28-4248-A564-AC8879E5956E}">
  <ds:schemaRefs/>
</ds:datastoreItem>
</file>

<file path=customXml/itemProps13.xml><?xml version="1.0" encoding="utf-8"?>
<ds:datastoreItem xmlns:ds="http://schemas.openxmlformats.org/officeDocument/2006/customXml" ds:itemID="{EAEF21B1-7CE2-4F48-875E-03B2D03FF099}">
  <ds:schemaRefs/>
</ds:datastoreItem>
</file>

<file path=customXml/itemProps14.xml><?xml version="1.0" encoding="utf-8"?>
<ds:datastoreItem xmlns:ds="http://schemas.openxmlformats.org/officeDocument/2006/customXml" ds:itemID="{8F111669-709F-49E1-8482-35A0532F5360}">
  <ds:schemaRefs/>
</ds:datastoreItem>
</file>

<file path=customXml/itemProps15.xml><?xml version="1.0" encoding="utf-8"?>
<ds:datastoreItem xmlns:ds="http://schemas.openxmlformats.org/officeDocument/2006/customXml" ds:itemID="{D207A6C4-D83D-4BB5-99B4-2A55093F691B}">
  <ds:schemaRefs/>
</ds:datastoreItem>
</file>

<file path=customXml/itemProps16.xml><?xml version="1.0" encoding="utf-8"?>
<ds:datastoreItem xmlns:ds="http://schemas.openxmlformats.org/officeDocument/2006/customXml" ds:itemID="{47AD9562-62EE-4547-B12F-2CE4B8545E74}">
  <ds:schemaRefs/>
</ds:datastoreItem>
</file>

<file path=customXml/itemProps17.xml><?xml version="1.0" encoding="utf-8"?>
<ds:datastoreItem xmlns:ds="http://schemas.openxmlformats.org/officeDocument/2006/customXml" ds:itemID="{A3A4BAC3-0A0D-4102-85C5-F33FFF95255E}">
  <ds:schemaRefs/>
</ds:datastoreItem>
</file>

<file path=customXml/itemProps18.xml><?xml version="1.0" encoding="utf-8"?>
<ds:datastoreItem xmlns:ds="http://schemas.openxmlformats.org/officeDocument/2006/customXml" ds:itemID="{584F31AA-052E-49BC-979C-8A11FAF39A76}">
  <ds:schemaRefs/>
</ds:datastoreItem>
</file>

<file path=customXml/itemProps19.xml><?xml version="1.0" encoding="utf-8"?>
<ds:datastoreItem xmlns:ds="http://schemas.openxmlformats.org/officeDocument/2006/customXml" ds:itemID="{4A6AD3A1-38E1-430C-A1FA-D55B76BB4789}">
  <ds:schemaRefs/>
</ds:datastoreItem>
</file>

<file path=customXml/itemProps2.xml><?xml version="1.0" encoding="utf-8"?>
<ds:datastoreItem xmlns:ds="http://schemas.openxmlformats.org/officeDocument/2006/customXml" ds:itemID="{58B2C74B-82B2-495F-8FA6-BB0A4DCAA3BA}">
  <ds:schemaRefs/>
</ds:datastoreItem>
</file>

<file path=customXml/itemProps20.xml><?xml version="1.0" encoding="utf-8"?>
<ds:datastoreItem xmlns:ds="http://schemas.openxmlformats.org/officeDocument/2006/customXml" ds:itemID="{E91A17F5-1DC1-45C5-8FF2-C1F76D994723}">
  <ds:schemaRefs/>
</ds:datastoreItem>
</file>

<file path=customXml/itemProps21.xml><?xml version="1.0" encoding="utf-8"?>
<ds:datastoreItem xmlns:ds="http://schemas.openxmlformats.org/officeDocument/2006/customXml" ds:itemID="{7DBF82F2-80F6-4A73-9111-F16933726701}">
  <ds:schemaRefs/>
</ds:datastoreItem>
</file>

<file path=customXml/itemProps22.xml><?xml version="1.0" encoding="utf-8"?>
<ds:datastoreItem xmlns:ds="http://schemas.openxmlformats.org/officeDocument/2006/customXml" ds:itemID="{1BAF8CF0-2F50-4F81-B0FB-902E268207C1}">
  <ds:schemaRefs/>
</ds:datastoreItem>
</file>

<file path=customXml/itemProps23.xml><?xml version="1.0" encoding="utf-8"?>
<ds:datastoreItem xmlns:ds="http://schemas.openxmlformats.org/officeDocument/2006/customXml" ds:itemID="{76EF9C9A-2403-4257-A950-10F6A93A3360}">
  <ds:schemaRefs/>
</ds:datastoreItem>
</file>

<file path=customXml/itemProps24.xml><?xml version="1.0" encoding="utf-8"?>
<ds:datastoreItem xmlns:ds="http://schemas.openxmlformats.org/officeDocument/2006/customXml" ds:itemID="{53D6B33A-F9A0-408B-BC82-549D9AB0696D}">
  <ds:schemaRefs/>
</ds:datastoreItem>
</file>

<file path=customXml/itemProps25.xml><?xml version="1.0" encoding="utf-8"?>
<ds:datastoreItem xmlns:ds="http://schemas.openxmlformats.org/officeDocument/2006/customXml" ds:itemID="{7890679F-E233-43A7-B8C2-2A887E96DD0F}">
  <ds:schemaRefs/>
</ds:datastoreItem>
</file>

<file path=customXml/itemProps26.xml><?xml version="1.0" encoding="utf-8"?>
<ds:datastoreItem xmlns:ds="http://schemas.openxmlformats.org/officeDocument/2006/customXml" ds:itemID="{FE17EE22-6840-4FEC-AEC9-CCAB2E26A431}">
  <ds:schemaRefs/>
</ds:datastoreItem>
</file>

<file path=customXml/itemProps27.xml><?xml version="1.0" encoding="utf-8"?>
<ds:datastoreItem xmlns:ds="http://schemas.openxmlformats.org/officeDocument/2006/customXml" ds:itemID="{A7C11308-5A0B-4618-AF59-171206F0387F}">
  <ds:schemaRefs/>
</ds:datastoreItem>
</file>

<file path=customXml/itemProps28.xml><?xml version="1.0" encoding="utf-8"?>
<ds:datastoreItem xmlns:ds="http://schemas.openxmlformats.org/officeDocument/2006/customXml" ds:itemID="{2B2169FE-762B-4D46-A4E1-7AD5DE4FD4CB}">
  <ds:schemaRefs/>
</ds:datastoreItem>
</file>

<file path=customXml/itemProps29.xml><?xml version="1.0" encoding="utf-8"?>
<ds:datastoreItem xmlns:ds="http://schemas.openxmlformats.org/officeDocument/2006/customXml" ds:itemID="{22231725-84A9-446D-A632-685F941D2A81}">
  <ds:schemaRefs/>
</ds:datastoreItem>
</file>

<file path=customXml/itemProps3.xml><?xml version="1.0" encoding="utf-8"?>
<ds:datastoreItem xmlns:ds="http://schemas.openxmlformats.org/officeDocument/2006/customXml" ds:itemID="{1DDCA98F-64C8-4354-8188-A35776B3C99D}">
  <ds:schemaRefs/>
</ds:datastoreItem>
</file>

<file path=customXml/itemProps30.xml><?xml version="1.0" encoding="utf-8"?>
<ds:datastoreItem xmlns:ds="http://schemas.openxmlformats.org/officeDocument/2006/customXml" ds:itemID="{53DBB9FF-AA4C-452E-A7F0-6AB787691D1F}">
  <ds:schemaRefs/>
</ds:datastoreItem>
</file>

<file path=customXml/itemProps31.xml><?xml version="1.0" encoding="utf-8"?>
<ds:datastoreItem xmlns:ds="http://schemas.openxmlformats.org/officeDocument/2006/customXml" ds:itemID="{5612A1A2-7271-4D44-B90A-C611D7662B79}">
  <ds:schemaRefs/>
</ds:datastoreItem>
</file>

<file path=customXml/itemProps32.xml><?xml version="1.0" encoding="utf-8"?>
<ds:datastoreItem xmlns:ds="http://schemas.openxmlformats.org/officeDocument/2006/customXml" ds:itemID="{2B475B1E-7F9A-4CB2-8C4D-6F9768768C09}">
  <ds:schemaRefs/>
</ds:datastoreItem>
</file>

<file path=customXml/itemProps33.xml><?xml version="1.0" encoding="utf-8"?>
<ds:datastoreItem xmlns:ds="http://schemas.openxmlformats.org/officeDocument/2006/customXml" ds:itemID="{A145644C-7AF7-4F0A-A514-DEAAF2B96D7F}">
  <ds:schemaRefs/>
</ds:datastoreItem>
</file>

<file path=customXml/itemProps34.xml><?xml version="1.0" encoding="utf-8"?>
<ds:datastoreItem xmlns:ds="http://schemas.openxmlformats.org/officeDocument/2006/customXml" ds:itemID="{36E22146-BDC5-4139-B94E-9045354A8787}">
  <ds:schemaRefs/>
</ds:datastoreItem>
</file>

<file path=customXml/itemProps35.xml><?xml version="1.0" encoding="utf-8"?>
<ds:datastoreItem xmlns:ds="http://schemas.openxmlformats.org/officeDocument/2006/customXml" ds:itemID="{C06A973D-313E-4830-999C-D9566C9822F1}">
  <ds:schemaRefs/>
</ds:datastoreItem>
</file>

<file path=customXml/itemProps36.xml><?xml version="1.0" encoding="utf-8"?>
<ds:datastoreItem xmlns:ds="http://schemas.openxmlformats.org/officeDocument/2006/customXml" ds:itemID="{E9A10C26-10AA-44CD-B20A-EEBFDB9C6FA0}">
  <ds:schemaRefs/>
</ds:datastoreItem>
</file>

<file path=customXml/itemProps37.xml><?xml version="1.0" encoding="utf-8"?>
<ds:datastoreItem xmlns:ds="http://schemas.openxmlformats.org/officeDocument/2006/customXml" ds:itemID="{CF6758FA-E6A8-435A-A2B3-0F0043F9E6C0}">
  <ds:schemaRefs/>
</ds:datastoreItem>
</file>

<file path=customXml/itemProps38.xml><?xml version="1.0" encoding="utf-8"?>
<ds:datastoreItem xmlns:ds="http://schemas.openxmlformats.org/officeDocument/2006/customXml" ds:itemID="{46E01A39-5A25-4318-8A6F-4C818E72342C}">
  <ds:schemaRefs/>
</ds:datastoreItem>
</file>

<file path=customXml/itemProps39.xml><?xml version="1.0" encoding="utf-8"?>
<ds:datastoreItem xmlns:ds="http://schemas.openxmlformats.org/officeDocument/2006/customXml" ds:itemID="{9DA89BD1-4479-4D3D-9183-5B1DB959EB29}">
  <ds:schemaRefs/>
</ds:datastoreItem>
</file>

<file path=customXml/itemProps4.xml><?xml version="1.0" encoding="utf-8"?>
<ds:datastoreItem xmlns:ds="http://schemas.openxmlformats.org/officeDocument/2006/customXml" ds:itemID="{FECBAED1-AD6E-40D8-BA15-DB609B9C6718}">
  <ds:schemaRefs/>
</ds:datastoreItem>
</file>

<file path=customXml/itemProps40.xml><?xml version="1.0" encoding="utf-8"?>
<ds:datastoreItem xmlns:ds="http://schemas.openxmlformats.org/officeDocument/2006/customXml" ds:itemID="{4DBC4B30-6B4D-41E1-8F35-AA09F7ADD20E}">
  <ds:schemaRefs/>
</ds:datastoreItem>
</file>

<file path=customXml/itemProps41.xml><?xml version="1.0" encoding="utf-8"?>
<ds:datastoreItem xmlns:ds="http://schemas.openxmlformats.org/officeDocument/2006/customXml" ds:itemID="{258AAE15-5034-417F-BACE-104E7BFC5FEA}">
  <ds:schemaRefs/>
</ds:datastoreItem>
</file>

<file path=customXml/itemProps42.xml><?xml version="1.0" encoding="utf-8"?>
<ds:datastoreItem xmlns:ds="http://schemas.openxmlformats.org/officeDocument/2006/customXml" ds:itemID="{35D3D9C6-245F-433A-8268-A012A4AAFFF7}">
  <ds:schemaRefs/>
</ds:datastoreItem>
</file>

<file path=customXml/itemProps43.xml><?xml version="1.0" encoding="utf-8"?>
<ds:datastoreItem xmlns:ds="http://schemas.openxmlformats.org/officeDocument/2006/customXml" ds:itemID="{531B0D83-F404-4247-A05F-7E0FCE2C232B}">
  <ds:schemaRefs/>
</ds:datastoreItem>
</file>

<file path=customXml/itemProps44.xml><?xml version="1.0" encoding="utf-8"?>
<ds:datastoreItem xmlns:ds="http://schemas.openxmlformats.org/officeDocument/2006/customXml" ds:itemID="{22EB9D9A-A327-4610-A576-7028A160A4D3}">
  <ds:schemaRefs/>
</ds:datastoreItem>
</file>

<file path=customXml/itemProps45.xml><?xml version="1.0" encoding="utf-8"?>
<ds:datastoreItem xmlns:ds="http://schemas.openxmlformats.org/officeDocument/2006/customXml" ds:itemID="{C8284AE7-D052-47F5-A716-4AD1A5EA5364}">
  <ds:schemaRefs/>
</ds:datastoreItem>
</file>

<file path=customXml/itemProps46.xml><?xml version="1.0" encoding="utf-8"?>
<ds:datastoreItem xmlns:ds="http://schemas.openxmlformats.org/officeDocument/2006/customXml" ds:itemID="{4BAC7F26-47A7-43D9-92BA-68516F74C7CE}">
  <ds:schemaRefs/>
</ds:datastoreItem>
</file>

<file path=customXml/itemProps47.xml><?xml version="1.0" encoding="utf-8"?>
<ds:datastoreItem xmlns:ds="http://schemas.openxmlformats.org/officeDocument/2006/customXml" ds:itemID="{69B2E411-F9FF-432B-ACF7-CC02ACAAF566}">
  <ds:schemaRefs/>
</ds:datastoreItem>
</file>

<file path=customXml/itemProps48.xml><?xml version="1.0" encoding="utf-8"?>
<ds:datastoreItem xmlns:ds="http://schemas.openxmlformats.org/officeDocument/2006/customXml" ds:itemID="{FF084F2D-A2E5-408B-815D-0B243EFCB1C3}">
  <ds:schemaRefs/>
</ds:datastoreItem>
</file>

<file path=customXml/itemProps49.xml><?xml version="1.0" encoding="utf-8"?>
<ds:datastoreItem xmlns:ds="http://schemas.openxmlformats.org/officeDocument/2006/customXml" ds:itemID="{D5532F8F-2FFA-415E-9FBD-C19AF9201D37}">
  <ds:schemaRefs/>
</ds:datastoreItem>
</file>

<file path=customXml/itemProps5.xml><?xml version="1.0" encoding="utf-8"?>
<ds:datastoreItem xmlns:ds="http://schemas.openxmlformats.org/officeDocument/2006/customXml" ds:itemID="{DBADDCB7-B6D8-4582-BE44-41B557370EAE}">
  <ds:schemaRefs/>
</ds:datastoreItem>
</file>

<file path=customXml/itemProps50.xml><?xml version="1.0" encoding="utf-8"?>
<ds:datastoreItem xmlns:ds="http://schemas.openxmlformats.org/officeDocument/2006/customXml" ds:itemID="{1C83E2C5-D6D4-4F2C-9D53-069973C25976}">
  <ds:schemaRefs/>
</ds:datastoreItem>
</file>

<file path=customXml/itemProps6.xml><?xml version="1.0" encoding="utf-8"?>
<ds:datastoreItem xmlns:ds="http://schemas.openxmlformats.org/officeDocument/2006/customXml" ds:itemID="{26523CA8-F03A-4B76-92A5-1AC567302998}">
  <ds:schemaRefs/>
</ds:datastoreItem>
</file>

<file path=customXml/itemProps7.xml><?xml version="1.0" encoding="utf-8"?>
<ds:datastoreItem xmlns:ds="http://schemas.openxmlformats.org/officeDocument/2006/customXml" ds:itemID="{0EA9E6DE-8911-49B9-B389-B4D2F2E658CE}">
  <ds:schemaRefs/>
</ds:datastoreItem>
</file>

<file path=customXml/itemProps8.xml><?xml version="1.0" encoding="utf-8"?>
<ds:datastoreItem xmlns:ds="http://schemas.openxmlformats.org/officeDocument/2006/customXml" ds:itemID="{A5FAD261-DD2A-4D51-ABFF-D08CDB1E290D}">
  <ds:schemaRefs/>
</ds:datastoreItem>
</file>

<file path=customXml/itemProps9.xml><?xml version="1.0" encoding="utf-8"?>
<ds:datastoreItem xmlns:ds="http://schemas.openxmlformats.org/officeDocument/2006/customXml" ds:itemID="{4903DF2E-095E-4D54-9257-797C10BCC69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21583</Words>
  <Characters>25699</Characters>
  <Lines>225</Lines>
  <Paragraphs>63</Paragraphs>
  <TotalTime>5</TotalTime>
  <ScaleCrop>false</ScaleCrop>
  <LinksUpToDate>false</LinksUpToDate>
  <CharactersWithSpaces>25986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2024-03-05T03:43:00Z</dcterms:created>
  <dc:creator>Administrator</dc:creator>
  <cp:lastModifiedBy>爱伽肆月</cp:lastModifiedBy>
  <dcterms:modified xsi:type="dcterms:W3CDTF">2024-04-30T02:21:03Z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4C002725881C4F2794AE5241AF123FBB_13</vt:lpwstr>
  </property>
</Properties>
</file>